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pPr>
      <w:r>
        <w:t xml:space="preserve"/>
      </w:r>
    </w:p>
    <w:p>
      <w:pPr>
        <w:spacing w:before="0" w:after="80"/>
        <w:jc w:val="center"/>
      </w:pPr>
      <w:r>
        <w:rPr>
          <w:rFonts w:ascii="Arial" w:cs="Arial" w:eastAsia="Arial" w:hAnsi="Arial"/>
          <w:b/>
          <w:bCs/>
          <w:color w:val="1F3864"/>
          <w:sz w:val="52"/>
          <w:szCs w:val="52"/>
        </w:rPr>
        <w:t xml:space="preserve">CONTRATO DE PRESTACIÓN DE SERVICIOS</w:t>
      </w:r>
    </w:p>
    <w:p>
      <w:pPr>
        <w:spacing w:before="0" w:after="40"/>
        <w:jc w:val="center"/>
      </w:pPr>
      <w:r>
        <w:rPr>
          <w:rFonts w:ascii="Arial" w:cs="Arial" w:eastAsia="Arial" w:hAnsi="Arial"/>
          <w:color w:val="2E5FA3"/>
          <w:sz w:val="32"/>
          <w:szCs w:val="32"/>
        </w:rPr>
        <w:t xml:space="preserve">y Encargo de Tratamiento de Datos (DPA)</w:t>
      </w:r>
    </w:p>
    <w:p>
      <w:pPr>
        <w:spacing w:before="0" w:after="360"/>
        <w:jc w:val="center"/>
      </w:pPr>
      <w:r>
        <w:rPr>
          <w:rFonts w:ascii="Arial" w:cs="Arial" w:eastAsia="Arial" w:hAnsi="Arial"/>
          <w:i/>
          <w:iCs/>
          <w:color w:val="555555"/>
          <w:sz w:val="28"/>
          <w:szCs w:val="28"/>
        </w:rPr>
        <w:t xml:space="preserve">Debacu Evaluation360</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6206"/>
      </w:tblGrid>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Proveedor tecnológico</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DEBACU HOTELS S.L.</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CIF Proveedor</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B-55381214</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Domicilio Proveedor</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C/ Cantalejo, 13 – 1º A</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Email legal</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legal@debacu.com</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Cliente / Hotel</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[Razón social del establecimiento]</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CIF / NIF Cliente</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[CIF o NIF del establecimiento]</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Domicilio Cliente</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[Dirección completa]</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Email cliente</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[Email de contacto del cliente]</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Versión del contrato</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V1.0</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Fecha de efecto</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[Fecha de aceptación online]</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Duración inicial</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 1 año / mensual / otro]</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Renovación</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 Automática anual / mensual]</w:t>
            </w:r>
          </w:p>
        </w:tc>
      </w:tr>
    </w:tbl>
    <w:p>
      <w:pPr>
        <w:spacing w:before="32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4472C4" w:sz="1"/>
              <w:left w:val="single" w:color="4472C4" w:sz="12"/>
              <w:bottom w:val="single" w:color="4472C4" w:sz="1"/>
              <w:right w:val="single" w:color="4472C4" w:sz="1"/>
            </w:tcBorders>
            <w:shd w:fill="EEF3FB" w:val="clear"/>
            <w:tcMar>
              <w:top w:type="dxa" w:w="120"/>
              <w:left w:type="dxa" w:w="200"/>
              <w:bottom w:type="dxa" w:w="120"/>
              <w:right w:type="dxa" w:w="200"/>
            </w:tcMar>
          </w:tcPr>
          <w:p>
            <w:pPr>
              <w:spacing w:before="0" w:after="80"/>
            </w:pPr>
            <w:r>
              <w:rPr>
                <w:rFonts w:ascii="Arial" w:cs="Arial" w:eastAsia="Arial" w:hAnsi="Arial"/>
                <w:b/>
                <w:bCs/>
                <w:color w:val="1F3864"/>
                <w:sz w:val="22"/>
                <w:szCs w:val="22"/>
              </w:rPr>
              <w:t xml:space="preserve">📋  Nota de uso — Campos rellenables</w:t>
            </w:r>
          </w:p>
          <w:p>
            <w:pPr>
              <w:spacing w:before="0" w:after="40"/>
            </w:pPr>
            <w:r>
              <w:rPr>
                <w:rFonts w:ascii="Arial" w:cs="Arial" w:eastAsia="Arial" w:hAnsi="Arial"/>
                <w:color w:val="1A1A1A"/>
                <w:sz w:val="20"/>
                <w:szCs w:val="20"/>
              </w:rPr>
              <w:t xml:space="preserve">Los campos marcados en fondo amarillo / cursiva dorada son variables a personalizar para cada cliente.</w:t>
            </w:r>
          </w:p>
          <w:p>
            <w:pPr>
              <w:spacing w:before="0" w:after="40"/>
            </w:pPr>
            <w:r>
              <w:rPr>
                <w:rFonts w:ascii="Arial" w:cs="Arial" w:eastAsia="Arial" w:hAnsi="Arial"/>
                <w:color w:val="1A1A1A"/>
                <w:sz w:val="20"/>
                <w:szCs w:val="20"/>
              </w:rPr>
              <w:t xml:space="preserve">En el modelo click-wrap estos datos se recogen automáticamente en el proceso de alta de la plataforma.</w:t>
            </w:r>
          </w:p>
          <w:p>
            <w:pPr>
              <w:spacing w:before="0" w:after="40"/>
            </w:pPr>
            <w:r>
              <w:rPr>
                <w:rFonts w:ascii="Arial" w:cs="Arial" w:eastAsia="Arial" w:hAnsi="Arial"/>
                <w:color w:val="1A1A1A"/>
                <w:sz w:val="20"/>
                <w:szCs w:val="20"/>
              </w:rPr>
              <w:t xml:space="preserve">Conservar siempre el registro de IP, fecha/hora y versión del contrato aceptado.</w:t>
            </w:r>
          </w:p>
        </w:tc>
      </w:tr>
    </w:tbl>
    <w:p>
      <w:pPr>
        <w:spacing w:before="200" w:after="0"/>
      </w:pPr>
      <w:r>
        <w:t xml:space="preserve"/>
      </w:r>
    </w:p>
    <w:p>
      <w:pPr>
        <w:spacing w:before="0" w:after="40"/>
        <w:jc w:val="center"/>
      </w:pPr>
      <w:r>
        <w:rPr>
          <w:rFonts w:ascii="Arial" w:cs="Arial" w:eastAsia="Arial" w:hAnsi="Arial"/>
          <w:i/>
          <w:iCs/>
          <w:color w:val="555555"/>
          <w:sz w:val="18"/>
          <w:szCs w:val="18"/>
        </w:rPr>
        <w:t xml:space="preserve">Documento de uso profesional y confidencial · No público</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Preámbulo</w:t>
      </w:r>
    </w:p>
    <w:p>
      <w:pPr>
        <w:spacing w:before="60" w:after="80" w:line="280"/>
        <w:jc w:val="both"/>
      </w:pPr>
      <w:r>
        <w:rPr>
          <w:rFonts w:ascii="Arial" w:cs="Arial" w:eastAsia="Arial" w:hAnsi="Arial"/>
          <w:color w:val="1A1A1A"/>
          <w:sz w:val="22"/>
          <w:szCs w:val="22"/>
        </w:rPr>
        <w:t xml:space="preserve">El presente Contrato de Prestación de Servicios y Encargo de Tratamiento de Datos (en adelante, el "Contrato") regula la relación entre DEBACU HOTELS S.L. (en adelante, "Debacu" o el "Proveedor") y el establecimiento hotelero o de alojamiento turístico que acepta este Contrato (en adelante, el "Cliente"), con ocasión del acceso y uso de la plataforma digital Debacu Evaluation360 (en adelante, la "Plataforma").</w:t>
      </w:r>
    </w:p>
    <w:p>
      <w:pPr>
        <w:spacing w:before="60" w:after="80" w:line="280"/>
        <w:jc w:val="both"/>
      </w:pPr>
      <w:r>
        <w:rPr>
          <w:rFonts w:ascii="Arial" w:cs="Arial" w:eastAsia="Arial" w:hAnsi="Arial"/>
          <w:color w:val="1A1A1A"/>
          <w:sz w:val="22"/>
          <w:szCs w:val="22"/>
        </w:rPr>
        <w:t xml:space="preserve">Este Contrato se formaliza mediante aceptación online (click-wrap): el acto de registrarse, acceder o utilizar la Plataforma implica la lectura, comprensión y aceptación plena de todos sus términos. Debacu conservará registro del evento de aceptación (fecha, hora, IP, versión del contrato).</w:t>
      </w:r>
    </w:p>
    <w:p>
      <w:pPr>
        <w:spacing w:before="60" w:after="80" w:line="280"/>
        <w:jc w:val="both"/>
      </w:pPr>
      <w:r>
        <w:rPr>
          <w:rFonts w:ascii="Arial" w:cs="Arial" w:eastAsia="Arial" w:hAnsi="Arial"/>
          <w:color w:val="1A1A1A"/>
          <w:sz w:val="22"/>
          <w:szCs w:val="22"/>
        </w:rPr>
        <w:t xml:space="preserve">Este Contrato debe interpretarse conjuntamente con el Marco Legal Integral de Debacu Evaluation360 V1.0, que incluye el Aviso Legal, los Términos y Condiciones, la Política de Privacidad, la Política de Cookies, la Política de Acceso y Uso Profesional, la Política de Seguridad y Auditoría, el Análisis de Interés Legítimo (LIA) y las Cláusulas y Disclaimer, formando un único marco contractual y legal.</w:t>
      </w:r>
    </w:p>
    <w:p>
      <w:pPr>
        <w:spacing w:before="8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4472C4" w:sz="1"/>
              <w:left w:val="single" w:color="4472C4" w:sz="12"/>
              <w:bottom w:val="single" w:color="4472C4" w:sz="1"/>
              <w:right w:val="single" w:color="4472C4" w:sz="1"/>
            </w:tcBorders>
            <w:shd w:fill="EEF3FB" w:val="clear"/>
            <w:tcMar>
              <w:top w:type="dxa" w:w="120"/>
              <w:left w:type="dxa" w:w="200"/>
              <w:bottom w:type="dxa" w:w="120"/>
              <w:right w:type="dxa" w:w="200"/>
            </w:tcMar>
          </w:tcPr>
          <w:p>
            <w:pPr>
              <w:spacing w:before="0" w:after="80"/>
            </w:pPr>
            <w:r>
              <w:rPr>
                <w:rFonts w:ascii="Arial" w:cs="Arial" w:eastAsia="Arial" w:hAnsi="Arial"/>
                <w:b/>
                <w:bCs/>
                <w:color w:val="1F3864"/>
                <w:sz w:val="22"/>
                <w:szCs w:val="22"/>
              </w:rPr>
              <w:t xml:space="preserve">⚖️  Base legal de referencia</w:t>
            </w:r>
          </w:p>
          <w:p>
            <w:pPr>
              <w:spacing w:before="0" w:after="40"/>
            </w:pPr>
            <w:r>
              <w:rPr>
                <w:rFonts w:ascii="Arial" w:cs="Arial" w:eastAsia="Arial" w:hAnsi="Arial"/>
                <w:color w:val="1A1A1A"/>
                <w:sz w:val="20"/>
                <w:szCs w:val="20"/>
              </w:rPr>
              <w:t xml:space="preserve">· Reglamento (UE) 2016/679 — RGPD, arts. 6.1.b, 6.1.f, 28 y ss.</w:t>
            </w:r>
          </w:p>
          <w:p>
            <w:pPr>
              <w:spacing w:before="0" w:after="40"/>
            </w:pPr>
            <w:r>
              <w:rPr>
                <w:rFonts w:ascii="Arial" w:cs="Arial" w:eastAsia="Arial" w:hAnsi="Arial"/>
                <w:color w:val="1A1A1A"/>
                <w:sz w:val="20"/>
                <w:szCs w:val="20"/>
              </w:rPr>
              <w:t xml:space="preserve">· Ley Orgánica 3/2018, de 5 de diciembre (LOPDGDD).</w:t>
            </w:r>
          </w:p>
          <w:p>
            <w:pPr>
              <w:spacing w:before="0" w:after="40"/>
            </w:pPr>
            <w:r>
              <w:rPr>
                <w:rFonts w:ascii="Arial" w:cs="Arial" w:eastAsia="Arial" w:hAnsi="Arial"/>
                <w:color w:val="1A1A1A"/>
                <w:sz w:val="20"/>
                <w:szCs w:val="20"/>
              </w:rPr>
              <w:t xml:space="preserve">· Ley 34/2002, de 11 de julio (LSSI-CE).</w:t>
            </w:r>
          </w:p>
          <w:p>
            <w:pPr>
              <w:spacing w:before="0" w:after="40"/>
            </w:pPr>
            <w:r>
              <w:rPr>
                <w:rFonts w:ascii="Arial" w:cs="Arial" w:eastAsia="Arial" w:hAnsi="Arial"/>
                <w:color w:val="1A1A1A"/>
                <w:sz w:val="20"/>
                <w:szCs w:val="20"/>
              </w:rPr>
              <w:t xml:space="preserve">· Real Decreto Legislativo 1/2007 — Texto Refundido Ley de Consumidores y Usuarios (en lo que aplique).</w:t>
            </w:r>
          </w:p>
          <w:p>
            <w:pPr>
              <w:spacing w:before="0" w:after="40"/>
            </w:pPr>
            <w:r>
              <w:rPr>
                <w:rFonts w:ascii="Arial" w:cs="Arial" w:eastAsia="Arial" w:hAnsi="Arial"/>
                <w:color w:val="1A1A1A"/>
                <w:sz w:val="20"/>
                <w:szCs w:val="20"/>
              </w:rPr>
              <w:t xml:space="preserve">· Código Civil español en materia de contratos de servicios.</w:t>
            </w:r>
          </w:p>
        </w:tc>
      </w:tr>
    </w:tbl>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1. Partes del Contrato</w:t>
      </w:r>
    </w:p>
    <w:p>
      <w:pPr>
        <w:pStyle w:val="Heading2"/>
        <w:spacing w:before="300" w:after="80"/>
      </w:pPr>
      <w:r>
        <w:rPr>
          <w:rFonts w:ascii="Arial" w:cs="Arial" w:eastAsia="Arial" w:hAnsi="Arial"/>
          <w:b/>
          <w:bCs/>
          <w:color w:val="2E5FA3"/>
          <w:sz w:val="24"/>
          <w:szCs w:val="24"/>
        </w:rPr>
        <w:t xml:space="preserve">1.1. Proveedor tecnológico</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6206"/>
      </w:tblGrid>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Razón social</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DEBACU HOTELS S.L.</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CIF</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B-55381214</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Domicilio</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C/ Cantalejo, 13 – 1º A</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Email legal</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legal@debacu.com</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Email privacidad</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privacidad@debacu.com</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Teléfono</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+34 672 336 572</w:t>
            </w:r>
          </w:p>
        </w:tc>
      </w:tr>
    </w:tbl>
    <w:p>
      <w:pPr>
        <w:spacing w:before="160" w:after="0"/>
      </w:pPr>
      <w:r>
        <w:t xml:space="preserve"/>
      </w:r>
    </w:p>
    <w:p>
      <w:pPr>
        <w:pStyle w:val="Heading2"/>
        <w:spacing w:before="300" w:after="80"/>
      </w:pPr>
      <w:r>
        <w:rPr>
          <w:rFonts w:ascii="Arial" w:cs="Arial" w:eastAsia="Arial" w:hAnsi="Arial"/>
          <w:b/>
          <w:bCs/>
          <w:color w:val="2E5FA3"/>
          <w:sz w:val="24"/>
          <w:szCs w:val="24"/>
        </w:rPr>
        <w:t xml:space="preserve">1.2. Cliente</w:t>
      </w:r>
    </w:p>
    <w:p>
      <w:pPr>
        <w:spacing w:before="60" w:after="80" w:line="280"/>
        <w:jc w:val="both"/>
      </w:pPr>
      <w:r>
        <w:rPr>
          <w:rFonts w:ascii="Arial" w:cs="Arial" w:eastAsia="Arial" w:hAnsi="Arial"/>
          <w:color w:val="1A1A1A"/>
          <w:sz w:val="22"/>
          <w:szCs w:val="22"/>
        </w:rPr>
        <w:t xml:space="preserve">El Cliente es el establecimiento hotelero o de alojamiento turístico que se da de alta en la Plataforma. Sus datos se recogen en el proceso de registro:</w:t>
      </w:r>
    </w:p>
    <w:p>
      <w:pPr>
        <w:spacing w:before="8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6206"/>
      </w:tblGrid>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Razón social</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[Razón social del hotel]</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CIF / NIF</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[CIF o NIF]</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Domicilio social</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[Dirección completa]</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Localidad / CP</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[Localidad y código postal]</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País</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[España / otro]</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Email contacto</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[Email del responsable]</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Teléfono</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[Teléfono de contacto]</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Representante</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[Nombre y cargo]</w:t>
            </w:r>
          </w:p>
        </w:tc>
      </w:tr>
    </w:tbl>
    <w:p>
      <w:pPr>
        <w:spacing w:before="160" w:after="0"/>
      </w:pPr>
      <w:r>
        <w:t xml:space="preserve"/>
      </w:r>
    </w:p>
    <w:p>
      <w:pPr>
        <w:pStyle w:val="Heading2"/>
        <w:spacing w:before="300" w:after="80"/>
      </w:pPr>
      <w:r>
        <w:rPr>
          <w:rFonts w:ascii="Arial" w:cs="Arial" w:eastAsia="Arial" w:hAnsi="Arial"/>
          <w:b/>
          <w:bCs/>
          <w:color w:val="2E5FA3"/>
          <w:sz w:val="24"/>
          <w:szCs w:val="24"/>
        </w:rPr>
        <w:t xml:space="preserve">1.3. Aceptación y formalización click-wrap</w:t>
      </w:r>
    </w:p>
    <w:p>
      <w:pPr>
        <w:spacing w:before="60" w:after="80" w:line="280"/>
        <w:jc w:val="both"/>
      </w:pPr>
      <w:r>
        <w:rPr>
          <w:rFonts w:ascii="Arial" w:cs="Arial" w:eastAsia="Arial" w:hAnsi="Arial"/>
          <w:color w:val="1A1A1A"/>
          <w:sz w:val="22"/>
          <w:szCs w:val="22"/>
        </w:rPr>
        <w:t xml:space="preserve">El Cliente declara que actúa en un contexto profesional, que tiene capacidad legal para suscribir este Contrato y que acepta íntegramente sus términos en el momento del alta en la Plataforma.</w:t>
      </w:r>
    </w:p>
    <w:p>
      <w:pPr>
        <w:spacing w:before="60" w:after="80" w:line="280"/>
        <w:jc w:val="both"/>
      </w:pPr>
      <w:r>
        <w:rPr>
          <w:rFonts w:ascii="Arial" w:cs="Arial" w:eastAsia="Arial" w:hAnsi="Arial"/>
          <w:color w:val="1A1A1A"/>
          <w:sz w:val="22"/>
          <w:szCs w:val="22"/>
        </w:rPr>
        <w:t xml:space="preserve">La aceptación queda registrada con los siguientes datos técnicos:</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6206"/>
      </w:tblGrid>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Fecha y hora de aceptación</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[DD/MM/AAAA HH:MM:SS UTC]</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Dirección IP</w:t>
            </w:r>
          </w:p>
        </w:tc>
        <w:tc>
          <w:tcPr>
            <w:tcW w:type="dxa" w:w="6206"/>
            <w:tcBorders>
              <w:top w:val="single" w:color="F0C040" w:sz="1"/>
              <w:left w:val="single" w:color="F0C040" w:sz="1"/>
              <w:bottom w:val="single" w:color="F0C040" w:sz="1"/>
              <w:right w:val="single" w:color="F0C040" w:sz="1"/>
            </w:tcBorders>
            <w:shd w:fill="FFF9E6" w:val="clear"/>
            <w:tcMar>
              <w:top w:type="dxa" w:w="80"/>
              <w:left w:type="dxa" w:w="160"/>
              <w:bottom w:type="dxa" w:w="80"/>
              <w:right w:type="dxa" w:w="80"/>
            </w:tcMar>
          </w:tcPr>
          <w:p>
            <w:r>
              <w:rPr>
                <w:rFonts w:ascii="Arial" w:cs="Arial" w:eastAsia="Arial" w:hAnsi="Arial"/>
                <w:b/>
                <w:bCs/>
                <w:i/>
                <w:iCs/>
                <w:color w:val="7B4F00"/>
                <w:sz w:val="22"/>
                <w:szCs w:val="22"/>
              </w:rPr>
              <w:t xml:space="preserve">[xxx.xxx.xxx.xxx]</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Versión del contrato</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V1.0</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Método de aceptación</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Click-wrap / Aceptación online</w:t>
            </w:r>
          </w:p>
        </w:tc>
      </w:tr>
    </w:tbl>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2. Objeto del Contrato</w:t>
      </w:r>
    </w:p>
    <w:p>
      <w:pPr>
        <w:spacing w:before="60" w:after="80" w:line="280"/>
        <w:jc w:val="both"/>
      </w:pPr>
      <w:r>
        <w:rPr>
          <w:rFonts w:ascii="Arial" w:cs="Arial" w:eastAsia="Arial" w:hAnsi="Arial"/>
          <w:color w:val="1A1A1A"/>
          <w:sz w:val="22"/>
          <w:szCs w:val="22"/>
        </w:rPr>
        <w:t xml:space="preserve">El objeto del presente Contrato es regular: (i) la prestación de servicios de acceso y uso de la plataforma Debacu Evaluation360 por parte del Proveedor al Cliente; y (ii) el encargo de tratamiento de datos personales derivado de dicha prestación, conforme al artículo 28 del RGPD.</w:t>
      </w:r>
    </w:p>
    <w:p>
      <w:pPr>
        <w:pStyle w:val="Heading2"/>
        <w:spacing w:before="300" w:after="80"/>
      </w:pPr>
      <w:r>
        <w:rPr>
          <w:rFonts w:ascii="Arial" w:cs="Arial" w:eastAsia="Arial" w:hAnsi="Arial"/>
          <w:b/>
          <w:bCs/>
          <w:color w:val="2E5FA3"/>
          <w:sz w:val="24"/>
          <w:szCs w:val="24"/>
        </w:rPr>
        <w:t xml:space="preserve">2.1. Descripción del servicio</w:t>
      </w:r>
    </w:p>
    <w:p>
      <w:pPr>
        <w:spacing w:before="60" w:after="80" w:line="280"/>
        <w:jc w:val="both"/>
      </w:pPr>
      <w:r>
        <w:rPr>
          <w:rFonts w:ascii="Arial" w:cs="Arial" w:eastAsia="Arial" w:hAnsi="Arial"/>
          <w:color w:val="1A1A1A"/>
          <w:sz w:val="22"/>
          <w:szCs w:val="22"/>
        </w:rPr>
        <w:t xml:space="preserve">Debacu Evaluation360 es una plataforma digital de uso estrictamente profesional y privado, dirigida a establecimientos hoteleros y de alojamiento turístico. Su finalidad es apoyar la gestión operativa interna, la trazabilidad de incidencias, la estructuración de información operativa y la aplicación de protocolos internos.</w:t>
      </w:r>
    </w:p>
    <w:p>
      <w:pPr>
        <w:spacing w:before="60" w:after="80" w:line="280"/>
        <w:jc w:val="both"/>
      </w:pPr>
      <w:r>
        <w:rPr>
          <w:rFonts w:ascii="Arial" w:cs="Arial" w:eastAsia="Arial" w:hAnsi="Arial"/>
          <w:color w:val="1A1A1A"/>
          <w:sz w:val="22"/>
          <w:szCs w:val="22"/>
        </w:rPr>
        <w:t xml:space="preserve">La Plataforma no constituye un servicio público, un registro de morosidad, un fichero de solvencia patrimonial ni un sistema de calificación crediticia.</w:t>
      </w:r>
    </w:p>
    <w:p>
      <w:pPr>
        <w:pStyle w:val="Heading2"/>
        <w:spacing w:before="300" w:after="80"/>
      </w:pPr>
      <w:r>
        <w:rPr>
          <w:rFonts w:ascii="Arial" w:cs="Arial" w:eastAsia="Arial" w:hAnsi="Arial"/>
          <w:b/>
          <w:bCs/>
          <w:color w:val="2E5FA3"/>
          <w:sz w:val="24"/>
          <w:szCs w:val="24"/>
        </w:rPr>
        <w:t xml:space="preserve">2.2. Funcionalidades incluidas según plan</w:t>
      </w:r>
    </w:p>
    <w:p>
      <w:pPr>
        <w:spacing w:before="60" w:after="80" w:line="280"/>
        <w:jc w:val="both"/>
      </w:pPr>
      <w:r>
        <w:rPr>
          <w:rFonts w:ascii="Arial" w:cs="Arial" w:eastAsia="Arial" w:hAnsi="Arial"/>
          <w:color w:val="1A1A1A"/>
          <w:sz w:val="22"/>
          <w:szCs w:val="22"/>
        </w:rPr>
        <w:t xml:space="preserve">Las funcionalidades concretas disponibles para el Cliente dependerán del plan de suscripción contratado, según lo establecido en la Cláusula 4. El Proveedor podrá actualizar, ampliar o modificar funcionalidades con previo aviso razonable.</w:t>
      </w:r>
    </w:p>
    <w:p>
      <w:pPr>
        <w:pStyle w:val="Heading2"/>
        <w:spacing w:before="300" w:after="80"/>
      </w:pPr>
      <w:r>
        <w:rPr>
          <w:rFonts w:ascii="Arial" w:cs="Arial" w:eastAsia="Arial" w:hAnsi="Arial"/>
          <w:b/>
          <w:bCs/>
          <w:color w:val="2E5FA3"/>
          <w:sz w:val="24"/>
          <w:szCs w:val="24"/>
        </w:rPr>
        <w:t xml:space="preserve">2.3. Marco legal aplicable</w:t>
      </w:r>
    </w:p>
    <w:p>
      <w:pPr>
        <w:spacing w:before="60" w:after="80" w:line="280"/>
        <w:jc w:val="both"/>
      </w:pPr>
      <w:r>
        <w:rPr>
          <w:rFonts w:ascii="Arial" w:cs="Arial" w:eastAsia="Arial" w:hAnsi="Arial"/>
          <w:color w:val="1A1A1A"/>
          <w:sz w:val="22"/>
          <w:szCs w:val="22"/>
        </w:rPr>
        <w:t xml:space="preserve">Este Contrato se enmarca en el Marco Legal Integral de Debacu Evaluation360, que el Cliente declara conocer y aceptar:</w:t>
      </w:r>
    </w:p>
    <w:p>
      <w:pPr>
        <w:pStyle w:val="ListParagraph"/>
        <w:numPr>
          <w:ilvl w:val="0"/>
          <w:numId w:val="2"/>
        </w:numPr>
        <w:spacing w:before="40" w:after="50"/>
        <w:jc w:val="both"/>
      </w:pPr>
      <w:r>
        <w:rPr>
          <w:rFonts w:ascii="Arial" w:cs="Arial" w:eastAsia="Arial" w:hAnsi="Arial"/>
          <w:color w:val="1A1A1A"/>
          <w:sz w:val="22"/>
          <w:szCs w:val="22"/>
        </w:rPr>
        <w:t xml:space="preserve">Aviso Legal</w:t>
      </w:r>
    </w:p>
    <w:p>
      <w:pPr>
        <w:pStyle w:val="ListParagraph"/>
        <w:numPr>
          <w:ilvl w:val="0"/>
          <w:numId w:val="2"/>
        </w:numPr>
        <w:spacing w:before="40" w:after="50"/>
        <w:jc w:val="both"/>
      </w:pPr>
      <w:r>
        <w:rPr>
          <w:rFonts w:ascii="Arial" w:cs="Arial" w:eastAsia="Arial" w:hAnsi="Arial"/>
          <w:color w:val="1A1A1A"/>
          <w:sz w:val="22"/>
          <w:szCs w:val="22"/>
        </w:rPr>
        <w:t xml:space="preserve">Términos y Condiciones</w:t>
      </w:r>
    </w:p>
    <w:p>
      <w:pPr>
        <w:pStyle w:val="ListParagraph"/>
        <w:numPr>
          <w:ilvl w:val="0"/>
          <w:numId w:val="2"/>
        </w:numPr>
        <w:spacing w:before="40" w:after="50"/>
        <w:jc w:val="both"/>
      </w:pPr>
      <w:r>
        <w:rPr>
          <w:rFonts w:ascii="Arial" w:cs="Arial" w:eastAsia="Arial" w:hAnsi="Arial"/>
          <w:color w:val="1A1A1A"/>
          <w:sz w:val="22"/>
          <w:szCs w:val="22"/>
        </w:rPr>
        <w:t xml:space="preserve">Política de Privacidad</w:t>
      </w:r>
    </w:p>
    <w:p>
      <w:pPr>
        <w:pStyle w:val="ListParagraph"/>
        <w:numPr>
          <w:ilvl w:val="0"/>
          <w:numId w:val="2"/>
        </w:numPr>
        <w:spacing w:before="40" w:after="50"/>
        <w:jc w:val="both"/>
      </w:pPr>
      <w:r>
        <w:rPr>
          <w:rFonts w:ascii="Arial" w:cs="Arial" w:eastAsia="Arial" w:hAnsi="Arial"/>
          <w:color w:val="1A1A1A"/>
          <w:sz w:val="22"/>
          <w:szCs w:val="22"/>
        </w:rPr>
        <w:t xml:space="preserve">Política de Cookies</w:t>
      </w:r>
    </w:p>
    <w:p>
      <w:pPr>
        <w:pStyle w:val="ListParagraph"/>
        <w:numPr>
          <w:ilvl w:val="0"/>
          <w:numId w:val="2"/>
        </w:numPr>
        <w:spacing w:before="40" w:after="50"/>
        <w:jc w:val="both"/>
      </w:pPr>
      <w:r>
        <w:rPr>
          <w:rFonts w:ascii="Arial" w:cs="Arial" w:eastAsia="Arial" w:hAnsi="Arial"/>
          <w:color w:val="1A1A1A"/>
          <w:sz w:val="22"/>
          <w:szCs w:val="22"/>
        </w:rPr>
        <w:t xml:space="preserve">Política de Acceso y Uso Profesional</w:t>
      </w:r>
    </w:p>
    <w:p>
      <w:pPr>
        <w:pStyle w:val="ListParagraph"/>
        <w:numPr>
          <w:ilvl w:val="0"/>
          <w:numId w:val="2"/>
        </w:numPr>
        <w:spacing w:before="40" w:after="50"/>
        <w:jc w:val="both"/>
      </w:pPr>
      <w:r>
        <w:rPr>
          <w:rFonts w:ascii="Arial" w:cs="Arial" w:eastAsia="Arial" w:hAnsi="Arial"/>
          <w:color w:val="1A1A1A"/>
          <w:sz w:val="22"/>
          <w:szCs w:val="22"/>
        </w:rPr>
        <w:t xml:space="preserve">Política de Seguridad y Auditoría</w:t>
      </w:r>
    </w:p>
    <w:p>
      <w:pPr>
        <w:pStyle w:val="ListParagraph"/>
        <w:numPr>
          <w:ilvl w:val="0"/>
          <w:numId w:val="2"/>
        </w:numPr>
        <w:spacing w:before="40" w:after="50"/>
        <w:jc w:val="both"/>
      </w:pPr>
      <w:r>
        <w:rPr>
          <w:rFonts w:ascii="Arial" w:cs="Arial" w:eastAsia="Arial" w:hAnsi="Arial"/>
          <w:color w:val="1A1A1A"/>
          <w:sz w:val="22"/>
          <w:szCs w:val="22"/>
        </w:rPr>
        <w:t xml:space="preserve">Análisis de Interés Legítimo (LIA) — RGPD art. 6.1.f</w:t>
      </w:r>
    </w:p>
    <w:p>
      <w:pPr>
        <w:pStyle w:val="ListParagraph"/>
        <w:numPr>
          <w:ilvl w:val="0"/>
          <w:numId w:val="2"/>
        </w:numPr>
        <w:spacing w:before="40" w:after="50"/>
        <w:jc w:val="both"/>
      </w:pPr>
      <w:r>
        <w:rPr>
          <w:rFonts w:ascii="Arial" w:cs="Arial" w:eastAsia="Arial" w:hAnsi="Arial"/>
          <w:color w:val="1A1A1A"/>
          <w:sz w:val="22"/>
          <w:szCs w:val="22"/>
        </w:rPr>
        <w:t xml:space="preserve">Encargo de Tratamiento de Datos (DPA)</w:t>
      </w:r>
    </w:p>
    <w:p>
      <w:pPr>
        <w:pStyle w:val="ListParagraph"/>
        <w:numPr>
          <w:ilvl w:val="0"/>
          <w:numId w:val="2"/>
        </w:numPr>
        <w:spacing w:before="40" w:after="50"/>
        <w:jc w:val="both"/>
      </w:pPr>
      <w:r>
        <w:rPr>
          <w:rFonts w:ascii="Arial" w:cs="Arial" w:eastAsia="Arial" w:hAnsi="Arial"/>
          <w:color w:val="1A1A1A"/>
          <w:sz w:val="22"/>
          <w:szCs w:val="22"/>
        </w:rPr>
        <w:t xml:space="preserve">Cláusulas y Disclaimer</w:t>
      </w:r>
    </w:p>
    <w:p>
      <w:pPr>
        <w:spacing w:before="80" w:after="0"/>
      </w:pPr>
      <w:r>
        <w:t xml:space="preserve"/>
      </w:r>
    </w:p>
    <w:p>
      <w:pPr>
        <w:spacing w:before="60" w:after="80" w:line="280"/>
        <w:jc w:val="both"/>
      </w:pPr>
      <w:r>
        <w:rPr>
          <w:rFonts w:ascii="Arial" w:cs="Arial" w:eastAsia="Arial" w:hAnsi="Arial"/>
          <w:color w:val="1A1A1A"/>
          <w:sz w:val="22"/>
          <w:szCs w:val="22"/>
        </w:rPr>
        <w:t xml:space="preserve">En caso de conflicto entre este Contrato y cualquier documento del marco legal, prevalecerán los términos de este Contrato en lo referente a la relación específica entre Proveedor y Cliente.</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3. Duración y Renovación</w:t>
      </w:r>
    </w:p>
    <w:p>
      <w:pPr>
        <w:pStyle w:val="Heading2"/>
        <w:spacing w:before="300" w:after="80"/>
      </w:pPr>
      <w:r>
        <w:rPr>
          <w:rFonts w:ascii="Arial" w:cs="Arial" w:eastAsia="Arial" w:hAnsi="Arial"/>
          <w:b/>
          <w:bCs/>
          <w:color w:val="2E5FA3"/>
          <w:sz w:val="24"/>
          <w:szCs w:val="24"/>
        </w:rPr>
        <w:t xml:space="preserve">3.1. Duración inicial</w:t>
      </w:r>
    </w:p>
    <w:p>
      <w:pPr>
        <w:spacing w:before="60" w:after="80" w:line="280"/>
        <w:jc w:val="both"/>
      </w:pPr>
      <w:r>
        <w:rPr>
          <w:rFonts w:ascii="Arial" w:cs="Arial" w:eastAsia="Arial" w:hAnsi="Arial"/>
          <w:color w:val="1A1A1A"/>
          <w:sz w:val="22"/>
          <w:szCs w:val="22"/>
        </w:rPr>
        <w:t xml:space="preserve">El presente Contrato entrará en vigor en la fecha de aceptación online por el Cliente y tendrá una duración inicial de </w:t>
      </w:r>
      <w:r>
        <w:rPr>
          <w:rFonts w:ascii="Arial" w:cs="Arial" w:eastAsia="Arial" w:hAnsi="Arial"/>
          <w:b/>
          <w:bCs/>
          <w:i/>
          <w:iCs/>
          <w:color w:val="7B4F00"/>
          <w:sz w:val="22"/>
          <w:szCs w:val="22"/>
        </w:rPr>
        <w:t xml:space="preserve">[▶ 1 año / mes a mes / otro período]</w:t>
      </w:r>
      <w:r>
        <w:rPr>
          <w:rFonts w:ascii="Arial" w:cs="Arial" w:eastAsia="Arial" w:hAnsi="Arial"/>
          <w:color w:val="1A1A1A"/>
          <w:sz w:val="22"/>
          <w:szCs w:val="22"/>
        </w:rPr>
        <w:t xml:space="preserve">, salvo cancelación o resolución anticipada conforme a lo establecido en este Contrato.</w:t>
      </w:r>
    </w:p>
    <w:p>
      <w:pPr>
        <w:pStyle w:val="Heading2"/>
        <w:spacing w:before="300" w:after="80"/>
      </w:pPr>
      <w:r>
        <w:rPr>
          <w:rFonts w:ascii="Arial" w:cs="Arial" w:eastAsia="Arial" w:hAnsi="Arial"/>
          <w:b/>
          <w:bCs/>
          <w:color w:val="2E5FA3"/>
          <w:sz w:val="24"/>
          <w:szCs w:val="24"/>
        </w:rPr>
        <w:t xml:space="preserve">3.2. Renovación automática</w:t>
      </w:r>
    </w:p>
    <w:p>
      <w:pPr>
        <w:spacing w:before="60" w:after="80" w:line="280"/>
        <w:jc w:val="both"/>
      </w:pPr>
      <w:r>
        <w:rPr>
          <w:rFonts w:ascii="Arial" w:cs="Arial" w:eastAsia="Arial" w:hAnsi="Arial"/>
          <w:color w:val="1A1A1A"/>
          <w:sz w:val="22"/>
          <w:szCs w:val="22"/>
        </w:rPr>
        <w:t xml:space="preserve">Salvo cancelación expresa por cualquiera de las partes con un preaviso mínimo de </w:t>
      </w:r>
      <w:r>
        <w:rPr>
          <w:rFonts w:ascii="Arial" w:cs="Arial" w:eastAsia="Arial" w:hAnsi="Arial"/>
          <w:b/>
          <w:bCs/>
          <w:i/>
          <w:iCs/>
          <w:color w:val="7B4F00"/>
          <w:sz w:val="22"/>
          <w:szCs w:val="22"/>
        </w:rPr>
        <w:t xml:space="preserve">[▶ 30 / 15] días</w:t>
      </w:r>
      <w:r>
        <w:rPr>
          <w:rFonts w:ascii="Arial" w:cs="Arial" w:eastAsia="Arial" w:hAnsi="Arial"/>
          <w:color w:val="1A1A1A"/>
          <w:sz w:val="22"/>
          <w:szCs w:val="22"/>
        </w:rPr>
        <w:t xml:space="preserve"> antes del vencimiento, el Contrato se renovará automáticamente por períodos sucesivos de igual duración.</w:t>
      </w:r>
    </w:p>
    <w:p>
      <w:pPr>
        <w:spacing w:before="60" w:after="80" w:line="280"/>
        <w:jc w:val="both"/>
      </w:pPr>
      <w:r>
        <w:rPr>
          <w:rFonts w:ascii="Arial" w:cs="Arial" w:eastAsia="Arial" w:hAnsi="Arial"/>
          <w:color w:val="1A1A1A"/>
          <w:sz w:val="22"/>
          <w:szCs w:val="22"/>
        </w:rPr>
        <w:t xml:space="preserve">La renovación automática podrá desactivarse desde el área de cliente de la Plataforma o a través del portal del proveedor de pagos.</w:t>
      </w:r>
    </w:p>
    <w:p>
      <w:pPr>
        <w:pStyle w:val="Heading2"/>
        <w:spacing w:before="300" w:after="80"/>
      </w:pPr>
      <w:r>
        <w:rPr>
          <w:rFonts w:ascii="Arial" w:cs="Arial" w:eastAsia="Arial" w:hAnsi="Arial"/>
          <w:b/>
          <w:bCs/>
          <w:color w:val="2E5FA3"/>
          <w:sz w:val="24"/>
          <w:szCs w:val="24"/>
        </w:rPr>
        <w:t xml:space="preserve">3.3. Período de prueba</w:t>
      </w:r>
    </w:p>
    <w:p>
      <w:pPr>
        <w:spacing w:before="60" w:after="80" w:line="280"/>
        <w:jc w:val="both"/>
      </w:pPr>
      <w:r>
        <w:rPr>
          <w:rFonts w:ascii="Arial" w:cs="Arial" w:eastAsia="Arial" w:hAnsi="Arial"/>
          <w:color w:val="1A1A1A"/>
          <w:sz w:val="22"/>
          <w:szCs w:val="22"/>
        </w:rPr>
        <w:t xml:space="preserve">El Plan Inicial (gratuito) podrá utilizarse sin compromiso de permanencia durante </w:t>
      </w:r>
      <w:r>
        <w:rPr>
          <w:rFonts w:ascii="Arial" w:cs="Arial" w:eastAsia="Arial" w:hAnsi="Arial"/>
          <w:b/>
          <w:bCs/>
          <w:i/>
          <w:iCs/>
          <w:color w:val="7B4F00"/>
          <w:sz w:val="22"/>
          <w:szCs w:val="22"/>
        </w:rPr>
        <w:t xml:space="preserve">[▶ tiempo indefinido / X días]</w:t>
      </w:r>
      <w:r>
        <w:rPr>
          <w:rFonts w:ascii="Arial" w:cs="Arial" w:eastAsia="Arial" w:hAnsi="Arial"/>
          <w:color w:val="1A1A1A"/>
          <w:sz w:val="22"/>
          <w:szCs w:val="22"/>
        </w:rPr>
        <w:t xml:space="preserve">. La contratación de cualquier plan de pago implica la aceptación de la duración y las condiciones económicas pactadas.</w:t>
      </w:r>
    </w:p>
    <w:p>
      <w:pPr>
        <w:pStyle w:val="Heading2"/>
        <w:spacing w:before="300" w:after="80"/>
      </w:pPr>
      <w:r>
        <w:rPr>
          <w:rFonts w:ascii="Arial" w:cs="Arial" w:eastAsia="Arial" w:hAnsi="Arial"/>
          <w:b/>
          <w:bCs/>
          <w:color w:val="2E5FA3"/>
          <w:sz w:val="24"/>
          <w:szCs w:val="24"/>
        </w:rPr>
        <w:t xml:space="preserve">3.4. Resolución anticipada</w:t>
      </w:r>
    </w:p>
    <w:p>
      <w:pPr>
        <w:spacing w:before="60" w:after="80" w:line="280"/>
        <w:jc w:val="both"/>
      </w:pPr>
      <w:r>
        <w:rPr>
          <w:rFonts w:ascii="Arial" w:cs="Arial" w:eastAsia="Arial" w:hAnsi="Arial"/>
          <w:color w:val="1A1A1A"/>
          <w:sz w:val="22"/>
          <w:szCs w:val="22"/>
        </w:rPr>
        <w:t xml:space="preserve">Cualquiera de las partes podrá resolver el Contrato de forma anticipada en los siguientes supuestos:</w:t>
      </w:r>
    </w:p>
    <w:p>
      <w:pPr>
        <w:pStyle w:val="ListParagraph"/>
        <w:numPr>
          <w:ilvl w:val="0"/>
          <w:numId w:val="2"/>
        </w:numPr>
        <w:spacing w:before="40" w:after="50"/>
        <w:jc w:val="both"/>
      </w:pPr>
      <w:r>
        <w:rPr>
          <w:rFonts w:ascii="Arial" w:cs="Arial" w:eastAsia="Arial" w:hAnsi="Arial"/>
          <w:color w:val="1A1A1A"/>
          <w:sz w:val="22"/>
          <w:szCs w:val="22"/>
        </w:rPr>
        <w:t xml:space="preserve">Incumplimiento grave o reiterado de las obligaciones contractuales por la otra parte, si no se subsana en el plazo de 15 días hábiles desde la notificación fehaciente.</w:t>
      </w:r>
    </w:p>
    <w:p>
      <w:pPr>
        <w:pStyle w:val="ListParagraph"/>
        <w:numPr>
          <w:ilvl w:val="0"/>
          <w:numId w:val="2"/>
        </w:numPr>
        <w:spacing w:before="40" w:after="50"/>
        <w:jc w:val="both"/>
      </w:pPr>
      <w:r>
        <w:rPr>
          <w:rFonts w:ascii="Arial" w:cs="Arial" w:eastAsia="Arial" w:hAnsi="Arial"/>
          <w:color w:val="1A1A1A"/>
          <w:sz w:val="22"/>
          <w:szCs w:val="22"/>
        </w:rPr>
        <w:t xml:space="preserve">Insolvencia, concurso de acreedores o liquidación de cualquiera de las partes.</w:t>
      </w:r>
    </w:p>
    <w:p>
      <w:pPr>
        <w:pStyle w:val="ListParagraph"/>
        <w:numPr>
          <w:ilvl w:val="0"/>
          <w:numId w:val="2"/>
        </w:numPr>
        <w:spacing w:before="40" w:after="50"/>
        <w:jc w:val="both"/>
      </w:pPr>
      <w:r>
        <w:rPr>
          <w:rFonts w:ascii="Arial" w:cs="Arial" w:eastAsia="Arial" w:hAnsi="Arial"/>
          <w:color w:val="1A1A1A"/>
          <w:sz w:val="22"/>
          <w:szCs w:val="22"/>
        </w:rPr>
        <w:t xml:space="preserve">Por mutuo acuerdo de las partes, documentado por escrito.</w:t>
      </w:r>
    </w:p>
    <w:p>
      <w:pPr>
        <w:pStyle w:val="ListParagraph"/>
        <w:numPr>
          <w:ilvl w:val="0"/>
          <w:numId w:val="2"/>
        </w:numPr>
        <w:spacing w:before="40" w:after="50"/>
        <w:jc w:val="both"/>
      </w:pPr>
      <w:r>
        <w:rPr>
          <w:rFonts w:ascii="Arial" w:cs="Arial" w:eastAsia="Arial" w:hAnsi="Arial"/>
          <w:color w:val="1A1A1A"/>
          <w:sz w:val="22"/>
          <w:szCs w:val="22"/>
        </w:rPr>
        <w:t xml:space="preserve">Por el Cliente: cancelación de la suscripción a través de los canales previstos en la Plataforma.</w:t>
      </w:r>
    </w:p>
    <w:p>
      <w:pPr>
        <w:pStyle w:val="ListParagraph"/>
        <w:numPr>
          <w:ilvl w:val="0"/>
          <w:numId w:val="2"/>
        </w:numPr>
        <w:spacing w:before="40" w:after="50"/>
        <w:jc w:val="both"/>
      </w:pPr>
      <w:r>
        <w:rPr>
          <w:rFonts w:ascii="Arial" w:cs="Arial" w:eastAsia="Arial" w:hAnsi="Arial"/>
          <w:color w:val="1A1A1A"/>
          <w:sz w:val="22"/>
          <w:szCs w:val="22"/>
        </w:rPr>
        <w:t xml:space="preserve">Por el Proveedor: cuando se detecte uso contrario a la normativa o a los términos del Contrato, con las garantías establecidas.</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4. Precios, Planes y Facturación</w:t>
      </w:r>
    </w:p>
    <w:p>
      <w:pPr>
        <w:pStyle w:val="Heading2"/>
        <w:spacing w:before="300" w:after="80"/>
      </w:pPr>
      <w:r>
        <w:rPr>
          <w:rFonts w:ascii="Arial" w:cs="Arial" w:eastAsia="Arial" w:hAnsi="Arial"/>
          <w:b/>
          <w:bCs/>
          <w:color w:val="2E5FA3"/>
          <w:sz w:val="24"/>
          <w:szCs w:val="24"/>
        </w:rPr>
        <w:t xml:space="preserve">4.1. Planes de suscripción</w:t>
      </w:r>
    </w:p>
    <w:p>
      <w:pPr>
        <w:spacing w:before="60" w:after="80" w:line="280"/>
        <w:jc w:val="both"/>
      </w:pPr>
      <w:r>
        <w:rPr>
          <w:rFonts w:ascii="Arial" w:cs="Arial" w:eastAsia="Arial" w:hAnsi="Arial"/>
          <w:color w:val="1A1A1A"/>
          <w:sz w:val="22"/>
          <w:szCs w:val="22"/>
        </w:rPr>
        <w:t xml:space="preserve">La Plataforma ofrece los siguientes planes de suscripción. Los precios indicados son sin IVA salvo mención expresa. El IVA aplicable es el vigente en España en el momento de la facturación:</w:t>
      </w:r>
    </w:p>
    <w:p>
      <w:pPr>
        <w:spacing w:before="8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6"/>
        <w:gridCol w:w="340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Precio mensual</w:t>
            </w:r>
          </w:p>
        </w:tc>
        <w:tc>
          <w:tcPr>
            <w:tcW w:type="dxa" w:w="1906"/>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Precio anual</w:t>
            </w:r>
          </w:p>
        </w:tc>
        <w:tc>
          <w:tcPr>
            <w:tcW w:type="dxa" w:w="3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Características principales</w:t>
            </w:r>
          </w:p>
        </w:tc>
      </w:tr>
      <w:tr>
        <w:tc>
          <w:tcPr>
            <w:tcW w:type="dxa" w:w="1800"/>
            <w:tcBorders>
              <w:top w:val="single" w:color="D9E1F2" w:sz="1"/>
              <w:left w:val="single" w:color="D9E1F2" w:sz="1"/>
              <w:bottom w:val="single" w:color="D9E1F2" w:sz="1"/>
              <w:right w:val="single" w:color="D9E1F2" w:sz="1"/>
            </w:tcBorders>
            <w:shd w:fill="F2F5FB" w:val="clear"/>
            <w:tcMar>
              <w:top w:type="dxa" w:w="80"/>
              <w:left w:type="dxa" w:w="120"/>
              <w:bottom w:type="dxa" w:w="80"/>
              <w:right w:type="dxa" w:w="120"/>
            </w:tcMar>
          </w:tcPr>
          <w:p>
            <w:r>
              <w:rPr>
                <w:rFonts w:ascii="Arial" w:cs="Arial" w:eastAsia="Arial" w:hAnsi="Arial"/>
                <w:color w:val="1A1A1A"/>
                <w:sz w:val="22"/>
                <w:szCs w:val="22"/>
              </w:rPr>
              <w:t xml:space="preserve">Inicial / Gratuito</w:t>
            </w:r>
          </w:p>
        </w:tc>
        <w:tc>
          <w:tcPr>
            <w:tcW w:type="dxa" w:w="1900"/>
            <w:tcBorders>
              <w:top w:val="single" w:color="D9E1F2" w:sz="1"/>
              <w:left w:val="single" w:color="D9E1F2" w:sz="1"/>
              <w:bottom w:val="single" w:color="D9E1F2" w:sz="1"/>
              <w:right w:val="single" w:color="D9E1F2" w:sz="1"/>
            </w:tcBorders>
            <w:shd w:fill="F2F5FB" w:val="clear"/>
            <w:tcMar>
              <w:top w:type="dxa" w:w="80"/>
              <w:left w:type="dxa" w:w="120"/>
              <w:bottom w:type="dxa" w:w="80"/>
              <w:right w:type="dxa" w:w="120"/>
            </w:tcMar>
          </w:tcPr>
          <w:p>
            <w:r>
              <w:rPr>
                <w:rFonts w:ascii="Arial" w:cs="Arial" w:eastAsia="Arial" w:hAnsi="Arial"/>
                <w:color w:val="1A1A1A"/>
                <w:sz w:val="22"/>
                <w:szCs w:val="22"/>
              </w:rPr>
              <w:t xml:space="preserve">0 €</w:t>
            </w:r>
          </w:p>
        </w:tc>
        <w:tc>
          <w:tcPr>
            <w:tcW w:type="dxa" w:w="1906"/>
            <w:tcBorders>
              <w:top w:val="single" w:color="D9E1F2" w:sz="1"/>
              <w:left w:val="single" w:color="D9E1F2" w:sz="1"/>
              <w:bottom w:val="single" w:color="D9E1F2" w:sz="1"/>
              <w:right w:val="single" w:color="D9E1F2" w:sz="1"/>
            </w:tcBorders>
            <w:shd w:fill="F2F5FB" w:val="clear"/>
            <w:tcMar>
              <w:top w:type="dxa" w:w="80"/>
              <w:left w:type="dxa" w:w="120"/>
              <w:bottom w:type="dxa" w:w="80"/>
              <w:right w:type="dxa" w:w="120"/>
            </w:tcMar>
          </w:tcPr>
          <w:p>
            <w:r>
              <w:rPr>
                <w:rFonts w:ascii="Arial" w:cs="Arial" w:eastAsia="Arial" w:hAnsi="Arial"/>
                <w:color w:val="1A1A1A"/>
                <w:sz w:val="22"/>
                <w:szCs w:val="22"/>
              </w:rPr>
              <w:t xml:space="preserve">0 €</w:t>
            </w:r>
          </w:p>
        </w:tc>
        <w:tc>
          <w:tcPr>
            <w:tcW w:type="dxa" w:w="3400"/>
            <w:tcBorders>
              <w:top w:val="single" w:color="D9E1F2" w:sz="1"/>
              <w:left w:val="single" w:color="D9E1F2" w:sz="1"/>
              <w:bottom w:val="single" w:color="D9E1F2" w:sz="1"/>
              <w:right w:val="single" w:color="D9E1F2" w:sz="1"/>
            </w:tcBorders>
            <w:shd w:fill="F2F5FB" w:val="clear"/>
            <w:tcMar>
              <w:top w:type="dxa" w:w="80"/>
              <w:left w:type="dxa" w:w="120"/>
              <w:bottom w:type="dxa" w:w="80"/>
              <w:right w:type="dxa" w:w="120"/>
            </w:tcMar>
          </w:tcPr>
          <w:p>
            <w:r>
              <w:rPr>
                <w:rFonts w:ascii="Arial" w:cs="Arial" w:eastAsia="Arial" w:hAnsi="Arial"/>
                <w:color w:val="1A1A1A"/>
                <w:sz w:val="22"/>
                <w:szCs w:val="22"/>
              </w:rPr>
              <w:t xml:space="preserve">Acceso básico, funcionalidades limitadas</w:t>
            </w:r>
          </w:p>
        </w:tc>
      </w:tr>
      <w:tr>
        <w:tc>
          <w:tcPr>
            <w:tcW w:type="dxa" w:w="1800"/>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PLAN_NOMBRE]</w:t>
            </w:r>
          </w:p>
        </w:tc>
        <w:tc>
          <w:tcPr>
            <w:tcW w:type="dxa" w:w="1900"/>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XX,XX €]</w:t>
            </w:r>
          </w:p>
        </w:tc>
        <w:tc>
          <w:tcPr>
            <w:tcW w:type="dxa" w:w="1906"/>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XX,XX €]</w:t>
            </w:r>
          </w:p>
        </w:tc>
        <w:tc>
          <w:tcPr>
            <w:tcW w:type="dxa" w:w="3400"/>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Descripción de características]</w:t>
            </w:r>
          </w:p>
        </w:tc>
      </w:tr>
      <w:tr>
        <w:tc>
          <w:tcPr>
            <w:tcW w:type="dxa" w:w="1800"/>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PLAN_NOMBRE]</w:t>
            </w:r>
          </w:p>
        </w:tc>
        <w:tc>
          <w:tcPr>
            <w:tcW w:type="dxa" w:w="1900"/>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XX,XX €]</w:t>
            </w:r>
          </w:p>
        </w:tc>
        <w:tc>
          <w:tcPr>
            <w:tcW w:type="dxa" w:w="1906"/>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XX,XX €]</w:t>
            </w:r>
          </w:p>
        </w:tc>
        <w:tc>
          <w:tcPr>
            <w:tcW w:type="dxa" w:w="3400"/>
            <w:tcBorders>
              <w:top w:val="single" w:color="D9E1F2" w:sz="1"/>
              <w:left w:val="single" w:color="D9E1F2" w:sz="1"/>
              <w:bottom w:val="single" w:color="D9E1F2" w:sz="1"/>
              <w:right w:val="single" w:color="D9E1F2" w:sz="1"/>
            </w:tcBorders>
            <w:shd w:fill="FFF9E6" w:val="clear"/>
            <w:tcMar>
              <w:top w:type="dxa" w:w="80"/>
              <w:left w:type="dxa" w:w="120"/>
              <w:bottom w:type="dxa" w:w="80"/>
              <w:right w:type="dxa" w:w="120"/>
            </w:tcMar>
          </w:tcPr>
          <w:p>
            <w:r>
              <w:rPr>
                <w:rFonts w:ascii="Arial" w:cs="Arial" w:eastAsia="Arial" w:hAnsi="Arial"/>
                <w:b/>
                <w:bCs/>
                <w:i/>
                <w:iCs/>
                <w:color w:val="7B4F00"/>
                <w:sz w:val="22"/>
                <w:szCs w:val="22"/>
              </w:rPr>
              <w:t xml:space="preserve">[▶ Descripción de características]</w:t>
            </w:r>
          </w:p>
        </w:tc>
      </w:tr>
    </w:tbl>
    <w:p>
      <w:pPr>
        <w:spacing w:before="80" w:after="0"/>
      </w:pPr>
      <w:r>
        <w:t xml:space="preserve"/>
      </w:r>
    </w:p>
    <w:p>
      <w:pPr>
        <w:spacing w:before="60" w:after="80" w:line="280"/>
        <w:jc w:val="both"/>
      </w:pPr>
      <w:r>
        <w:rPr>
          <w:rFonts w:ascii="Arial" w:cs="Arial" w:eastAsia="Arial" w:hAnsi="Arial"/>
          <w:color w:val="1A1A1A"/>
          <w:sz w:val="22"/>
          <w:szCs w:val="22"/>
        </w:rPr>
        <w:t xml:space="preserve">Las características detalladas de cada plan están descritas en la web de la Plataforma y en el área de cliente. El Proveedor se reserva el derecho a modificar los planes con un preaviso mínimo de 30 días.</w:t>
      </w:r>
    </w:p>
    <w:p>
      <w:pPr>
        <w:pStyle w:val="Heading2"/>
        <w:spacing w:before="300" w:after="80"/>
      </w:pPr>
      <w:r>
        <w:rPr>
          <w:rFonts w:ascii="Arial" w:cs="Arial" w:eastAsia="Arial" w:hAnsi="Arial"/>
          <w:b/>
          <w:bCs/>
          <w:color w:val="2E5FA3"/>
          <w:sz w:val="24"/>
          <w:szCs w:val="24"/>
        </w:rPr>
        <w:t xml:space="preserve">4.2. Facturación y pago</w:t>
      </w:r>
    </w:p>
    <w:p>
      <w:pPr>
        <w:spacing w:before="60" w:after="80" w:line="280"/>
        <w:jc w:val="both"/>
      </w:pPr>
      <w:r>
        <w:rPr>
          <w:rFonts w:ascii="Arial" w:cs="Arial" w:eastAsia="Arial" w:hAnsi="Arial"/>
          <w:color w:val="1A1A1A"/>
          <w:sz w:val="22"/>
          <w:szCs w:val="22"/>
        </w:rPr>
        <w:t xml:space="preserve">La facturación se realizará </w:t>
      </w:r>
      <w:r>
        <w:rPr>
          <w:rFonts w:ascii="Arial" w:cs="Arial" w:eastAsia="Arial" w:hAnsi="Arial"/>
          <w:b/>
          <w:bCs/>
          <w:i/>
          <w:iCs/>
          <w:color w:val="7B4F00"/>
          <w:sz w:val="22"/>
          <w:szCs w:val="22"/>
        </w:rPr>
        <w:t xml:space="preserve">[▶ mensualmente / anualmente]</w:t>
      </w:r>
      <w:r>
        <w:rPr>
          <w:rFonts w:ascii="Arial" w:cs="Arial" w:eastAsia="Arial" w:hAnsi="Arial"/>
          <w:color w:val="1A1A1A"/>
          <w:sz w:val="22"/>
          <w:szCs w:val="22"/>
        </w:rPr>
        <w:t xml:space="preserve"> mediante cargo automático al método de pago facilitado por el Cliente. La gestión de pagos se realiza a través de Stripe (pasarela de pago de terceros).</w:t>
      </w:r>
    </w:p>
    <w:p>
      <w:pPr>
        <w:spacing w:before="60" w:after="80" w:line="280"/>
        <w:jc w:val="both"/>
      </w:pPr>
      <w:r>
        <w:rPr>
          <w:rFonts w:ascii="Arial" w:cs="Arial" w:eastAsia="Arial" w:hAnsi="Arial"/>
          <w:color w:val="1A1A1A"/>
          <w:sz w:val="22"/>
          <w:szCs w:val="22"/>
        </w:rPr>
        <w:t xml:space="preserve">El Cliente autoriza los cargos recurrentes correspondientes al plan contratado y su posible renovación automática.</w:t>
      </w:r>
    </w:p>
    <w:p>
      <w:pPr>
        <w:pStyle w:val="Heading2"/>
        <w:spacing w:before="300" w:after="80"/>
      </w:pPr>
      <w:r>
        <w:rPr>
          <w:rFonts w:ascii="Arial" w:cs="Arial" w:eastAsia="Arial" w:hAnsi="Arial"/>
          <w:b/>
          <w:bCs/>
          <w:color w:val="2E5FA3"/>
          <w:sz w:val="24"/>
          <w:szCs w:val="24"/>
        </w:rPr>
        <w:t xml:space="preserve">4.3. Impago y suspensión</w:t>
      </w:r>
    </w:p>
    <w:p>
      <w:pPr>
        <w:spacing w:before="60" w:after="80" w:line="280"/>
        <w:jc w:val="both"/>
      </w:pPr>
      <w:r>
        <w:rPr>
          <w:rFonts w:ascii="Arial" w:cs="Arial" w:eastAsia="Arial" w:hAnsi="Arial"/>
          <w:color w:val="1A1A1A"/>
          <w:sz w:val="22"/>
          <w:szCs w:val="22"/>
        </w:rPr>
        <w:t xml:space="preserve">En caso de impago, el Proveedor podrá, previa notificación al Cliente:</w:t>
      </w:r>
    </w:p>
    <w:p>
      <w:pPr>
        <w:pStyle w:val="ListParagraph"/>
        <w:numPr>
          <w:ilvl w:val="0"/>
          <w:numId w:val="2"/>
        </w:numPr>
        <w:spacing w:before="40" w:after="50"/>
        <w:jc w:val="both"/>
      </w:pPr>
      <w:r>
        <w:rPr>
          <w:rFonts w:ascii="Arial" w:cs="Arial" w:eastAsia="Arial" w:hAnsi="Arial"/>
          <w:color w:val="1A1A1A"/>
          <w:sz w:val="22"/>
          <w:szCs w:val="22"/>
        </w:rPr>
        <w:t xml:space="preserve">Suspender temporalmente el acceso a la Plataforma hasta la regularización.</w:t>
      </w:r>
    </w:p>
    <w:p>
      <w:pPr>
        <w:pStyle w:val="ListParagraph"/>
        <w:numPr>
          <w:ilvl w:val="0"/>
          <w:numId w:val="2"/>
        </w:numPr>
        <w:spacing w:before="40" w:after="50"/>
        <w:jc w:val="both"/>
      </w:pPr>
      <w:r>
        <w:rPr>
          <w:rFonts w:ascii="Arial" w:cs="Arial" w:eastAsia="Arial" w:hAnsi="Arial"/>
          <w:color w:val="1A1A1A"/>
          <w:sz w:val="22"/>
          <w:szCs w:val="22"/>
        </w:rPr>
        <w:t xml:space="preserve">Resolver el Contrato si el impago persiste más de 15 días hábiles desde la notificación.</w:t>
      </w:r>
    </w:p>
    <w:p>
      <w:pPr>
        <w:pStyle w:val="Heading2"/>
        <w:spacing w:before="300" w:after="80"/>
      </w:pPr>
      <w:r>
        <w:rPr>
          <w:rFonts w:ascii="Arial" w:cs="Arial" w:eastAsia="Arial" w:hAnsi="Arial"/>
          <w:b/>
          <w:bCs/>
          <w:color w:val="2E5FA3"/>
          <w:sz w:val="24"/>
          <w:szCs w:val="24"/>
        </w:rPr>
        <w:t xml:space="preserve">4.4. Modificación de precios</w:t>
      </w:r>
    </w:p>
    <w:p>
      <w:pPr>
        <w:spacing w:before="60" w:after="80" w:line="280"/>
        <w:jc w:val="both"/>
      </w:pPr>
      <w:r>
        <w:rPr>
          <w:rFonts w:ascii="Arial" w:cs="Arial" w:eastAsia="Arial" w:hAnsi="Arial"/>
          <w:color w:val="1A1A1A"/>
          <w:sz w:val="22"/>
          <w:szCs w:val="22"/>
        </w:rPr>
        <w:t xml:space="preserve">El Proveedor podrá modificar los precios de los planes con un preaviso mínimo de 30 días naturales. Si el Cliente no acepta la modificación, podrá cancelar el Contrato antes de la fecha de efecto del nuevo precio sin penalización.</w:t>
      </w:r>
    </w:p>
    <w:p>
      <w:pPr>
        <w:pStyle w:val="Heading2"/>
        <w:spacing w:before="300" w:after="80"/>
      </w:pPr>
      <w:r>
        <w:rPr>
          <w:rFonts w:ascii="Arial" w:cs="Arial" w:eastAsia="Arial" w:hAnsi="Arial"/>
          <w:b/>
          <w:bCs/>
          <w:color w:val="2E5FA3"/>
          <w:sz w:val="24"/>
          <w:szCs w:val="24"/>
        </w:rPr>
        <w:t xml:space="preserve">4.5. Reembolsos</w:t>
      </w:r>
    </w:p>
    <w:p>
      <w:pPr>
        <w:spacing w:before="60" w:after="80" w:line="280"/>
        <w:jc w:val="both"/>
      </w:pPr>
      <w:r>
        <w:rPr>
          <w:rFonts w:ascii="Arial" w:cs="Arial" w:eastAsia="Arial" w:hAnsi="Arial"/>
          <w:color w:val="1A1A1A"/>
          <w:sz w:val="22"/>
          <w:szCs w:val="22"/>
        </w:rPr>
        <w:t xml:space="preserve">Salvo disposición legal contraria o acuerdo expreso, no se aplicarán reembolsos por períodos ya facturados y no consumidos. Las cancelaciones tendrán efecto al final del período de facturación en curso.</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5. Obligaciones de las Partes</w:t>
      </w:r>
    </w:p>
    <w:p>
      <w:pPr>
        <w:pStyle w:val="Heading2"/>
        <w:spacing w:before="300" w:after="80"/>
      </w:pPr>
      <w:r>
        <w:rPr>
          <w:rFonts w:ascii="Arial" w:cs="Arial" w:eastAsia="Arial" w:hAnsi="Arial"/>
          <w:b/>
          <w:bCs/>
          <w:color w:val="2E5FA3"/>
          <w:sz w:val="24"/>
          <w:szCs w:val="24"/>
        </w:rPr>
        <w:t xml:space="preserve">5.1. Obligaciones del Proveedor</w:t>
      </w:r>
    </w:p>
    <w:p>
      <w:pPr>
        <w:pStyle w:val="ListParagraph"/>
        <w:numPr>
          <w:ilvl w:val="0"/>
          <w:numId w:val="2"/>
        </w:numPr>
        <w:spacing w:before="40" w:after="50"/>
        <w:jc w:val="both"/>
      </w:pPr>
      <w:r>
        <w:rPr>
          <w:rFonts w:ascii="Arial" w:cs="Arial" w:eastAsia="Arial" w:hAnsi="Arial"/>
          <w:color w:val="1A1A1A"/>
          <w:sz w:val="22"/>
          <w:szCs w:val="22"/>
        </w:rPr>
        <w:t xml:space="preserve">Poner a disposición del Cliente la Plataforma conforme al plan contratado.</w:t>
      </w:r>
    </w:p>
    <w:p>
      <w:pPr>
        <w:pStyle w:val="ListParagraph"/>
        <w:numPr>
          <w:ilvl w:val="0"/>
          <w:numId w:val="2"/>
        </w:numPr>
        <w:spacing w:before="40" w:after="50"/>
        <w:jc w:val="both"/>
      </w:pPr>
      <w:r>
        <w:rPr>
          <w:rFonts w:ascii="Arial" w:cs="Arial" w:eastAsia="Arial" w:hAnsi="Arial"/>
          <w:color w:val="1A1A1A"/>
          <w:sz w:val="22"/>
          <w:szCs w:val="22"/>
        </w:rPr>
        <w:t xml:space="preserve">Mantener un nivel de seguridad adecuado al riesgo, conforme al art. 32 RGPD y las medidas descritas en la Política de Seguridad.</w:t>
      </w:r>
    </w:p>
    <w:p>
      <w:pPr>
        <w:pStyle w:val="ListParagraph"/>
        <w:numPr>
          <w:ilvl w:val="0"/>
          <w:numId w:val="2"/>
        </w:numPr>
        <w:spacing w:before="40" w:after="50"/>
        <w:jc w:val="both"/>
      </w:pPr>
      <w:r>
        <w:rPr>
          <w:rFonts w:ascii="Arial" w:cs="Arial" w:eastAsia="Arial" w:hAnsi="Arial"/>
          <w:color w:val="1A1A1A"/>
          <w:sz w:val="22"/>
          <w:szCs w:val="22"/>
        </w:rPr>
        <w:t xml:space="preserve">Tratar los datos personales del Cliente exclusivamente conforme a las instrucciones documentadas del Responsable del tratamiento (Cliente), según la Cláusula 7.</w:t>
      </w:r>
    </w:p>
    <w:p>
      <w:pPr>
        <w:pStyle w:val="ListParagraph"/>
        <w:numPr>
          <w:ilvl w:val="0"/>
          <w:numId w:val="2"/>
        </w:numPr>
        <w:spacing w:before="40" w:after="50"/>
        <w:jc w:val="both"/>
      </w:pPr>
      <w:r>
        <w:rPr>
          <w:rFonts w:ascii="Arial" w:cs="Arial" w:eastAsia="Arial" w:hAnsi="Arial"/>
          <w:color w:val="1A1A1A"/>
          <w:sz w:val="22"/>
          <w:szCs w:val="22"/>
        </w:rPr>
        <w:t xml:space="preserve">Notificar al Cliente, sin dilación indebida, cualquier violación de seguridad de los datos personales que pueda afectarle.</w:t>
      </w:r>
    </w:p>
    <w:p>
      <w:pPr>
        <w:pStyle w:val="ListParagraph"/>
        <w:numPr>
          <w:ilvl w:val="0"/>
          <w:numId w:val="2"/>
        </w:numPr>
        <w:spacing w:before="40" w:after="50"/>
        <w:jc w:val="both"/>
      </w:pPr>
      <w:r>
        <w:rPr>
          <w:rFonts w:ascii="Arial" w:cs="Arial" w:eastAsia="Arial" w:hAnsi="Arial"/>
          <w:color w:val="1A1A1A"/>
          <w:sz w:val="22"/>
          <w:szCs w:val="22"/>
        </w:rPr>
        <w:t xml:space="preserve">Mantener la confidencialidad de la información del Cliente.</w:t>
      </w:r>
    </w:p>
    <w:p>
      <w:pPr>
        <w:pStyle w:val="ListParagraph"/>
        <w:numPr>
          <w:ilvl w:val="0"/>
          <w:numId w:val="2"/>
        </w:numPr>
        <w:spacing w:before="40" w:after="50"/>
        <w:jc w:val="both"/>
      </w:pPr>
      <w:r>
        <w:rPr>
          <w:rFonts w:ascii="Arial" w:cs="Arial" w:eastAsia="Arial" w:hAnsi="Arial"/>
          <w:color w:val="1A1A1A"/>
          <w:sz w:val="22"/>
          <w:szCs w:val="22"/>
        </w:rPr>
        <w:t xml:space="preserve">Notificar con antelación razonable cualquier modificación relevante del servicio, precios o condiciones contractuales.</w:t>
      </w:r>
    </w:p>
    <w:p>
      <w:pPr>
        <w:pStyle w:val="ListParagraph"/>
        <w:numPr>
          <w:ilvl w:val="0"/>
          <w:numId w:val="2"/>
        </w:numPr>
        <w:spacing w:before="40" w:after="50"/>
        <w:jc w:val="both"/>
      </w:pPr>
      <w:r>
        <w:rPr>
          <w:rFonts w:ascii="Arial" w:cs="Arial" w:eastAsia="Arial" w:hAnsi="Arial"/>
          <w:color w:val="1A1A1A"/>
          <w:sz w:val="22"/>
          <w:szCs w:val="22"/>
        </w:rPr>
        <w:t xml:space="preserve">Gestionar y atender las solicitudes de ejercicio de derechos RGPD remitidas al Proveedor en su calidad de Encargado.</w:t>
      </w:r>
    </w:p>
    <w:p>
      <w:pPr>
        <w:pStyle w:val="Heading2"/>
        <w:spacing w:before="300" w:after="80"/>
      </w:pPr>
      <w:r>
        <w:rPr>
          <w:rFonts w:ascii="Arial" w:cs="Arial" w:eastAsia="Arial" w:hAnsi="Arial"/>
          <w:b/>
          <w:bCs/>
          <w:color w:val="2E5FA3"/>
          <w:sz w:val="24"/>
          <w:szCs w:val="24"/>
        </w:rPr>
        <w:t xml:space="preserve">5.2. Obligaciones del Cliente</w:t>
      </w:r>
    </w:p>
    <w:p>
      <w:pPr>
        <w:pStyle w:val="ListParagraph"/>
        <w:numPr>
          <w:ilvl w:val="0"/>
          <w:numId w:val="2"/>
        </w:numPr>
        <w:spacing w:before="40" w:after="50"/>
        <w:jc w:val="both"/>
      </w:pPr>
      <w:r>
        <w:rPr>
          <w:rFonts w:ascii="Arial" w:cs="Arial" w:eastAsia="Arial" w:hAnsi="Arial"/>
          <w:color w:val="1A1A1A"/>
          <w:sz w:val="22"/>
          <w:szCs w:val="22"/>
        </w:rPr>
        <w:t xml:space="preserve">Utilizar la Plataforma exclusivamente para fines profesionales internos, conforme a la finalidad del servicio.</w:t>
      </w:r>
    </w:p>
    <w:p>
      <w:pPr>
        <w:pStyle w:val="ListParagraph"/>
        <w:numPr>
          <w:ilvl w:val="0"/>
          <w:numId w:val="2"/>
        </w:numPr>
        <w:spacing w:before="40" w:after="50"/>
        <w:jc w:val="both"/>
      </w:pPr>
      <w:r>
        <w:rPr>
          <w:rFonts w:ascii="Arial" w:cs="Arial" w:eastAsia="Arial" w:hAnsi="Arial"/>
          <w:color w:val="1A1A1A"/>
          <w:sz w:val="22"/>
          <w:szCs w:val="22"/>
        </w:rPr>
        <w:t xml:space="preserve">Facilitar información veraz en el proceso de alta y mantenerla actualizada.</w:t>
      </w:r>
    </w:p>
    <w:p>
      <w:pPr>
        <w:pStyle w:val="ListParagraph"/>
        <w:numPr>
          <w:ilvl w:val="0"/>
          <w:numId w:val="2"/>
        </w:numPr>
        <w:spacing w:before="40" w:after="50"/>
        <w:jc w:val="both"/>
      </w:pPr>
      <w:r>
        <w:rPr>
          <w:rFonts w:ascii="Arial" w:cs="Arial" w:eastAsia="Arial" w:hAnsi="Arial"/>
          <w:color w:val="1A1A1A"/>
          <w:sz w:val="22"/>
          <w:szCs w:val="22"/>
        </w:rPr>
        <w:t xml:space="preserve">Custodiar con diligencia las credenciales de acceso, no compartirlas y notificar al Proveedor cualquier acceso no autorizado detectado.</w:t>
      </w:r>
    </w:p>
    <w:p>
      <w:pPr>
        <w:pStyle w:val="ListParagraph"/>
        <w:numPr>
          <w:ilvl w:val="0"/>
          <w:numId w:val="2"/>
        </w:numPr>
        <w:spacing w:before="40" w:after="50"/>
        <w:jc w:val="both"/>
      </w:pPr>
      <w:r>
        <w:rPr>
          <w:rFonts w:ascii="Arial" w:cs="Arial" w:eastAsia="Arial" w:hAnsi="Arial"/>
          <w:color w:val="1A1A1A"/>
          <w:sz w:val="22"/>
          <w:szCs w:val="22"/>
        </w:rPr>
        <w:t xml:space="preserve">No realizar accesos automatizados, scraping, ingeniería inversa ni intentar vulnerar las medidas de seguridad.</w:t>
      </w:r>
    </w:p>
    <w:p>
      <w:pPr>
        <w:pStyle w:val="ListParagraph"/>
        <w:numPr>
          <w:ilvl w:val="0"/>
          <w:numId w:val="2"/>
        </w:numPr>
        <w:spacing w:before="40" w:after="50"/>
        <w:jc w:val="both"/>
      </w:pPr>
      <w:r>
        <w:rPr>
          <w:rFonts w:ascii="Arial" w:cs="Arial" w:eastAsia="Arial" w:hAnsi="Arial"/>
          <w:color w:val="1A1A1A"/>
          <w:sz w:val="22"/>
          <w:szCs w:val="22"/>
        </w:rPr>
        <w:t xml:space="preserve">Introducir en la Plataforma únicamente datos operativos pertinentes y necesarios, aplicando el principio de minimización de datos del RGPD.</w:t>
      </w:r>
    </w:p>
    <w:p>
      <w:pPr>
        <w:pStyle w:val="ListParagraph"/>
        <w:numPr>
          <w:ilvl w:val="0"/>
          <w:numId w:val="2"/>
        </w:numPr>
        <w:spacing w:before="40" w:after="50"/>
        <w:jc w:val="both"/>
      </w:pPr>
      <w:r>
        <w:rPr>
          <w:rFonts w:ascii="Arial" w:cs="Arial" w:eastAsia="Arial" w:hAnsi="Arial"/>
          <w:color w:val="1A1A1A"/>
          <w:sz w:val="22"/>
          <w:szCs w:val="22"/>
        </w:rPr>
        <w:t xml:space="preserve">No utilizar la Plataforma para finalidades discriminatorias, difamatorias ni contrarias a derechos fundamentales.</w:t>
      </w:r>
    </w:p>
    <w:p>
      <w:pPr>
        <w:pStyle w:val="ListParagraph"/>
        <w:numPr>
          <w:ilvl w:val="0"/>
          <w:numId w:val="2"/>
        </w:numPr>
        <w:spacing w:before="40" w:after="50"/>
        <w:jc w:val="both"/>
      </w:pPr>
      <w:r>
        <w:rPr>
          <w:rFonts w:ascii="Arial" w:cs="Arial" w:eastAsia="Arial" w:hAnsi="Arial"/>
          <w:color w:val="1A1A1A"/>
          <w:sz w:val="22"/>
          <w:szCs w:val="22"/>
        </w:rPr>
        <w:t xml:space="preserve">Cumplir la normativa aplicable en su condición de Responsable del tratamiento, incluyendo el deber de información a los interesados (arts. 13 y 14 RGPD).</w:t>
      </w:r>
    </w:p>
    <w:p>
      <w:pPr>
        <w:pStyle w:val="ListParagraph"/>
        <w:numPr>
          <w:ilvl w:val="0"/>
          <w:numId w:val="2"/>
        </w:numPr>
        <w:spacing w:before="40" w:after="50"/>
        <w:jc w:val="both"/>
      </w:pPr>
      <w:r>
        <w:rPr>
          <w:rFonts w:ascii="Arial" w:cs="Arial" w:eastAsia="Arial" w:hAnsi="Arial"/>
          <w:color w:val="1A1A1A"/>
          <w:sz w:val="22"/>
          <w:szCs w:val="22"/>
        </w:rPr>
        <w:t xml:space="preserve">Satisfacer el pago del plan contratado en los plazos y formas establecidos.</w:t>
      </w:r>
    </w:p>
    <w:p>
      <w:pPr>
        <w:pStyle w:val="ListParagraph"/>
        <w:numPr>
          <w:ilvl w:val="0"/>
          <w:numId w:val="2"/>
        </w:numPr>
        <w:spacing w:before="40" w:after="50"/>
        <w:jc w:val="both"/>
      </w:pPr>
      <w:r>
        <w:rPr>
          <w:rFonts w:ascii="Arial" w:cs="Arial" w:eastAsia="Arial" w:hAnsi="Arial"/>
          <w:color w:val="1A1A1A"/>
          <w:sz w:val="22"/>
          <w:szCs w:val="22"/>
        </w:rPr>
        <w:t xml:space="preserve">Notificar al Proveedor cualquier incidencia que pueda afectar a la seguridad del servicio o a los datos personales tratados.</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6. Tratamiento de Datos por Interés Legítimo del Cliente</w:t>
      </w:r>
    </w:p>
    <w:p>
      <w:pPr>
        <w:spacing w:before="4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4472C4" w:sz="1"/>
              <w:left w:val="single" w:color="4472C4" w:sz="12"/>
              <w:bottom w:val="single" w:color="4472C4" w:sz="1"/>
              <w:right w:val="single" w:color="4472C4" w:sz="1"/>
            </w:tcBorders>
            <w:shd w:fill="EEF3FB" w:val="clear"/>
            <w:tcMar>
              <w:top w:type="dxa" w:w="120"/>
              <w:left w:type="dxa" w:w="200"/>
              <w:bottom w:type="dxa" w:w="120"/>
              <w:right w:type="dxa" w:w="200"/>
            </w:tcMar>
          </w:tcPr>
          <w:p>
            <w:pPr>
              <w:spacing w:before="0" w:after="80"/>
            </w:pPr>
            <w:r>
              <w:rPr>
                <w:rFonts w:ascii="Arial" w:cs="Arial" w:eastAsia="Arial" w:hAnsi="Arial"/>
                <w:b/>
                <w:bCs/>
                <w:color w:val="1F3864"/>
                <w:sz w:val="22"/>
                <w:szCs w:val="22"/>
              </w:rPr>
              <w:t xml:space="preserve">⚠️  Cláusula clave RGPD — Interés Legítimo (art. 6.1.f)</w:t>
            </w:r>
          </w:p>
          <w:p>
            <w:pPr>
              <w:spacing w:before="0" w:after="40"/>
            </w:pPr>
            <w:r>
              <w:rPr>
                <w:rFonts w:ascii="Arial" w:cs="Arial" w:eastAsia="Arial" w:hAnsi="Arial"/>
                <w:color w:val="1A1A1A"/>
                <w:sz w:val="20"/>
                <w:szCs w:val="20"/>
              </w:rPr>
              <w:t xml:space="preserve">Esta cláusula regula la base jurídica y las condiciones bajo las que el Cliente (establecimiento hotelero),</w:t>
            </w:r>
          </w:p>
          <w:p>
            <w:pPr>
              <w:spacing w:before="0" w:after="40"/>
            </w:pPr>
            <w:r>
              <w:rPr>
                <w:rFonts w:ascii="Arial" w:cs="Arial" w:eastAsia="Arial" w:hAnsi="Arial"/>
                <w:color w:val="1A1A1A"/>
                <w:sz w:val="20"/>
                <w:szCs w:val="20"/>
              </w:rPr>
              <w:t xml:space="preserve">en su calidad de Responsable del tratamiento, puede tratar datos de sus huéspedes a través de la Plataforma</w:t>
            </w:r>
          </w:p>
          <w:p>
            <w:pPr>
              <w:spacing w:before="0" w:after="40"/>
            </w:pPr>
            <w:r>
              <w:rPr>
                <w:rFonts w:ascii="Arial" w:cs="Arial" w:eastAsia="Arial" w:hAnsi="Arial"/>
                <w:color w:val="1A1A1A"/>
                <w:sz w:val="20"/>
                <w:szCs w:val="20"/>
              </w:rPr>
              <w:t xml:space="preserve">con base en el interés legítimo del art. 6.1.f RGPD.</w:t>
            </w:r>
          </w:p>
        </w:tc>
      </w:tr>
    </w:tbl>
    <w:p>
      <w:pPr>
        <w:spacing w:before="120" w:after="0"/>
      </w:pPr>
      <w:r>
        <w:t xml:space="preserve"/>
      </w:r>
    </w:p>
    <w:p>
      <w:pPr>
        <w:pStyle w:val="Heading2"/>
        <w:spacing w:before="300" w:after="80"/>
      </w:pPr>
      <w:r>
        <w:rPr>
          <w:rFonts w:ascii="Arial" w:cs="Arial" w:eastAsia="Arial" w:hAnsi="Arial"/>
          <w:b/>
          <w:bCs/>
          <w:color w:val="2E5FA3"/>
          <w:sz w:val="24"/>
          <w:szCs w:val="24"/>
        </w:rPr>
        <w:t xml:space="preserve">6.1. Finalidades amparadas por interés legítimo</w:t>
      </w:r>
    </w:p>
    <w:p>
      <w:pPr>
        <w:spacing w:before="60" w:after="80" w:line="280"/>
        <w:jc w:val="both"/>
      </w:pPr>
      <w:r>
        <w:rPr>
          <w:rFonts w:ascii="Arial" w:cs="Arial" w:eastAsia="Arial" w:hAnsi="Arial"/>
          <w:color w:val="1A1A1A"/>
          <w:sz w:val="22"/>
          <w:szCs w:val="22"/>
        </w:rPr>
        <w:t xml:space="preserve">El Cliente, como Responsable del tratamiento, podrá invocar la base jurídica de interés legítimo (art. 6.1.f RGPD) para los siguientes tratamientos realizados a través de la Plataforma:</w:t>
      </w:r>
    </w:p>
    <w:p>
      <w:pPr>
        <w:pStyle w:val="ListParagraph"/>
        <w:numPr>
          <w:ilvl w:val="0"/>
          <w:numId w:val="2"/>
        </w:numPr>
        <w:spacing w:before="40" w:after="50"/>
        <w:jc w:val="both"/>
      </w:pPr>
      <w:r>
        <w:rPr>
          <w:rFonts w:ascii="Arial" w:cs="Arial" w:eastAsia="Arial" w:hAnsi="Arial"/>
          <w:color w:val="1A1A1A"/>
          <w:sz w:val="22"/>
          <w:szCs w:val="22"/>
        </w:rPr>
        <w:t xml:space="preserve">Prevención y gestión de incidencias operativas, daños materiales y conductas contrarias a las normas de convivencia del establecimiento.</w:t>
      </w:r>
    </w:p>
    <w:p>
      <w:pPr>
        <w:pStyle w:val="ListParagraph"/>
        <w:numPr>
          <w:ilvl w:val="0"/>
          <w:numId w:val="2"/>
        </w:numPr>
        <w:spacing w:before="40" w:after="50"/>
        <w:jc w:val="both"/>
      </w:pPr>
      <w:r>
        <w:rPr>
          <w:rFonts w:ascii="Arial" w:cs="Arial" w:eastAsia="Arial" w:hAnsi="Arial"/>
          <w:color w:val="1A1A1A"/>
          <w:sz w:val="22"/>
          <w:szCs w:val="22"/>
        </w:rPr>
        <w:t xml:space="preserve">Detección de reincidencias relevantes para la operativa y seguridad interna.</w:t>
      </w:r>
    </w:p>
    <w:p>
      <w:pPr>
        <w:pStyle w:val="ListParagraph"/>
        <w:numPr>
          <w:ilvl w:val="0"/>
          <w:numId w:val="2"/>
        </w:numPr>
        <w:spacing w:before="40" w:after="50"/>
        <w:jc w:val="both"/>
      </w:pPr>
      <w:r>
        <w:rPr>
          <w:rFonts w:ascii="Arial" w:cs="Arial" w:eastAsia="Arial" w:hAnsi="Arial"/>
          <w:color w:val="1A1A1A"/>
          <w:sz w:val="22"/>
          <w:szCs w:val="22"/>
        </w:rPr>
        <w:t xml:space="preserve">Protección del patrimonio, empleados, instalaciones y terceros.</w:t>
      </w:r>
    </w:p>
    <w:p>
      <w:pPr>
        <w:pStyle w:val="ListParagraph"/>
        <w:numPr>
          <w:ilvl w:val="0"/>
          <w:numId w:val="2"/>
        </w:numPr>
        <w:spacing w:before="40" w:after="50"/>
        <w:jc w:val="both"/>
      </w:pPr>
      <w:r>
        <w:rPr>
          <w:rFonts w:ascii="Arial" w:cs="Arial" w:eastAsia="Arial" w:hAnsi="Arial"/>
          <w:color w:val="1A1A1A"/>
          <w:sz w:val="22"/>
          <w:szCs w:val="22"/>
        </w:rPr>
        <w:t xml:space="preserve">Trazabilidad interna de eventos operativos vinculados a la actividad del establecimiento.</w:t>
      </w:r>
    </w:p>
    <w:p>
      <w:pPr>
        <w:pStyle w:val="ListParagraph"/>
        <w:numPr>
          <w:ilvl w:val="0"/>
          <w:numId w:val="2"/>
        </w:numPr>
        <w:spacing w:before="40" w:after="50"/>
        <w:jc w:val="both"/>
      </w:pPr>
      <w:r>
        <w:rPr>
          <w:rFonts w:ascii="Arial" w:cs="Arial" w:eastAsia="Arial" w:hAnsi="Arial"/>
          <w:color w:val="1A1A1A"/>
          <w:sz w:val="22"/>
          <w:szCs w:val="22"/>
        </w:rPr>
        <w:t xml:space="preserve">Gestión de impagos y prevención de fraude en el ámbito de la relación de hospedaje.</w:t>
      </w:r>
    </w:p>
    <w:p>
      <w:pPr>
        <w:pStyle w:val="Heading2"/>
        <w:spacing w:before="300" w:after="80"/>
      </w:pPr>
      <w:r>
        <w:rPr>
          <w:rFonts w:ascii="Arial" w:cs="Arial" w:eastAsia="Arial" w:hAnsi="Arial"/>
          <w:b/>
          <w:bCs/>
          <w:color w:val="2E5FA3"/>
          <w:sz w:val="24"/>
          <w:szCs w:val="24"/>
        </w:rPr>
        <w:t xml:space="preserve">6.2. Condiciones y límites del tratamiento por interés legítimo</w:t>
      </w:r>
    </w:p>
    <w:p>
      <w:pPr>
        <w:spacing w:before="60" w:after="80" w:line="280"/>
        <w:jc w:val="both"/>
      </w:pPr>
      <w:r>
        <w:rPr>
          <w:rFonts w:ascii="Arial" w:cs="Arial" w:eastAsia="Arial" w:hAnsi="Arial"/>
          <w:color w:val="1A1A1A"/>
          <w:sz w:val="22"/>
          <w:szCs w:val="22"/>
        </w:rPr>
        <w:t xml:space="preserve">Para que el tratamiento sea lícito bajo esta base jurídica, el Cliente se compromete expresamente a:</w:t>
      </w:r>
    </w:p>
    <w:p>
      <w:pPr>
        <w:pStyle w:val="ListParagraph"/>
        <w:numPr>
          <w:ilvl w:val="0"/>
          <w:numId w:val="2"/>
        </w:numPr>
        <w:spacing w:before="40" w:after="50"/>
        <w:jc w:val="both"/>
      </w:pPr>
      <w:r>
        <w:rPr>
          <w:rFonts w:ascii="Arial" w:cs="Arial" w:eastAsia="Arial" w:hAnsi="Arial"/>
          <w:color w:val="1A1A1A"/>
          <w:sz w:val="22"/>
          <w:szCs w:val="22"/>
        </w:rPr>
        <w:t xml:space="preserve">Realizar y documentar el test de ponderación (LIA) conforme al modelo incluido en el Marco Legal Integral de Debacu Evaluation360, garantizando que el interés legítimo no queda desplazado por los derechos e intereses de los interesados.</w:t>
      </w:r>
    </w:p>
    <w:p>
      <w:pPr>
        <w:pStyle w:val="ListParagraph"/>
        <w:numPr>
          <w:ilvl w:val="0"/>
          <w:numId w:val="2"/>
        </w:numPr>
        <w:spacing w:before="40" w:after="50"/>
        <w:jc w:val="both"/>
      </w:pPr>
      <w:r>
        <w:rPr>
          <w:rFonts w:ascii="Arial" w:cs="Arial" w:eastAsia="Arial" w:hAnsi="Arial"/>
          <w:color w:val="1A1A1A"/>
          <w:sz w:val="22"/>
          <w:szCs w:val="22"/>
        </w:rPr>
        <w:t xml:space="preserve">Aplicar el principio de minimización: registrar únicamente identificadores estrictamente necesarios (p. ej., documento identificativo, email o teléfono) vinculados a incidencias concretas.</w:t>
      </w:r>
    </w:p>
    <w:p>
      <w:pPr>
        <w:pStyle w:val="ListParagraph"/>
        <w:numPr>
          <w:ilvl w:val="0"/>
          <w:numId w:val="2"/>
        </w:numPr>
        <w:spacing w:before="40" w:after="50"/>
        <w:jc w:val="both"/>
      </w:pPr>
      <w:r>
        <w:rPr>
          <w:rFonts w:ascii="Arial" w:cs="Arial" w:eastAsia="Arial" w:hAnsi="Arial"/>
          <w:color w:val="1A1A1A"/>
          <w:sz w:val="22"/>
          <w:szCs w:val="22"/>
        </w:rPr>
        <w:t xml:space="preserve">No registrar categorías especiales de datos (art. 9 RGPD) salvo base legal suficiente y documentada.</w:t>
      </w:r>
    </w:p>
    <w:p>
      <w:pPr>
        <w:pStyle w:val="ListParagraph"/>
        <w:numPr>
          <w:ilvl w:val="0"/>
          <w:numId w:val="2"/>
        </w:numPr>
        <w:spacing w:before="40" w:after="50"/>
        <w:jc w:val="both"/>
      </w:pPr>
      <w:r>
        <w:rPr>
          <w:rFonts w:ascii="Arial" w:cs="Arial" w:eastAsia="Arial" w:hAnsi="Arial"/>
          <w:color w:val="1A1A1A"/>
          <w:sz w:val="22"/>
          <w:szCs w:val="22"/>
        </w:rPr>
        <w:t xml:space="preserve">No utilizar la Plataforma como sistema de reputación pública, lista negra abierta ni fichero de solvencia.</w:t>
      </w:r>
    </w:p>
    <w:p>
      <w:pPr>
        <w:pStyle w:val="ListParagraph"/>
        <w:numPr>
          <w:ilvl w:val="0"/>
          <w:numId w:val="2"/>
        </w:numPr>
        <w:spacing w:before="40" w:after="50"/>
        <w:jc w:val="both"/>
      </w:pPr>
      <w:r>
        <w:rPr>
          <w:rFonts w:ascii="Arial" w:cs="Arial" w:eastAsia="Arial" w:hAnsi="Arial"/>
          <w:color w:val="1A1A1A"/>
          <w:sz w:val="22"/>
          <w:szCs w:val="22"/>
        </w:rPr>
        <w:t xml:space="preserve">No compartir los datos registrados con terceros no autorizados ni fuera de los límites contractuales.</w:t>
      </w:r>
    </w:p>
    <w:p>
      <w:pPr>
        <w:pStyle w:val="ListParagraph"/>
        <w:numPr>
          <w:ilvl w:val="0"/>
          <w:numId w:val="2"/>
        </w:numPr>
        <w:spacing w:before="40" w:after="50"/>
        <w:jc w:val="both"/>
      </w:pPr>
      <w:r>
        <w:rPr>
          <w:rFonts w:ascii="Arial" w:cs="Arial" w:eastAsia="Arial" w:hAnsi="Arial"/>
          <w:color w:val="1A1A1A"/>
          <w:sz w:val="22"/>
          <w:szCs w:val="22"/>
        </w:rPr>
        <w:t xml:space="preserve">Aplicar un plazo máximo de conservación de 5 años desde la última incidencia o evento relevante, salvo obligación legal que exija un plazo distinto.</w:t>
      </w:r>
    </w:p>
    <w:p>
      <w:pPr>
        <w:pStyle w:val="Heading2"/>
        <w:spacing w:before="300" w:after="80"/>
      </w:pPr>
      <w:r>
        <w:rPr>
          <w:rFonts w:ascii="Arial" w:cs="Arial" w:eastAsia="Arial" w:hAnsi="Arial"/>
          <w:b/>
          <w:bCs/>
          <w:color w:val="2E5FA3"/>
          <w:sz w:val="24"/>
          <w:szCs w:val="24"/>
        </w:rPr>
        <w:t xml:space="preserve">6.3. Deber de información al interesado</w:t>
      </w:r>
    </w:p>
    <w:p>
      <w:pPr>
        <w:spacing w:before="60" w:after="80" w:line="280"/>
        <w:jc w:val="both"/>
      </w:pPr>
      <w:r>
        <w:rPr>
          <w:rFonts w:ascii="Arial" w:cs="Arial" w:eastAsia="Arial" w:hAnsi="Arial"/>
          <w:color w:val="1A1A1A"/>
          <w:sz w:val="22"/>
          <w:szCs w:val="22"/>
        </w:rPr>
        <w:t xml:space="preserve">El Cliente, en su calidad de Responsable del tratamiento, queda obligado a:</w:t>
      </w:r>
    </w:p>
    <w:p>
      <w:pPr>
        <w:pStyle w:val="ListParagraph"/>
        <w:numPr>
          <w:ilvl w:val="0"/>
          <w:numId w:val="2"/>
        </w:numPr>
        <w:spacing w:before="40" w:after="50"/>
        <w:jc w:val="both"/>
      </w:pPr>
      <w:r>
        <w:rPr>
          <w:rFonts w:ascii="Arial" w:cs="Arial" w:eastAsia="Arial" w:hAnsi="Arial"/>
          <w:color w:val="1A1A1A"/>
          <w:sz w:val="22"/>
          <w:szCs w:val="22"/>
        </w:rPr>
        <w:t xml:space="preserve">Informar a los interesados (huéspedes u otros) sobre el tratamiento de sus datos, conforme a los artículos 13 y 14 del RGPD, utilizando como base el modelo de cláusula informativa incluido en el Análisis de Interés Legítimo (Anexo I del Marco Legal Integral).</w:t>
      </w:r>
    </w:p>
    <w:p>
      <w:pPr>
        <w:pStyle w:val="ListParagraph"/>
        <w:numPr>
          <w:ilvl w:val="0"/>
          <w:numId w:val="2"/>
        </w:numPr>
        <w:spacing w:before="40" w:after="50"/>
        <w:jc w:val="both"/>
      </w:pPr>
      <w:r>
        <w:rPr>
          <w:rFonts w:ascii="Arial" w:cs="Arial" w:eastAsia="Arial" w:hAnsi="Arial"/>
          <w:color w:val="1A1A1A"/>
          <w:sz w:val="22"/>
          <w:szCs w:val="22"/>
        </w:rPr>
        <w:t xml:space="preserve">Facilitar el ejercicio de los derechos de acceso, rectificación, oposición, limitación, supresión y portabilidad a los interesados que los soliciten.</w:t>
      </w:r>
    </w:p>
    <w:p>
      <w:pPr>
        <w:pStyle w:val="ListParagraph"/>
        <w:numPr>
          <w:ilvl w:val="0"/>
          <w:numId w:val="2"/>
        </w:numPr>
        <w:spacing w:before="40" w:after="50"/>
        <w:jc w:val="both"/>
      </w:pPr>
      <w:r>
        <w:rPr>
          <w:rFonts w:ascii="Arial" w:cs="Arial" w:eastAsia="Arial" w:hAnsi="Arial"/>
          <w:color w:val="1A1A1A"/>
          <w:sz w:val="22"/>
          <w:szCs w:val="22"/>
        </w:rPr>
        <w:t xml:space="preserve">Mantener el registro de actividades de tratamiento actualizado, incluyendo este tratamiento y su base jurídica.</w:t>
      </w:r>
    </w:p>
    <w:p>
      <w:pPr>
        <w:pStyle w:val="Heading2"/>
        <w:spacing w:before="300" w:after="80"/>
      </w:pPr>
      <w:r>
        <w:rPr>
          <w:rFonts w:ascii="Arial" w:cs="Arial" w:eastAsia="Arial" w:hAnsi="Arial"/>
          <w:b/>
          <w:bCs/>
          <w:color w:val="2E5FA3"/>
          <w:sz w:val="24"/>
          <w:szCs w:val="24"/>
        </w:rPr>
        <w:t xml:space="preserve">6.4. Cláusula informativa recomendada para huéspedes</w:t>
      </w:r>
    </w:p>
    <w:p>
      <w:pPr>
        <w:spacing w:before="4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D9E1F2" w:sz="1"/>
              <w:left w:val="single" w:color="4472C4" w:sz="10"/>
              <w:bottom w:val="single" w:color="D9E1F2" w:sz="1"/>
              <w:right w:val="single" w:color="D9E1F2" w:sz="1"/>
            </w:tcBorders>
            <w:shd w:fill="F9F9F9" w:val="clear"/>
            <w:tcMar>
              <w:top w:type="dxa" w:w="160"/>
              <w:left w:type="dxa" w:w="240"/>
              <w:bottom w:type="dxa" w:w="160"/>
              <w:right w:type="dxa" w:w="240"/>
            </w:tcMar>
          </w:tcPr>
          <w:p>
            <w:pPr>
              <w:spacing w:before="0" w:after="80"/>
            </w:pPr>
            <w:r>
              <w:rPr>
                <w:rFonts w:ascii="Arial" w:cs="Arial" w:eastAsia="Arial" w:hAnsi="Arial"/>
                <w:b/>
                <w:bCs/>
                <w:color w:val="1A1A1A"/>
                <w:sz w:val="22"/>
                <w:szCs w:val="22"/>
              </w:rPr>
              <w:t xml:space="preserve">Modelo de información para el huésped (art. 13/14 RGPD)</w:t>
            </w:r>
          </w:p>
          <w:p>
            <w:pPr>
              <w:spacing w:before="0" w:after="60"/>
              <w:jc w:val="both"/>
            </w:pPr>
            <w:r>
              <w:rPr>
                <w:rFonts w:ascii="Arial" w:cs="Arial" w:eastAsia="Arial" w:hAnsi="Arial"/>
                <w:color w:val="1A1A1A"/>
                <w:sz w:val="20"/>
                <w:szCs w:val="20"/>
              </w:rPr>
              <w:t xml:space="preserve">Con la finalidad de prevenir fraudes, daños materiales, impagos y conductas que puedan afectar a la seguridad de nuestro establecimiento, utilizamos un sistema interno de evaluación y gestión de incidencias operativas.</w:t>
            </w:r>
          </w:p>
          <w:p>
            <w:pPr>
              <w:spacing w:before="0" w:after="60"/>
              <w:jc w:val="both"/>
            </w:pPr>
            <w:r>
              <w:rPr>
                <w:rFonts w:ascii="Arial" w:cs="Arial" w:eastAsia="Arial" w:hAnsi="Arial"/>
                <w:color w:val="1A1A1A"/>
                <w:sz w:val="20"/>
                <w:szCs w:val="20"/>
              </w:rPr>
              <w:t xml:space="preserve">Dicho sistema puede implicar el tratamiento de datos identificativos mínimos (documento, teléfono o correo electrónico) asociados a incidencias ocurridas durante la estancia. La base jurídica es el interés legítimo del establecimiento (art. 6.1.f RGPD). La información no es pública y se emplea exclusivamente con fines internos.</w:t>
            </w:r>
          </w:p>
          <w:p>
            <w:pPr>
              <w:spacing w:before="0" w:after="0"/>
              <w:jc w:val="both"/>
            </w:pPr>
            <w:r>
              <w:rPr>
                <w:rFonts w:ascii="Arial" w:cs="Arial" w:eastAsia="Arial" w:hAnsi="Arial"/>
                <w:color w:val="1A1A1A"/>
                <w:sz w:val="20"/>
                <w:szCs w:val="20"/>
              </w:rPr>
              <w:t xml:space="preserve">Puede ejercer sus derechos de acceso, rectificación, oposición o limitación dirigiéndose a: </w:t>
            </w:r>
            <w:r>
              <w:rPr>
                <w:rFonts w:ascii="Arial" w:cs="Arial" w:eastAsia="Arial" w:hAnsi="Arial"/>
                <w:b/>
                <w:bCs/>
                <w:i/>
                <w:iCs/>
                <w:color w:val="7B4F00"/>
                <w:sz w:val="22"/>
                <w:szCs w:val="22"/>
              </w:rPr>
              <w:t xml:space="preserve">[email del establecimiento]</w:t>
            </w:r>
            <w:r>
              <w:rPr>
                <w:rFonts w:ascii="Arial" w:cs="Arial" w:eastAsia="Arial" w:hAnsi="Arial"/>
                <w:color w:val="1A1A1A"/>
                <w:sz w:val="20"/>
                <w:szCs w:val="20"/>
              </w:rPr>
              <w:t xml:space="preserve">.</w:t>
            </w:r>
          </w:p>
        </w:tc>
      </w:tr>
    </w:tbl>
    <w:p>
      <w:pPr>
        <w:pStyle w:val="Heading2"/>
        <w:spacing w:before="300" w:after="80"/>
      </w:pPr>
      <w:r>
        <w:rPr>
          <w:rFonts w:ascii="Arial" w:cs="Arial" w:eastAsia="Arial" w:hAnsi="Arial"/>
          <w:b/>
          <w:bCs/>
          <w:color w:val="2E5FA3"/>
          <w:sz w:val="24"/>
          <w:szCs w:val="24"/>
        </w:rPr>
        <w:t xml:space="preserve">6.5. Responsabilidad del Cliente</w:t>
      </w:r>
    </w:p>
    <w:p>
      <w:pPr>
        <w:spacing w:before="60" w:after="80" w:line="280"/>
        <w:jc w:val="both"/>
      </w:pPr>
      <w:r>
        <w:rPr>
          <w:rFonts w:ascii="Arial" w:cs="Arial" w:eastAsia="Arial" w:hAnsi="Arial"/>
          <w:color w:val="1A1A1A"/>
          <w:sz w:val="22"/>
          <w:szCs w:val="22"/>
        </w:rPr>
        <w:t xml:space="preserve">El Cliente asume plena responsabilidad por la licitud, proporcionalidad y correcta aplicación de la base de interés legítimo en los tratamientos que realice a través de la Plataforma. El Proveedor actúa exclusivamente como Encargado del tratamiento y no es responsable del contenido introducido por el Cliente ni del cumplimiento de sus obligaciones como Responsable.</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7. Encargo de Tratamiento de Datos — DPA (art. 28 RGPD)</w:t>
      </w:r>
    </w:p>
    <w:p>
      <w:pPr>
        <w:spacing w:before="4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4472C4" w:sz="1"/>
              <w:left w:val="single" w:color="4472C4" w:sz="12"/>
              <w:bottom w:val="single" w:color="4472C4" w:sz="1"/>
              <w:right w:val="single" w:color="4472C4" w:sz="1"/>
            </w:tcBorders>
            <w:shd w:fill="EEF3FB" w:val="clear"/>
            <w:tcMar>
              <w:top w:type="dxa" w:w="120"/>
              <w:left w:type="dxa" w:w="200"/>
              <w:bottom w:type="dxa" w:w="120"/>
              <w:right w:type="dxa" w:w="200"/>
            </w:tcMar>
          </w:tcPr>
          <w:p>
            <w:pPr>
              <w:spacing w:before="0" w:after="80"/>
            </w:pPr>
            <w:r>
              <w:rPr>
                <w:rFonts w:ascii="Arial" w:cs="Arial" w:eastAsia="Arial" w:hAnsi="Arial"/>
                <w:b/>
                <w:bCs/>
                <w:color w:val="1F3864"/>
                <w:sz w:val="22"/>
                <w:szCs w:val="22"/>
              </w:rPr>
              <w:t xml:space="preserve">📌  Documento DPA integrado en este Contrato</w:t>
            </w:r>
          </w:p>
          <w:p>
            <w:pPr>
              <w:spacing w:before="0" w:after="40"/>
            </w:pPr>
            <w:r>
              <w:rPr>
                <w:rFonts w:ascii="Arial" w:cs="Arial" w:eastAsia="Arial" w:hAnsi="Arial"/>
                <w:color w:val="1A1A1A"/>
                <w:sz w:val="20"/>
                <w:szCs w:val="20"/>
              </w:rPr>
              <w:t xml:space="preserve">Esta cláusula constituye el Acuerdo de Encargo de Tratamiento (DPA) exigido por el art. 28 RGPD.</w:t>
            </w:r>
          </w:p>
          <w:p>
            <w:pPr>
              <w:spacing w:before="0" w:after="40"/>
            </w:pPr>
            <w:r>
              <w:rPr>
                <w:rFonts w:ascii="Arial" w:cs="Arial" w:eastAsia="Arial" w:hAnsi="Arial"/>
                <w:color w:val="1A1A1A"/>
                <w:sz w:val="20"/>
                <w:szCs w:val="20"/>
              </w:rPr>
              <w:t xml:space="preserve">Forma parte inseparable de este Contrato y tiene la misma fuerza vinculante.</w:t>
            </w:r>
          </w:p>
        </w:tc>
      </w:tr>
    </w:tbl>
    <w:p>
      <w:pPr>
        <w:spacing w:before="120" w:after="0"/>
      </w:pPr>
      <w:r>
        <w:t xml:space="preserve"/>
      </w:r>
    </w:p>
    <w:p>
      <w:pPr>
        <w:pStyle w:val="Heading2"/>
        <w:spacing w:before="300" w:after="80"/>
      </w:pPr>
      <w:r>
        <w:rPr>
          <w:rFonts w:ascii="Arial" w:cs="Arial" w:eastAsia="Arial" w:hAnsi="Arial"/>
          <w:b/>
          <w:bCs/>
          <w:color w:val="2E5FA3"/>
          <w:sz w:val="24"/>
          <w:szCs w:val="24"/>
        </w:rPr>
        <w:t xml:space="preserve">7.1. Partes del encargo</w:t>
      </w:r>
    </w:p>
    <w:p>
      <w:pPr>
        <w:pStyle w:val="ListParagraph"/>
        <w:numPr>
          <w:ilvl w:val="0"/>
          <w:numId w:val="2"/>
        </w:numPr>
        <w:spacing w:before="40" w:after="50"/>
        <w:jc w:val="both"/>
      </w:pPr>
      <w:r>
        <w:rPr>
          <w:rFonts w:ascii="Arial" w:cs="Arial" w:eastAsia="Arial" w:hAnsi="Arial"/>
          <w:color w:val="1A1A1A"/>
          <w:sz w:val="22"/>
          <w:szCs w:val="22"/>
        </w:rPr>
        <w:t xml:space="preserve">Responsable del tratamiento: el Cliente, en su condición de establecimiento hotelero que utiliza la Plataforma y que determina los fines y medios del tratamiento.</w:t>
      </w:r>
    </w:p>
    <w:p>
      <w:pPr>
        <w:pStyle w:val="ListParagraph"/>
        <w:numPr>
          <w:ilvl w:val="0"/>
          <w:numId w:val="2"/>
        </w:numPr>
        <w:spacing w:before="40" w:after="50"/>
        <w:jc w:val="both"/>
      </w:pPr>
      <w:r>
        <w:rPr>
          <w:rFonts w:ascii="Arial" w:cs="Arial" w:eastAsia="Arial" w:hAnsi="Arial"/>
          <w:color w:val="1A1A1A"/>
          <w:sz w:val="22"/>
          <w:szCs w:val="22"/>
        </w:rPr>
        <w:t xml:space="preserve">Encargado del tratamiento: DEBACU HOTELS S.L., como proveedor tecnológico que trata datos por cuenta del Responsable.</w:t>
      </w:r>
    </w:p>
    <w:p>
      <w:pPr>
        <w:pStyle w:val="Heading2"/>
        <w:spacing w:before="300" w:after="80"/>
      </w:pPr>
      <w:r>
        <w:rPr>
          <w:rFonts w:ascii="Arial" w:cs="Arial" w:eastAsia="Arial" w:hAnsi="Arial"/>
          <w:b/>
          <w:bCs/>
          <w:color w:val="2E5FA3"/>
          <w:sz w:val="24"/>
          <w:szCs w:val="24"/>
        </w:rPr>
        <w:t xml:space="preserve">7.2. Objeto del encargo</w:t>
      </w:r>
    </w:p>
    <w:p>
      <w:pPr>
        <w:spacing w:before="60" w:after="80" w:line="280"/>
        <w:jc w:val="both"/>
      </w:pPr>
      <w:r>
        <w:rPr>
          <w:rFonts w:ascii="Arial" w:cs="Arial" w:eastAsia="Arial" w:hAnsi="Arial"/>
          <w:color w:val="1A1A1A"/>
          <w:sz w:val="22"/>
          <w:szCs w:val="22"/>
        </w:rPr>
        <w:t xml:space="preserve">El Encargado prestará al Responsable los servicios de acceso y uso de la Plataforma Debacu Evaluation360, tratando los datos personales únicamente conforme a las instrucciones documentadas del Responsable y en el marco de este Contrato.</w:t>
      </w:r>
    </w:p>
    <w:p>
      <w:pPr>
        <w:pStyle w:val="Heading2"/>
        <w:spacing w:before="300" w:after="80"/>
      </w:pPr>
      <w:r>
        <w:rPr>
          <w:rFonts w:ascii="Arial" w:cs="Arial" w:eastAsia="Arial" w:hAnsi="Arial"/>
          <w:b/>
          <w:bCs/>
          <w:color w:val="2E5FA3"/>
          <w:sz w:val="24"/>
          <w:szCs w:val="24"/>
        </w:rPr>
        <w:t xml:space="preserve">7.3. Duración del encargo</w:t>
      </w:r>
    </w:p>
    <w:p>
      <w:pPr>
        <w:spacing w:before="60" w:after="80" w:line="280"/>
        <w:jc w:val="both"/>
      </w:pPr>
      <w:r>
        <w:rPr>
          <w:rFonts w:ascii="Arial" w:cs="Arial" w:eastAsia="Arial" w:hAnsi="Arial"/>
          <w:color w:val="1A1A1A"/>
          <w:sz w:val="22"/>
          <w:szCs w:val="22"/>
        </w:rPr>
        <w:t xml:space="preserve">El encargo tendrá la misma duración que la relación contractual entre las partes. A su finalización, el Encargado procederá conforme a lo establecido en la Cláusula 7.11.</w:t>
      </w:r>
    </w:p>
    <w:p>
      <w:pPr>
        <w:pStyle w:val="Heading2"/>
        <w:spacing w:before="300" w:after="80"/>
      </w:pPr>
      <w:r>
        <w:rPr>
          <w:rFonts w:ascii="Arial" w:cs="Arial" w:eastAsia="Arial" w:hAnsi="Arial"/>
          <w:b/>
          <w:bCs/>
          <w:color w:val="2E5FA3"/>
          <w:sz w:val="24"/>
          <w:szCs w:val="24"/>
        </w:rPr>
        <w:t xml:space="preserve">7.4. Naturaleza y finalidad del tratamiento</w:t>
      </w:r>
    </w:p>
    <w:p>
      <w:pPr>
        <w:pStyle w:val="ListParagraph"/>
        <w:numPr>
          <w:ilvl w:val="0"/>
          <w:numId w:val="2"/>
        </w:numPr>
        <w:spacing w:before="40" w:after="50"/>
        <w:jc w:val="both"/>
      </w:pPr>
      <w:r>
        <w:rPr>
          <w:rFonts w:ascii="Arial" w:cs="Arial" w:eastAsia="Arial" w:hAnsi="Arial"/>
          <w:color w:val="1A1A1A"/>
          <w:sz w:val="22"/>
          <w:szCs w:val="22"/>
        </w:rPr>
        <w:t xml:space="preserve">Operaciones de tratamiento: almacenamiento, acceso, consulta, registro, modificación, estructuración, auditoría y supresión.</w:t>
      </w:r>
    </w:p>
    <w:p>
      <w:pPr>
        <w:pStyle w:val="ListParagraph"/>
        <w:numPr>
          <w:ilvl w:val="0"/>
          <w:numId w:val="2"/>
        </w:numPr>
        <w:spacing w:before="40" w:after="50"/>
        <w:jc w:val="both"/>
      </w:pPr>
      <w:r>
        <w:rPr>
          <w:rFonts w:ascii="Arial" w:cs="Arial" w:eastAsia="Arial" w:hAnsi="Arial"/>
          <w:color w:val="1A1A1A"/>
          <w:sz w:val="22"/>
          <w:szCs w:val="22"/>
        </w:rPr>
        <w:t xml:space="preserve">Finalidad: apoyo a la gestión operativa interna del Responsable, trazabilidad de procesos y aplicación de protocolos internos.</w:t>
      </w:r>
    </w:p>
    <w:p>
      <w:pPr>
        <w:pStyle w:val="ListParagraph"/>
        <w:numPr>
          <w:ilvl w:val="0"/>
          <w:numId w:val="2"/>
        </w:numPr>
        <w:spacing w:before="40" w:after="50"/>
        <w:jc w:val="both"/>
      </w:pPr>
      <w:r>
        <w:rPr>
          <w:rFonts w:ascii="Arial" w:cs="Arial" w:eastAsia="Arial" w:hAnsi="Arial"/>
          <w:color w:val="1A1A1A"/>
          <w:sz w:val="22"/>
          <w:szCs w:val="22"/>
        </w:rPr>
        <w:t xml:space="preserve">Los datos no serán utilizados por el Encargado para fines propios distintos de los establecidos en este Contrato.</w:t>
      </w:r>
    </w:p>
    <w:p>
      <w:pPr>
        <w:pStyle w:val="Heading2"/>
        <w:spacing w:before="300" w:after="80"/>
      </w:pPr>
      <w:r>
        <w:rPr>
          <w:rFonts w:ascii="Arial" w:cs="Arial" w:eastAsia="Arial" w:hAnsi="Arial"/>
          <w:b/>
          <w:bCs/>
          <w:color w:val="2E5FA3"/>
          <w:sz w:val="24"/>
          <w:szCs w:val="24"/>
        </w:rPr>
        <w:t xml:space="preserve">7.5. Tipos de datos y categorías de interesados</w:t>
      </w:r>
    </w:p>
    <w:p>
      <w:pPr>
        <w:spacing w:before="60" w:after="80" w:line="280"/>
        <w:jc w:val="both"/>
      </w:pPr>
      <w:r>
        <w:rPr>
          <w:rFonts w:ascii="Arial" w:cs="Arial" w:eastAsia="Arial" w:hAnsi="Arial"/>
          <w:color w:val="1A1A1A"/>
          <w:sz w:val="22"/>
          <w:szCs w:val="22"/>
        </w:rPr>
        <w:t xml:space="preserve">Los tipos de datos dependerán del uso que realice el Responsable. Con carácter general pueden incluir datos identificativos (nombre, documento, email, teléfono) y datos operativos vinculados a incidencias de la actividad profesional del Responsable.</w:t>
      </w:r>
    </w:p>
    <w:p>
      <w:pPr>
        <w:spacing w:before="60" w:after="80" w:line="280"/>
        <w:jc w:val="both"/>
      </w:pPr>
      <w:r>
        <w:rPr>
          <w:rFonts w:ascii="Arial" w:cs="Arial" w:eastAsia="Arial" w:hAnsi="Arial"/>
          <w:color w:val="1A1A1A"/>
          <w:sz w:val="22"/>
          <w:szCs w:val="22"/>
        </w:rPr>
        <w:t xml:space="preserve">El Responsable se compromete a aplicar criterios de minimización y a evitar el tratamiento de categorías especiales (art. 9 RGPD) salvo que exista base legal suficiente y se haya informado previamente al Encargado.</w:t>
      </w:r>
    </w:p>
    <w:p>
      <w:pPr>
        <w:pStyle w:val="Heading2"/>
        <w:spacing w:before="300" w:after="80"/>
      </w:pPr>
      <w:r>
        <w:rPr>
          <w:rFonts w:ascii="Arial" w:cs="Arial" w:eastAsia="Arial" w:hAnsi="Arial"/>
          <w:b/>
          <w:bCs/>
          <w:color w:val="2E5FA3"/>
          <w:sz w:val="24"/>
          <w:szCs w:val="24"/>
        </w:rPr>
        <w:t xml:space="preserve">7.6. Instrucciones del Responsable</w:t>
      </w:r>
    </w:p>
    <w:p>
      <w:pPr>
        <w:spacing w:before="60" w:after="80" w:line="280"/>
        <w:jc w:val="both"/>
      </w:pPr>
      <w:r>
        <w:rPr>
          <w:rFonts w:ascii="Arial" w:cs="Arial" w:eastAsia="Arial" w:hAnsi="Arial"/>
          <w:color w:val="1A1A1A"/>
          <w:sz w:val="22"/>
          <w:szCs w:val="22"/>
        </w:rPr>
        <w:t xml:space="preserve">El Encargado tratará los datos personales únicamente siguiendo las instrucciones documentadas del Responsable, incluyendo las derivadas del uso ordinario de la Plataforma. Si el Encargado considera que una instrucción infringe el RGPD u otra normativa, lo comunicará al Responsable de inmediato.</w:t>
      </w:r>
    </w:p>
    <w:p>
      <w:pPr>
        <w:pStyle w:val="Heading2"/>
        <w:spacing w:before="300" w:after="80"/>
      </w:pPr>
      <w:r>
        <w:rPr>
          <w:rFonts w:ascii="Arial" w:cs="Arial" w:eastAsia="Arial" w:hAnsi="Arial"/>
          <w:b/>
          <w:bCs/>
          <w:color w:val="2E5FA3"/>
          <w:sz w:val="24"/>
          <w:szCs w:val="24"/>
        </w:rPr>
        <w:t xml:space="preserve">7.7. Obligaciones del Encargado</w:t>
      </w:r>
    </w:p>
    <w:p>
      <w:pPr>
        <w:pStyle w:val="ListParagraph"/>
        <w:numPr>
          <w:ilvl w:val="0"/>
          <w:numId w:val="2"/>
        </w:numPr>
        <w:spacing w:before="40" w:after="50"/>
        <w:jc w:val="both"/>
      </w:pPr>
      <w:r>
        <w:rPr>
          <w:rFonts w:ascii="Arial" w:cs="Arial" w:eastAsia="Arial" w:hAnsi="Arial"/>
          <w:color w:val="1A1A1A"/>
          <w:sz w:val="22"/>
          <w:szCs w:val="22"/>
        </w:rPr>
        <w:t xml:space="preserve">Garantizar que las personas autorizadas para tratar datos se han comprometido a respetar la confidencialidad.</w:t>
      </w:r>
    </w:p>
    <w:p>
      <w:pPr>
        <w:pStyle w:val="ListParagraph"/>
        <w:numPr>
          <w:ilvl w:val="0"/>
          <w:numId w:val="2"/>
        </w:numPr>
        <w:spacing w:before="40" w:after="50"/>
        <w:jc w:val="both"/>
      </w:pPr>
      <w:r>
        <w:rPr>
          <w:rFonts w:ascii="Arial" w:cs="Arial" w:eastAsia="Arial" w:hAnsi="Arial"/>
          <w:color w:val="1A1A1A"/>
          <w:sz w:val="22"/>
          <w:szCs w:val="22"/>
        </w:rPr>
        <w:t xml:space="preserve">Adoptar medidas técnicas y organizativas apropiadas conforme al art. 32 RGPD.</w:t>
      </w:r>
    </w:p>
    <w:p>
      <w:pPr>
        <w:pStyle w:val="ListParagraph"/>
        <w:numPr>
          <w:ilvl w:val="0"/>
          <w:numId w:val="2"/>
        </w:numPr>
        <w:spacing w:before="40" w:after="50"/>
        <w:jc w:val="both"/>
      </w:pPr>
      <w:r>
        <w:rPr>
          <w:rFonts w:ascii="Arial" w:cs="Arial" w:eastAsia="Arial" w:hAnsi="Arial"/>
          <w:color w:val="1A1A1A"/>
          <w:sz w:val="22"/>
          <w:szCs w:val="22"/>
        </w:rPr>
        <w:t xml:space="preserve">Asistir al Responsable en el cumplimiento de sus obligaciones relativas al ejercicio de derechos de los interesados (arts. 15 a 22 RGPD).</w:t>
      </w:r>
    </w:p>
    <w:p>
      <w:pPr>
        <w:pStyle w:val="ListParagraph"/>
        <w:numPr>
          <w:ilvl w:val="0"/>
          <w:numId w:val="2"/>
        </w:numPr>
        <w:spacing w:before="40" w:after="50"/>
        <w:jc w:val="both"/>
      </w:pPr>
      <w:r>
        <w:rPr>
          <w:rFonts w:ascii="Arial" w:cs="Arial" w:eastAsia="Arial" w:hAnsi="Arial"/>
          <w:color w:val="1A1A1A"/>
          <w:sz w:val="22"/>
          <w:szCs w:val="22"/>
        </w:rPr>
        <w:t xml:space="preserve">Asistir al Responsable en la gestión de evaluaciones de impacto (EIPD) cuando resulte aplicable.</w:t>
      </w:r>
    </w:p>
    <w:p>
      <w:pPr>
        <w:pStyle w:val="ListParagraph"/>
        <w:numPr>
          <w:ilvl w:val="0"/>
          <w:numId w:val="2"/>
        </w:numPr>
        <w:spacing w:before="40" w:after="50"/>
        <w:jc w:val="both"/>
      </w:pPr>
      <w:r>
        <w:rPr>
          <w:rFonts w:ascii="Arial" w:cs="Arial" w:eastAsia="Arial" w:hAnsi="Arial"/>
          <w:color w:val="1A1A1A"/>
          <w:sz w:val="22"/>
          <w:szCs w:val="22"/>
        </w:rPr>
        <w:t xml:space="preserve">Asistir al Responsable ante la autoridad de control cuando sea requerido.</w:t>
      </w:r>
    </w:p>
    <w:p>
      <w:pPr>
        <w:pStyle w:val="ListParagraph"/>
        <w:numPr>
          <w:ilvl w:val="0"/>
          <w:numId w:val="2"/>
        </w:numPr>
        <w:spacing w:before="40" w:after="50"/>
        <w:jc w:val="both"/>
      </w:pPr>
      <w:r>
        <w:rPr>
          <w:rFonts w:ascii="Arial" w:cs="Arial" w:eastAsia="Arial" w:hAnsi="Arial"/>
          <w:color w:val="1A1A1A"/>
          <w:sz w:val="22"/>
          <w:szCs w:val="22"/>
        </w:rPr>
        <w:t xml:space="preserve">Mantener un registro actualizado de las actividades de tratamiento realizadas en nombre del Responsable.</w:t>
      </w:r>
    </w:p>
    <w:p>
      <w:pPr>
        <w:pStyle w:val="Heading2"/>
        <w:spacing w:before="300" w:after="80"/>
      </w:pPr>
      <w:r>
        <w:rPr>
          <w:rFonts w:ascii="Arial" w:cs="Arial" w:eastAsia="Arial" w:hAnsi="Arial"/>
          <w:b/>
          <w:bCs/>
          <w:color w:val="2E5FA3"/>
          <w:sz w:val="24"/>
          <w:szCs w:val="24"/>
        </w:rPr>
        <w:t xml:space="preserve">7.8. Obligaciones del Responsable</w:t>
      </w:r>
    </w:p>
    <w:p>
      <w:pPr>
        <w:pStyle w:val="ListParagraph"/>
        <w:numPr>
          <w:ilvl w:val="0"/>
          <w:numId w:val="2"/>
        </w:numPr>
        <w:spacing w:before="40" w:after="50"/>
        <w:jc w:val="both"/>
      </w:pPr>
      <w:r>
        <w:rPr>
          <w:rFonts w:ascii="Arial" w:cs="Arial" w:eastAsia="Arial" w:hAnsi="Arial"/>
          <w:color w:val="1A1A1A"/>
          <w:sz w:val="22"/>
          <w:szCs w:val="22"/>
        </w:rPr>
        <w:t xml:space="preserve">Garantizar que el tratamiento se realiza conforme a la normativa aplicable.</w:t>
      </w:r>
    </w:p>
    <w:p>
      <w:pPr>
        <w:pStyle w:val="ListParagraph"/>
        <w:numPr>
          <w:ilvl w:val="0"/>
          <w:numId w:val="2"/>
        </w:numPr>
        <w:spacing w:before="40" w:after="50"/>
        <w:jc w:val="both"/>
      </w:pPr>
      <w:r>
        <w:rPr>
          <w:rFonts w:ascii="Arial" w:cs="Arial" w:eastAsia="Arial" w:hAnsi="Arial"/>
          <w:color w:val="1A1A1A"/>
          <w:sz w:val="22"/>
          <w:szCs w:val="22"/>
        </w:rPr>
        <w:t xml:space="preserve">Proporcionar instrucciones lícitas y documentadas al Encargado.</w:t>
      </w:r>
    </w:p>
    <w:p>
      <w:pPr>
        <w:pStyle w:val="ListParagraph"/>
        <w:numPr>
          <w:ilvl w:val="0"/>
          <w:numId w:val="2"/>
        </w:numPr>
        <w:spacing w:before="40" w:after="50"/>
        <w:jc w:val="both"/>
      </w:pPr>
      <w:r>
        <w:rPr>
          <w:rFonts w:ascii="Arial" w:cs="Arial" w:eastAsia="Arial" w:hAnsi="Arial"/>
          <w:color w:val="1A1A1A"/>
          <w:sz w:val="22"/>
          <w:szCs w:val="22"/>
        </w:rPr>
        <w:t xml:space="preserve">Informar adecuadamente a los interesados conforme a los arts. 13 y 14 RGPD.</w:t>
      </w:r>
    </w:p>
    <w:p>
      <w:pPr>
        <w:pStyle w:val="ListParagraph"/>
        <w:numPr>
          <w:ilvl w:val="0"/>
          <w:numId w:val="2"/>
        </w:numPr>
        <w:spacing w:before="40" w:after="50"/>
        <w:jc w:val="both"/>
      </w:pPr>
      <w:r>
        <w:rPr>
          <w:rFonts w:ascii="Arial" w:cs="Arial" w:eastAsia="Arial" w:hAnsi="Arial"/>
          <w:color w:val="1A1A1A"/>
          <w:sz w:val="22"/>
          <w:szCs w:val="22"/>
        </w:rPr>
        <w:t xml:space="preserve">No utilizar la Plataforma para finalidades ilícitas, discriminatorias o ajenas al ámbito profesional.</w:t>
      </w:r>
    </w:p>
    <w:p>
      <w:pPr>
        <w:pStyle w:val="ListParagraph"/>
        <w:numPr>
          <w:ilvl w:val="0"/>
          <w:numId w:val="2"/>
        </w:numPr>
        <w:spacing w:before="40" w:after="50"/>
        <w:jc w:val="both"/>
      </w:pPr>
      <w:r>
        <w:rPr>
          <w:rFonts w:ascii="Arial" w:cs="Arial" w:eastAsia="Arial" w:hAnsi="Arial"/>
          <w:color w:val="1A1A1A"/>
          <w:sz w:val="22"/>
          <w:szCs w:val="22"/>
        </w:rPr>
        <w:t xml:space="preserve">Gestionar y responder directamente ante los interesados las solicitudes de ejercicio de derechos.</w:t>
      </w:r>
    </w:p>
    <w:p>
      <w:pPr>
        <w:pStyle w:val="Heading2"/>
        <w:spacing w:before="300" w:after="80"/>
      </w:pPr>
      <w:r>
        <w:rPr>
          <w:rFonts w:ascii="Arial" w:cs="Arial" w:eastAsia="Arial" w:hAnsi="Arial"/>
          <w:b/>
          <w:bCs/>
          <w:color w:val="2E5FA3"/>
          <w:sz w:val="24"/>
          <w:szCs w:val="24"/>
        </w:rPr>
        <w:t xml:space="preserve">7.9. Subencargados</w:t>
      </w:r>
    </w:p>
    <w:p>
      <w:pPr>
        <w:spacing w:before="60" w:after="80" w:line="280"/>
        <w:jc w:val="both"/>
      </w:pPr>
      <w:r>
        <w:rPr>
          <w:rFonts w:ascii="Arial" w:cs="Arial" w:eastAsia="Arial" w:hAnsi="Arial"/>
          <w:color w:val="1A1A1A"/>
          <w:sz w:val="22"/>
          <w:szCs w:val="22"/>
        </w:rPr>
        <w:t xml:space="preserve">El Responsable autoriza de forma general al Encargado a recurrir a los siguientes subencargados, que asumen obligaciones equivalentes a las de este DPA:</w:t>
      </w:r>
    </w:p>
    <w:p>
      <w:pPr>
        <w:spacing w:before="8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6206"/>
      </w:tblGrid>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Supabase</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Infraestructura / hosting de base de datos</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Brevo</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Correo transaccional</w:t>
            </w:r>
          </w:p>
        </w:tc>
      </w:tr>
      <w:tr>
        <w:tc>
          <w:tcPr>
            <w:tcW w:type="dxa" w:w="28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Stripe</w:t>
            </w:r>
          </w:p>
        </w:tc>
        <w:tc>
          <w:tcPr>
            <w:tcW w:type="dxa" w:w="6206"/>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2"/>
                <w:szCs w:val="22"/>
              </w:rPr>
              <w:t xml:space="preserve">Pasarela de pago</w:t>
            </w:r>
          </w:p>
        </w:tc>
      </w:tr>
    </w:tbl>
    <w:p>
      <w:pPr>
        <w:spacing w:before="80" w:after="0"/>
      </w:pPr>
      <w:r>
        <w:t xml:space="preserve"/>
      </w:r>
    </w:p>
    <w:p>
      <w:pPr>
        <w:spacing w:before="60" w:after="80" w:line="280"/>
        <w:jc w:val="both"/>
      </w:pPr>
      <w:r>
        <w:rPr>
          <w:rFonts w:ascii="Arial" w:cs="Arial" w:eastAsia="Arial" w:hAnsi="Arial"/>
          <w:color w:val="1A1A1A"/>
          <w:sz w:val="22"/>
          <w:szCs w:val="22"/>
        </w:rPr>
        <w:t xml:space="preserve">El Encargado notificará al Responsable cualquier cambio previsto en los subencargados, ofreciendo la posibilidad de oponerse. En caso de nuevos subencargados, se garantizará que asumen obligaciones equivalentes mediante contrato.</w:t>
      </w:r>
    </w:p>
    <w:p>
      <w:pPr>
        <w:pStyle w:val="Heading2"/>
        <w:spacing w:before="300" w:after="80"/>
      </w:pPr>
      <w:r>
        <w:rPr>
          <w:rFonts w:ascii="Arial" w:cs="Arial" w:eastAsia="Arial" w:hAnsi="Arial"/>
          <w:b/>
          <w:bCs/>
          <w:color w:val="2E5FA3"/>
          <w:sz w:val="24"/>
          <w:szCs w:val="24"/>
        </w:rPr>
        <w:t xml:space="preserve">7.10. Transferencias internacionales</w:t>
      </w:r>
    </w:p>
    <w:p>
      <w:pPr>
        <w:spacing w:before="60" w:after="80" w:line="280"/>
        <w:jc w:val="both"/>
      </w:pPr>
      <w:r>
        <w:rPr>
          <w:rFonts w:ascii="Arial" w:cs="Arial" w:eastAsia="Arial" w:hAnsi="Arial"/>
          <w:color w:val="1A1A1A"/>
          <w:sz w:val="22"/>
          <w:szCs w:val="22"/>
        </w:rPr>
        <w:t xml:space="preserve">En caso de que los subencargados traten datos fuera del Espacio Económico Europeo (EEE), el Encargado garantizará la aplicación de mecanismos adecuados (cláusulas contractuales tipo aprobadas por la Comisión Europea u otros mecanismos válidos conforme al RGPD).</w:t>
      </w:r>
    </w:p>
    <w:p>
      <w:pPr>
        <w:pStyle w:val="Heading2"/>
        <w:spacing w:before="300" w:after="80"/>
      </w:pPr>
      <w:r>
        <w:rPr>
          <w:rFonts w:ascii="Arial" w:cs="Arial" w:eastAsia="Arial" w:hAnsi="Arial"/>
          <w:b/>
          <w:bCs/>
          <w:color w:val="2E5FA3"/>
          <w:sz w:val="24"/>
          <w:szCs w:val="24"/>
        </w:rPr>
        <w:t xml:space="preserve">7.11. Violaciones de seguridad</w:t>
      </w:r>
    </w:p>
    <w:p>
      <w:pPr>
        <w:spacing w:before="60" w:after="80" w:line="280"/>
        <w:jc w:val="both"/>
      </w:pPr>
      <w:r>
        <w:rPr>
          <w:rFonts w:ascii="Arial" w:cs="Arial" w:eastAsia="Arial" w:hAnsi="Arial"/>
          <w:color w:val="1A1A1A"/>
          <w:sz w:val="22"/>
          <w:szCs w:val="22"/>
        </w:rPr>
        <w:t xml:space="preserve">El Encargado notificará al Responsable, sin dilación indebida y en todo caso dentro de las 72 horas siguientes a tener conocimiento, cualquier violación de seguridad de los datos personales que pueda generar riesgos para los derechos y libertades de los interesados.</w:t>
      </w:r>
    </w:p>
    <w:p>
      <w:pPr>
        <w:spacing w:before="60" w:after="80" w:line="280"/>
        <w:jc w:val="both"/>
      </w:pPr>
      <w:r>
        <w:rPr>
          <w:rFonts w:ascii="Arial" w:cs="Arial" w:eastAsia="Arial" w:hAnsi="Arial"/>
          <w:color w:val="1A1A1A"/>
          <w:sz w:val="22"/>
          <w:szCs w:val="22"/>
        </w:rPr>
        <w:t xml:space="preserve">La notificación incluirá, en la medida de lo posible: descripción de la violación, categorías y número aproximado de interesados y registros afectados, posibles consecuencias y medidas adoptadas.</w:t>
      </w:r>
    </w:p>
    <w:p>
      <w:pPr>
        <w:pStyle w:val="Heading2"/>
        <w:spacing w:before="300" w:after="80"/>
      </w:pPr>
      <w:r>
        <w:rPr>
          <w:rFonts w:ascii="Arial" w:cs="Arial" w:eastAsia="Arial" w:hAnsi="Arial"/>
          <w:b/>
          <w:bCs/>
          <w:color w:val="2E5FA3"/>
          <w:sz w:val="24"/>
          <w:szCs w:val="24"/>
        </w:rPr>
        <w:t xml:space="preserve">7.12. Devolución o supresión de datos</w:t>
      </w:r>
    </w:p>
    <w:p>
      <w:pPr>
        <w:spacing w:before="60" w:after="80" w:line="280"/>
        <w:jc w:val="both"/>
      </w:pPr>
      <w:r>
        <w:rPr>
          <w:rFonts w:ascii="Arial" w:cs="Arial" w:eastAsia="Arial" w:hAnsi="Arial"/>
          <w:color w:val="1A1A1A"/>
          <w:sz w:val="22"/>
          <w:szCs w:val="22"/>
        </w:rPr>
        <w:t xml:space="preserve">A la finalización del Contrato, el Encargado suprimirá o devolverá al Responsable todos los datos personales tratados, a elección del Responsable, en un plazo máximo de 30 días, salvo que una obligación legal exija su conservación.</w:t>
      </w:r>
    </w:p>
    <w:p>
      <w:pPr>
        <w:pStyle w:val="Heading2"/>
        <w:spacing w:before="300" w:after="80"/>
      </w:pPr>
      <w:r>
        <w:rPr>
          <w:rFonts w:ascii="Arial" w:cs="Arial" w:eastAsia="Arial" w:hAnsi="Arial"/>
          <w:b/>
          <w:bCs/>
          <w:color w:val="2E5FA3"/>
          <w:sz w:val="24"/>
          <w:szCs w:val="24"/>
        </w:rPr>
        <w:t xml:space="preserve">7.13. Auditorías</w:t>
      </w:r>
    </w:p>
    <w:p>
      <w:pPr>
        <w:spacing w:before="60" w:after="80" w:line="280"/>
        <w:jc w:val="both"/>
      </w:pPr>
      <w:r>
        <w:rPr>
          <w:rFonts w:ascii="Arial" w:cs="Arial" w:eastAsia="Arial" w:hAnsi="Arial"/>
          <w:color w:val="1A1A1A"/>
          <w:sz w:val="22"/>
          <w:szCs w:val="22"/>
        </w:rPr>
        <w:t xml:space="preserve">El Responsable podrá solicitar al Encargado información razonable para verificar el cumplimiento de este DPA. Las auditorías se realizarán con previo aviso mínimo de 30 días, sin interrumpir la operativa del servicio y limitándose a lo estrictamente necesario para verificar el cumplimiento.</w:t>
      </w:r>
    </w:p>
    <w:p>
      <w:pPr>
        <w:pStyle w:val="Heading2"/>
        <w:spacing w:before="300" w:after="80"/>
      </w:pPr>
      <w:r>
        <w:rPr>
          <w:rFonts w:ascii="Arial" w:cs="Arial" w:eastAsia="Arial" w:hAnsi="Arial"/>
          <w:b/>
          <w:bCs/>
          <w:color w:val="2E5FA3"/>
          <w:sz w:val="24"/>
          <w:szCs w:val="24"/>
        </w:rPr>
        <w:t xml:space="preserve">7.14. Responsabilidad</w:t>
      </w:r>
    </w:p>
    <w:p>
      <w:pPr>
        <w:spacing w:before="60" w:after="80" w:line="280"/>
        <w:jc w:val="both"/>
      </w:pPr>
      <w:r>
        <w:rPr>
          <w:rFonts w:ascii="Arial" w:cs="Arial" w:eastAsia="Arial" w:hAnsi="Arial"/>
          <w:color w:val="1A1A1A"/>
          <w:sz w:val="22"/>
          <w:szCs w:val="22"/>
        </w:rPr>
        <w:t xml:space="preserve">El Encargado no será responsable de incumplimientos derivados de instrucciones ilícitas del Responsable ni del uso indebido de la Plataforma por parte del Responsable o sus usuarios.</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8. Propiedad Intelectual e Industrial</w:t>
      </w:r>
    </w:p>
    <w:p>
      <w:pPr>
        <w:spacing w:before="60" w:after="80" w:line="280"/>
        <w:jc w:val="both"/>
      </w:pPr>
      <w:r>
        <w:rPr>
          <w:rFonts w:ascii="Arial" w:cs="Arial" w:eastAsia="Arial" w:hAnsi="Arial"/>
          <w:color w:val="1A1A1A"/>
          <w:sz w:val="22"/>
          <w:szCs w:val="22"/>
        </w:rPr>
        <w:t xml:space="preserve">La Plataforma Debacu Evaluation360, su software, diseño, documentación, marcas, logotipos, interfaces, bases de datos y demás elementos son titularidad exclusiva de DEBACU HOTELS S.L. o de sus licenciantes, y están protegidos por la normativa vigente en materia de propiedad intelectual e industrial.</w:t>
      </w:r>
    </w:p>
    <w:p>
      <w:pPr>
        <w:spacing w:before="60" w:after="80" w:line="280"/>
        <w:jc w:val="both"/>
      </w:pPr>
      <w:r>
        <w:rPr>
          <w:rFonts w:ascii="Arial" w:cs="Arial" w:eastAsia="Arial" w:hAnsi="Arial"/>
          <w:color w:val="1A1A1A"/>
          <w:sz w:val="22"/>
          <w:szCs w:val="22"/>
        </w:rPr>
        <w:t xml:space="preserve">El Contrato no otorga al Cliente ningún derecho de propiedad intelectual sobre la Plataforma ni sobre ninguno de sus componentes. Se concede únicamente una licencia de uso limitada, no exclusiva, intransferible y revocable, para acceder y utilizar la Plataforma según el plan contratado y los términos de este Contrato.</w:t>
      </w:r>
    </w:p>
    <w:p>
      <w:pPr>
        <w:spacing w:before="60" w:after="80" w:line="280"/>
        <w:jc w:val="both"/>
      </w:pPr>
      <w:r>
        <w:rPr>
          <w:rFonts w:ascii="Arial" w:cs="Arial" w:eastAsia="Arial" w:hAnsi="Arial"/>
          <w:color w:val="1A1A1A"/>
          <w:sz w:val="22"/>
          <w:szCs w:val="22"/>
        </w:rPr>
        <w:t xml:space="preserve">El Cliente conserva todos los derechos sobre los datos operativos que introduzca en la Plataforma en el marco de su actividad profesional.</w:t>
      </w:r>
    </w:p>
    <w:p>
      <w:pPr>
        <w:pStyle w:val="Heading1"/>
        <w:pBdr>
          <w:bottom w:val="single" w:color="4472C4" w:sz="8" w:space="4"/>
        </w:pBdr>
        <w:spacing w:before="440" w:after="120"/>
      </w:pPr>
      <w:r>
        <w:rPr>
          <w:rFonts w:ascii="Arial" w:cs="Arial" w:eastAsia="Arial" w:hAnsi="Arial"/>
          <w:b/>
          <w:bCs/>
          <w:color w:val="1F3864"/>
          <w:sz w:val="28"/>
          <w:szCs w:val="28"/>
        </w:rPr>
        <w:t xml:space="preserve">Cláusula 9. Confidencialidad</w:t>
      </w:r>
    </w:p>
    <w:p>
      <w:pPr>
        <w:spacing w:before="60" w:after="80" w:line="280"/>
        <w:jc w:val="both"/>
      </w:pPr>
      <w:r>
        <w:rPr>
          <w:rFonts w:ascii="Arial" w:cs="Arial" w:eastAsia="Arial" w:hAnsi="Arial"/>
          <w:color w:val="1A1A1A"/>
          <w:sz w:val="22"/>
          <w:szCs w:val="22"/>
        </w:rPr>
        <w:t xml:space="preserve">Ambas partes se comprometen a mantener la más estricta confidencialidad respecto a toda información no pública a la que accedan con ocasión de la relación contractual, incluyendo datos de negocio, información técnica, datos de clientes y cualquier otra información marcada como confidencial o que por su naturaleza deba considerarse como tal.</w:t>
      </w:r>
    </w:p>
    <w:p>
      <w:pPr>
        <w:spacing w:before="60" w:after="80" w:line="280"/>
        <w:jc w:val="both"/>
      </w:pPr>
      <w:r>
        <w:rPr>
          <w:rFonts w:ascii="Arial" w:cs="Arial" w:eastAsia="Arial" w:hAnsi="Arial"/>
          <w:color w:val="1A1A1A"/>
          <w:sz w:val="22"/>
          <w:szCs w:val="22"/>
        </w:rPr>
        <w:t xml:space="preserve">Esta obligación de confidencialidad subsistirá durante un período de 3 años tras la terminación del Contrato, salvo para información que: (i) sea de dominio público por causa no imputable a la parte receptora, (ii) fuera ya conocida por la parte receptora antes de la divulgación, o (iii) deba ser revelada por imperativo legal o resolución judicial.</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Cláusula 10. Responsabilidad y Garantías</w:t>
      </w:r>
    </w:p>
    <w:p>
      <w:pPr>
        <w:pStyle w:val="Heading2"/>
        <w:spacing w:before="300" w:after="80"/>
      </w:pPr>
      <w:r>
        <w:rPr>
          <w:rFonts w:ascii="Arial" w:cs="Arial" w:eastAsia="Arial" w:hAnsi="Arial"/>
          <w:b/>
          <w:bCs/>
          <w:color w:val="2E5FA3"/>
          <w:sz w:val="24"/>
          <w:szCs w:val="24"/>
        </w:rPr>
        <w:t xml:space="preserve">10.1. Nivel de servicio</w:t>
      </w:r>
    </w:p>
    <w:p>
      <w:pPr>
        <w:spacing w:before="60" w:after="80" w:line="280"/>
        <w:jc w:val="both"/>
      </w:pPr>
      <w:r>
        <w:rPr>
          <w:rFonts w:ascii="Arial" w:cs="Arial" w:eastAsia="Arial" w:hAnsi="Arial"/>
          <w:color w:val="1A1A1A"/>
          <w:sz w:val="22"/>
          <w:szCs w:val="22"/>
        </w:rPr>
        <w:t xml:space="preserve">El Proveedor realizará esfuerzos razonables para garantizar la disponibilidad y continuidad de la Plataforma, sin que pueda garantizarse la ausencia absoluta de interrupciones, errores o incidencias técnicas.</w:t>
      </w:r>
    </w:p>
    <w:p>
      <w:pPr>
        <w:pStyle w:val="Heading2"/>
        <w:spacing w:before="300" w:after="80"/>
      </w:pPr>
      <w:r>
        <w:rPr>
          <w:rFonts w:ascii="Arial" w:cs="Arial" w:eastAsia="Arial" w:hAnsi="Arial"/>
          <w:b/>
          <w:bCs/>
          <w:color w:val="2E5FA3"/>
          <w:sz w:val="24"/>
          <w:szCs w:val="24"/>
        </w:rPr>
        <w:t xml:space="preserve">10.2. Limitación de responsabilidad</w:t>
      </w:r>
    </w:p>
    <w:p>
      <w:pPr>
        <w:spacing w:before="60" w:after="80" w:line="280"/>
        <w:jc w:val="both"/>
      </w:pPr>
      <w:r>
        <w:rPr>
          <w:rFonts w:ascii="Arial" w:cs="Arial" w:eastAsia="Arial" w:hAnsi="Arial"/>
          <w:color w:val="1A1A1A"/>
          <w:sz w:val="22"/>
          <w:szCs w:val="22"/>
        </w:rPr>
        <w:t xml:space="preserve">En la medida permitida por la normativa aplicable, la responsabilidad total del Proveedor derivada de este Contrato quedará limitada al importe satisfecho por el Cliente durante los 12 meses anteriores al hecho que origine la reclamación.</w:t>
      </w:r>
    </w:p>
    <w:p>
      <w:pPr>
        <w:spacing w:before="60" w:after="80" w:line="280"/>
        <w:jc w:val="both"/>
      </w:pPr>
      <w:r>
        <w:rPr>
          <w:rFonts w:ascii="Arial" w:cs="Arial" w:eastAsia="Arial" w:hAnsi="Arial"/>
          <w:color w:val="1A1A1A"/>
          <w:sz w:val="22"/>
          <w:szCs w:val="22"/>
        </w:rPr>
        <w:t xml:space="preserve">El Proveedor no será responsable de: (i) daños indirectos, pérdida de beneficios o lucro cesante; (ii) decisiones adoptadas por el Cliente basadas en la información gestionada en la Plataforma; (iii) incumplimientos derivados del uso indebido de la Plataforma por el Cliente o sus usuarios.</w:t>
      </w:r>
    </w:p>
    <w:p>
      <w:pPr>
        <w:pStyle w:val="Heading2"/>
        <w:spacing w:before="300" w:after="80"/>
      </w:pPr>
      <w:r>
        <w:rPr>
          <w:rFonts w:ascii="Arial" w:cs="Arial" w:eastAsia="Arial" w:hAnsi="Arial"/>
          <w:b/>
          <w:bCs/>
          <w:color w:val="2E5FA3"/>
          <w:sz w:val="24"/>
          <w:szCs w:val="24"/>
        </w:rPr>
        <w:t xml:space="preserve">10.3. Fuerza mayor</w:t>
      </w:r>
    </w:p>
    <w:p>
      <w:pPr>
        <w:spacing w:before="60" w:after="80" w:line="280"/>
        <w:jc w:val="both"/>
      </w:pPr>
      <w:r>
        <w:rPr>
          <w:rFonts w:ascii="Arial" w:cs="Arial" w:eastAsia="Arial" w:hAnsi="Arial"/>
          <w:color w:val="1A1A1A"/>
          <w:sz w:val="22"/>
          <w:szCs w:val="22"/>
        </w:rPr>
        <w:t xml:space="preserve">Ninguna de las partes incurrirá en responsabilidad por el incumplimiento de sus obligaciones cuando dicho incumplimiento sea consecuencia de causa de fuerza mayor, entendiéndose como tal cualquier evento imprevisible, irresistible y ajeno al control razonable de la parte afectada.</w:t>
      </w:r>
    </w:p>
    <w:p>
      <w:pPr>
        <w:pStyle w:val="Heading1"/>
        <w:pBdr>
          <w:bottom w:val="single" w:color="4472C4" w:sz="8" w:space="4"/>
        </w:pBdr>
        <w:spacing w:before="440" w:after="120"/>
      </w:pPr>
      <w:r>
        <w:rPr>
          <w:rFonts w:ascii="Arial" w:cs="Arial" w:eastAsia="Arial" w:hAnsi="Arial"/>
          <w:b/>
          <w:bCs/>
          <w:color w:val="1F3864"/>
          <w:sz w:val="28"/>
          <w:szCs w:val="28"/>
        </w:rPr>
        <w:t xml:space="preserve">Cláusula 11. Modificaciones del Contrato</w:t>
      </w:r>
    </w:p>
    <w:p>
      <w:pPr>
        <w:spacing w:before="60" w:after="80" w:line="280"/>
        <w:jc w:val="both"/>
      </w:pPr>
      <w:r>
        <w:rPr>
          <w:rFonts w:ascii="Arial" w:cs="Arial" w:eastAsia="Arial" w:hAnsi="Arial"/>
          <w:color w:val="1A1A1A"/>
          <w:sz w:val="22"/>
          <w:szCs w:val="22"/>
        </w:rPr>
        <w:t xml:space="preserve">El Proveedor podrá modificar este Contrato cuando resulte necesario por motivos legales, técnicos, operativos o comerciales. Las modificaciones se comunicarán al Cliente con un preaviso mínimo de 30 días naturales, mediante notificación al email de contacto registrado o mediante aviso destacado en la Plataforma.</w:t>
      </w:r>
    </w:p>
    <w:p>
      <w:pPr>
        <w:spacing w:before="60" w:after="80" w:line="280"/>
        <w:jc w:val="both"/>
      </w:pPr>
      <w:r>
        <w:rPr>
          <w:rFonts w:ascii="Arial" w:cs="Arial" w:eastAsia="Arial" w:hAnsi="Arial"/>
          <w:color w:val="1A1A1A"/>
          <w:sz w:val="22"/>
          <w:szCs w:val="22"/>
        </w:rPr>
        <w:t xml:space="preserve">Si el Cliente no acepta las modificaciones, podrá resolver el Contrato antes de la fecha de entrada en vigor de las mismas. El uso continuado de la Plataforma tras la fecha de entrada en vigor implica la aceptación de las modificaciones.</w:t>
      </w:r>
    </w:p>
    <w:p>
      <w:pPr>
        <w:pStyle w:val="Heading1"/>
        <w:pBdr>
          <w:bottom w:val="single" w:color="4472C4" w:sz="8" w:space="4"/>
        </w:pBdr>
        <w:spacing w:before="440" w:after="120"/>
      </w:pPr>
      <w:r>
        <w:rPr>
          <w:rFonts w:ascii="Arial" w:cs="Arial" w:eastAsia="Arial" w:hAnsi="Arial"/>
          <w:b/>
          <w:bCs/>
          <w:color w:val="1F3864"/>
          <w:sz w:val="28"/>
          <w:szCs w:val="28"/>
        </w:rPr>
        <w:t xml:space="preserve">Cláusula 12. Notificaciones</w:t>
      </w:r>
    </w:p>
    <w:p>
      <w:pPr>
        <w:spacing w:before="60" w:after="80" w:line="280"/>
        <w:jc w:val="both"/>
      </w:pPr>
      <w:r>
        <w:rPr>
          <w:rFonts w:ascii="Arial" w:cs="Arial" w:eastAsia="Arial" w:hAnsi="Arial"/>
          <w:color w:val="1A1A1A"/>
          <w:sz w:val="22"/>
          <w:szCs w:val="22"/>
        </w:rPr>
        <w:t xml:space="preserve">Las notificaciones derivadas de este Contrato se realizarán por escrito, mediante correo electrónico a las direcciones indicadas en la Cláusula 1, o mediante comunicación a través del área de cliente de la Plataforma.</w:t>
      </w:r>
    </w:p>
    <w:p>
      <w:pPr>
        <w:spacing w:before="60" w:after="80" w:line="280"/>
        <w:jc w:val="both"/>
      </w:pPr>
      <w:r>
        <w:rPr>
          <w:rFonts w:ascii="Arial" w:cs="Arial" w:eastAsia="Arial" w:hAnsi="Arial"/>
          <w:color w:val="1A1A1A"/>
          <w:sz w:val="22"/>
          <w:szCs w:val="22"/>
        </w:rPr>
        <w:t xml:space="preserve">Se considerará que una notificación ha sido recibida en el plazo de 24 horas desde su envío, salvo acuse de recibo que acredite una recepción posterior o un error de entrega.</w:t>
      </w:r>
    </w:p>
    <w:p>
      <w:pPr>
        <w:pStyle w:val="Heading1"/>
        <w:pBdr>
          <w:bottom w:val="single" w:color="4472C4" w:sz="8" w:space="4"/>
        </w:pBdr>
        <w:spacing w:before="440" w:after="120"/>
      </w:pPr>
      <w:r>
        <w:rPr>
          <w:rFonts w:ascii="Arial" w:cs="Arial" w:eastAsia="Arial" w:hAnsi="Arial"/>
          <w:b/>
          <w:bCs/>
          <w:color w:val="1F3864"/>
          <w:sz w:val="28"/>
          <w:szCs w:val="28"/>
        </w:rPr>
        <w:t xml:space="preserve">Cláusula 13. Ley Aplicable y Jurisdicción</w:t>
      </w:r>
    </w:p>
    <w:p>
      <w:pPr>
        <w:spacing w:before="60" w:after="80" w:line="280"/>
        <w:jc w:val="both"/>
      </w:pPr>
      <w:r>
        <w:rPr>
          <w:rFonts w:ascii="Arial" w:cs="Arial" w:eastAsia="Arial" w:hAnsi="Arial"/>
          <w:color w:val="1A1A1A"/>
          <w:sz w:val="22"/>
          <w:szCs w:val="22"/>
        </w:rPr>
        <w:t xml:space="preserve">El presente Contrato se rige por la legislación española. Para la resolución de cualquier controversia derivada de su interpretación, cumplimiento o resolución, las partes, con renuncia expresa a cualquier otro fuero que pudiera corresponderles, se someten a la jurisdicción de los Juzgados y Tribunales de la ciudad de [▶ completar con la ciudad del domicilio del Proveedor], salvo que la normativa de protección de consumidores u otra disposición imperativa establezca un fuero diferente.</w:t>
      </w:r>
    </w:p>
    <w:p>
      <w:pPr>
        <w:spacing w:before="60" w:after="80" w:line="280"/>
        <w:jc w:val="both"/>
      </w:pPr>
      <w:r>
        <w:rPr>
          <w:rFonts w:ascii="Arial" w:cs="Arial" w:eastAsia="Arial" w:hAnsi="Arial"/>
          <w:color w:val="1A1A1A"/>
          <w:sz w:val="22"/>
          <w:szCs w:val="22"/>
        </w:rPr>
        <w:t xml:space="preserve">En materia de protección de datos, el Cliente y los interesados podrán dirigirse a la Agencia Española de Protección de Datos (AEPD), www.aepd.es.</w:t>
      </w:r>
    </w:p>
    <w:p>
      <w:pPr>
        <w:pStyle w:val="Heading1"/>
        <w:pBdr>
          <w:bottom w:val="single" w:color="4472C4" w:sz="8" w:space="4"/>
        </w:pBdr>
        <w:spacing w:before="440" w:after="120"/>
      </w:pPr>
      <w:r>
        <w:rPr>
          <w:rFonts w:ascii="Arial" w:cs="Arial" w:eastAsia="Arial" w:hAnsi="Arial"/>
          <w:b/>
          <w:bCs/>
          <w:color w:val="1F3864"/>
          <w:sz w:val="28"/>
          <w:szCs w:val="28"/>
        </w:rPr>
        <w:t xml:space="preserve">Cláusula 14. Nulidad Parcial e Integración</w:t>
      </w:r>
    </w:p>
    <w:p>
      <w:pPr>
        <w:spacing w:before="60" w:after="80" w:line="280"/>
        <w:jc w:val="both"/>
      </w:pPr>
      <w:r>
        <w:rPr>
          <w:rFonts w:ascii="Arial" w:cs="Arial" w:eastAsia="Arial" w:hAnsi="Arial"/>
          <w:color w:val="1A1A1A"/>
          <w:sz w:val="22"/>
          <w:szCs w:val="22"/>
        </w:rPr>
        <w:t xml:space="preserve">Si alguna cláusula o disposición de este Contrato fuera declarada nula o inaplicable por resolución judicial o administrativa, dicha nulidad no afectará a las restantes cláusulas, que conservarán su plena vigencia y eficacia. Las partes se comprometen a sustituir la disposición nula por otra que respete la finalidad económica y jurídica de la original.</w:t>
      </w:r>
    </w:p>
    <w:p>
      <w:pPr>
        <w:spacing w:before="60" w:after="80" w:line="280"/>
        <w:jc w:val="both"/>
      </w:pPr>
      <w:r>
        <w:rPr>
          <w:rFonts w:ascii="Arial" w:cs="Arial" w:eastAsia="Arial" w:hAnsi="Arial"/>
          <w:color w:val="1A1A1A"/>
          <w:sz w:val="22"/>
          <w:szCs w:val="22"/>
        </w:rPr>
        <w:t xml:space="preserve">Este Contrato, junto con el Marco Legal Integral de Debacu Evaluation360, constituye el acuerdo completo entre las partes en relación con su objeto, sustituyendo cualquier acuerdo o entendimiento anterior, oral o escrito, sobre la misma materia.</w:t>
      </w:r>
    </w:p>
    <w:p>
      <w:r>
        <w:br w:type="page"/>
      </w:r>
    </w:p>
    <w:p>
      <w:pPr>
        <w:pStyle w:val="Heading1"/>
        <w:pBdr>
          <w:bottom w:val="single" w:color="4472C4" w:sz="8" w:space="4"/>
        </w:pBdr>
        <w:spacing w:before="440" w:after="120"/>
      </w:pPr>
      <w:r>
        <w:rPr>
          <w:rFonts w:ascii="Arial" w:cs="Arial" w:eastAsia="Arial" w:hAnsi="Arial"/>
          <w:b/>
          <w:bCs/>
          <w:color w:val="1F3864"/>
          <w:sz w:val="28"/>
          <w:szCs w:val="28"/>
        </w:rPr>
        <w:t xml:space="preserve">Aceptación del Contrato</w:t>
      </w:r>
    </w:p>
    <w:p>
      <w:pPr>
        <w:spacing w:before="4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4472C4" w:sz="1"/>
              <w:left w:val="single" w:color="4472C4" w:sz="12"/>
              <w:bottom w:val="single" w:color="4472C4" w:sz="1"/>
              <w:right w:val="single" w:color="4472C4" w:sz="1"/>
            </w:tcBorders>
            <w:shd w:fill="EEF3FB" w:val="clear"/>
            <w:tcMar>
              <w:top w:type="dxa" w:w="120"/>
              <w:left w:type="dxa" w:w="200"/>
              <w:bottom w:type="dxa" w:w="120"/>
              <w:right w:type="dxa" w:w="200"/>
            </w:tcMar>
          </w:tcPr>
          <w:p>
            <w:pPr>
              <w:spacing w:before="0" w:after="80"/>
            </w:pPr>
            <w:r>
              <w:rPr>
                <w:rFonts w:ascii="Arial" w:cs="Arial" w:eastAsia="Arial" w:hAnsi="Arial"/>
                <w:b/>
                <w:bCs/>
                <w:color w:val="1F3864"/>
                <w:sz w:val="22"/>
                <w:szCs w:val="22"/>
              </w:rPr>
              <w:t xml:space="preserve">✅  Modelo click-wrap — Registro de aceptación online</w:t>
            </w:r>
          </w:p>
          <w:p>
            <w:pPr>
              <w:spacing w:before="0" w:after="40"/>
            </w:pPr>
            <w:r>
              <w:rPr>
                <w:rFonts w:ascii="Arial" w:cs="Arial" w:eastAsia="Arial" w:hAnsi="Arial"/>
                <w:color w:val="1A1A1A"/>
                <w:sz w:val="20"/>
                <w:szCs w:val="20"/>
              </w:rPr>
              <w:t xml:space="preserve">El Cliente acepta este Contrato en el momento del alta en la Plataforma, marcando la casilla de aceptación</w:t>
            </w:r>
          </w:p>
          <w:p>
            <w:pPr>
              <w:spacing w:before="0" w:after="40"/>
            </w:pPr>
            <w:r>
              <w:rPr>
                <w:rFonts w:ascii="Arial" w:cs="Arial" w:eastAsia="Arial" w:hAnsi="Arial"/>
                <w:color w:val="1A1A1A"/>
                <w:sz w:val="20"/>
                <w:szCs w:val="20"/>
              </w:rPr>
              <w:t xml:space="preserve">y completando el proceso de registro. Debacu conserva registro de: fecha/hora UTC, dirección IP,</w:t>
            </w:r>
          </w:p>
          <w:p>
            <w:pPr>
              <w:spacing w:before="0" w:after="40"/>
            </w:pPr>
            <w:r>
              <w:rPr>
                <w:rFonts w:ascii="Arial" w:cs="Arial" w:eastAsia="Arial" w:hAnsi="Arial"/>
                <w:color w:val="1A1A1A"/>
                <w:sz w:val="20"/>
                <w:szCs w:val="20"/>
              </w:rPr>
              <w:t xml:space="preserve">versión del contrato aceptado y datos de identificación del usuario que realizó la aceptación.</w:t>
            </w:r>
          </w:p>
          <w:p>
            <w:pPr>
              <w:spacing w:before="0" w:after="40"/>
            </w:pPr>
            <w:r>
              <w:rPr>
                <w:rFonts w:ascii="Arial" w:cs="Arial" w:eastAsia="Arial" w:hAnsi="Arial"/>
                <w:color w:val="1A1A1A"/>
                <w:sz w:val="20"/>
                <w:szCs w:val="20"/>
              </w:rPr>
              <w:t xml:space="preserve"/>
            </w:r>
          </w:p>
          <w:p>
            <w:pPr>
              <w:spacing w:before="0" w:after="40"/>
            </w:pPr>
            <w:r>
              <w:rPr>
                <w:rFonts w:ascii="Arial" w:cs="Arial" w:eastAsia="Arial" w:hAnsi="Arial"/>
                <w:color w:val="1A1A1A"/>
                <w:sz w:val="20"/>
                <w:szCs w:val="20"/>
              </w:rPr>
              <w:t xml:space="preserve">Este registro tiene plena validez contractual conforme al art. 23 LSSI-CE y al art. 6 Cód. Civil.</w:t>
            </w:r>
          </w:p>
        </w:tc>
      </w:tr>
    </w:tbl>
    <w:p>
      <w:pPr>
        <w:spacing w:before="160" w:after="0"/>
      </w:pPr>
      <w:r>
        <w:t xml:space="preserve"/>
      </w:r>
    </w:p>
    <w:p>
      <w:pPr>
        <w:spacing w:before="60" w:after="80" w:line="280"/>
        <w:jc w:val="both"/>
      </w:pPr>
      <w:r>
        <w:rPr>
          <w:rFonts w:ascii="Arial" w:cs="Arial" w:eastAsia="Arial" w:hAnsi="Arial"/>
          <w:color w:val="1A1A1A"/>
          <w:sz w:val="22"/>
          <w:szCs w:val="22"/>
        </w:rPr>
        <w:t xml:space="preserve">En prueba de conformidad, las partes aceptan el presente Contrato:</w:t>
      </w:r>
    </w:p>
    <w:p>
      <w:pPr>
        <w:spacing w:before="12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4400"/>
        <w:gridCol w:w="4606"/>
      </w:tblGrid>
      <w:tr>
        <w:tc>
          <w:tcPr>
            <w:tcBorders>
              <w:top w:val="single" w:color="D9E1F2" w:sz="1"/>
              <w:left w:val="single" w:color="D9E1F2" w:sz="1"/>
              <w:bottom w:val="single" w:color="D9E1F2" w:sz="1"/>
              <w:right w:val="single" w:color="D9E1F2" w:sz="1"/>
            </w:tcBorders>
            <w:shd w:fill="F2F5FB" w:val="clear"/>
            <w:tcMar>
              <w:top w:type="dxa" w:w="120"/>
              <w:left w:type="dxa" w:w="200"/>
              <w:bottom w:type="dxa" w:w="120"/>
              <w:right w:type="dxa" w:w="200"/>
            </w:tcMar>
          </w:tcPr>
          <w:p>
            <w:r>
              <w:rPr>
                <w:rFonts w:ascii="Arial" w:cs="Arial" w:eastAsia="Arial" w:hAnsi="Arial"/>
                <w:b/>
                <w:bCs/>
                <w:color w:val="1A1A1A"/>
                <w:sz w:val="22"/>
                <w:szCs w:val="22"/>
              </w:rPr>
              <w:t xml:space="preserve">PROVEEDOR TECNOLÓGICO</w:t>
            </w:r>
          </w:p>
          <w:p>
            <w:pPr>
              <w:spacing w:before="40"/>
            </w:pPr>
            <w:r>
              <w:rPr>
                <w:rFonts w:ascii="Arial" w:cs="Arial" w:eastAsia="Arial" w:hAnsi="Arial"/>
                <w:color w:val="1A1A1A"/>
                <w:sz w:val="22"/>
                <w:szCs w:val="22"/>
              </w:rPr>
              <w:t xml:space="preserve">DEBACU HOTELS S.L.</w:t>
            </w:r>
          </w:p>
          <w:p>
            <w:r>
              <w:rPr>
                <w:rFonts w:ascii="Arial" w:cs="Arial" w:eastAsia="Arial" w:hAnsi="Arial"/>
                <w:color w:val="1A1A1A"/>
                <w:sz w:val="22"/>
                <w:szCs w:val="22"/>
              </w:rPr>
              <w:t xml:space="preserve">CIF: B-55381214</w:t>
            </w:r>
          </w:p>
          <w:p>
            <w:r>
              <w:rPr>
                <w:rFonts w:ascii="Arial" w:cs="Arial" w:eastAsia="Arial" w:hAnsi="Arial"/>
                <w:color w:val="1A1A1A"/>
                <w:sz w:val="22"/>
                <w:szCs w:val="22"/>
              </w:rPr>
              <w:t xml:space="preserve">C/ Cantalejo, 13 – 1º A</w:t>
            </w:r>
          </w:p>
          <w:p>
            <w:r>
              <w:rPr>
                <w:rFonts w:ascii="Arial" w:cs="Arial" w:eastAsia="Arial" w:hAnsi="Arial"/>
                <w:color w:val="1A1A1A"/>
                <w:sz w:val="22"/>
                <w:szCs w:val="22"/>
              </w:rPr>
              <w:t xml:space="preserve">legal@debacu.com</w:t>
            </w:r>
          </w:p>
          <w:p>
            <w:pPr>
              <w:spacing w:before="140" w:after="0"/>
            </w:pPr>
            <w:r>
              <w:t xml:space="preserve"/>
            </w:r>
          </w:p>
          <w:p>
            <w:r>
              <w:rPr>
                <w:rFonts w:ascii="Arial" w:cs="Arial" w:eastAsia="Arial" w:hAnsi="Arial"/>
                <w:color w:val="1A1A1A"/>
                <w:sz w:val="22"/>
                <w:szCs w:val="22"/>
              </w:rPr>
              <w:t xml:space="preserve">Aceptación: plataforma online / click-wrap</w:t>
            </w:r>
          </w:p>
        </w:tc>
        <w:tc>
          <w:tcPr>
            <w:tcBorders>
              <w:top w:val="single" w:color="F0C040" w:sz="1"/>
              <w:left w:val="single" w:color="F0C040" w:sz="1"/>
              <w:bottom w:val="single" w:color="F0C040" w:sz="1"/>
              <w:right w:val="single" w:color="F0C040" w:sz="1"/>
            </w:tcBorders>
            <w:shd w:fill="FFF9E6" w:val="clear"/>
            <w:tcMar>
              <w:top w:type="dxa" w:w="120"/>
              <w:left w:type="dxa" w:w="200"/>
              <w:bottom w:type="dxa" w:w="120"/>
              <w:right w:type="dxa" w:w="200"/>
            </w:tcMar>
          </w:tcPr>
          <w:p>
            <w:r>
              <w:rPr>
                <w:rFonts w:ascii="Arial" w:cs="Arial" w:eastAsia="Arial" w:hAnsi="Arial"/>
                <w:b/>
                <w:bCs/>
                <w:color w:val="1A1A1A"/>
                <w:sz w:val="22"/>
                <w:szCs w:val="22"/>
              </w:rPr>
              <w:t xml:space="preserve">CLIENTE / ESTABLECIMIENTO</w:t>
            </w:r>
          </w:p>
          <w:p>
            <w:pPr>
              <w:spacing w:before="40"/>
            </w:pPr>
            <w:r>
              <w:rPr>
                <w:rFonts w:ascii="Arial" w:cs="Arial" w:eastAsia="Arial" w:hAnsi="Arial"/>
                <w:b/>
                <w:bCs/>
                <w:i/>
                <w:iCs/>
                <w:color w:val="7B4F00"/>
                <w:sz w:val="22"/>
                <w:szCs w:val="22"/>
              </w:rPr>
              <w:t xml:space="preserve">[Razón social del hotel]</w:t>
            </w:r>
          </w:p>
          <w:p>
            <w:r>
              <w:rPr>
                <w:rFonts w:ascii="Arial" w:cs="Arial" w:eastAsia="Arial" w:hAnsi="Arial"/>
                <w:b/>
                <w:bCs/>
                <w:i/>
                <w:iCs/>
                <w:color w:val="7B4F00"/>
                <w:sz w:val="22"/>
                <w:szCs w:val="22"/>
              </w:rPr>
              <w:t xml:space="preserve">[CIF / NIF]</w:t>
            </w:r>
          </w:p>
          <w:p>
            <w:r>
              <w:rPr>
                <w:rFonts w:ascii="Arial" w:cs="Arial" w:eastAsia="Arial" w:hAnsi="Arial"/>
                <w:b/>
                <w:bCs/>
                <w:i/>
                <w:iCs/>
                <w:color w:val="7B4F00"/>
                <w:sz w:val="22"/>
                <w:szCs w:val="22"/>
              </w:rPr>
              <w:t xml:space="preserve">[Domicilio social]</w:t>
            </w:r>
          </w:p>
          <w:p>
            <w:r>
              <w:rPr>
                <w:rFonts w:ascii="Arial" w:cs="Arial" w:eastAsia="Arial" w:hAnsi="Arial"/>
                <w:b/>
                <w:bCs/>
                <w:i/>
                <w:iCs/>
                <w:color w:val="7B4F00"/>
                <w:sz w:val="22"/>
                <w:szCs w:val="22"/>
              </w:rPr>
              <w:t xml:space="preserve">[Email de contacto]</w:t>
            </w:r>
          </w:p>
          <w:p>
            <w:pPr>
              <w:spacing w:before="40" w:after="0"/>
            </w:pPr>
            <w:r>
              <w:t xml:space="preserve"/>
            </w:r>
          </w:p>
          <w:p>
            <w:r>
              <w:rPr>
                <w:rFonts w:ascii="Arial" w:cs="Arial" w:eastAsia="Arial" w:hAnsi="Arial"/>
                <w:color w:val="1A1A1A"/>
                <w:sz w:val="22"/>
                <w:szCs w:val="22"/>
              </w:rPr>
              <w:t xml:space="preserve">Fecha de aceptación online:</w:t>
            </w:r>
            <w:r>
              <w:rPr>
                <w:rFonts w:ascii="Arial" w:cs="Arial" w:eastAsia="Arial" w:hAnsi="Arial"/>
                <w:b/>
                <w:bCs/>
                <w:i/>
                <w:iCs/>
                <w:color w:val="7B4F00"/>
                <w:sz w:val="22"/>
                <w:szCs w:val="22"/>
              </w:rPr>
              <w:t xml:space="preserve"> [DD/MM/AAAA]</w:t>
            </w:r>
          </w:p>
          <w:p>
            <w:r>
              <w:rPr>
                <w:rFonts w:ascii="Arial" w:cs="Arial" w:eastAsia="Arial" w:hAnsi="Arial"/>
                <w:color w:val="1A1A1A"/>
                <w:sz w:val="22"/>
                <w:szCs w:val="22"/>
              </w:rPr>
              <w:t xml:space="preserve">IP de aceptación:</w:t>
            </w:r>
            <w:r>
              <w:rPr>
                <w:rFonts w:ascii="Arial" w:cs="Arial" w:eastAsia="Arial" w:hAnsi="Arial"/>
                <w:b/>
                <w:bCs/>
                <w:i/>
                <w:iCs/>
                <w:color w:val="7B4F00"/>
                <w:sz w:val="22"/>
                <w:szCs w:val="22"/>
              </w:rPr>
              <w:t xml:space="preserve"> [xxx.xxx.xxx.xxx]</w:t>
            </w:r>
          </w:p>
        </w:tc>
      </w:tr>
    </w:tbl>
    <w:p>
      <w:pPr>
        <w:spacing w:before="200" w:after="0"/>
      </w:pPr>
      <w: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Borders>
              <w:top w:val="single" w:color="D9E1F2" w:sz="1"/>
              <w:left w:val="single" w:color="D9E1F2" w:sz="1"/>
              <w:bottom w:val="single" w:color="D9E1F2" w:sz="1"/>
              <w:right w:val="single" w:color="D9E1F2" w:sz="1"/>
            </w:tcBorders>
            <w:shd w:fill="F2F5FB" w:val="clear"/>
            <w:tcMar>
              <w:top w:type="dxa" w:w="120"/>
              <w:left w:type="dxa" w:w="200"/>
              <w:bottom w:type="dxa" w:w="120"/>
              <w:right w:type="dxa" w:w="200"/>
            </w:tcMar>
          </w:tcPr>
          <w:p>
            <w:pPr>
              <w:spacing w:before="0" w:after="60"/>
            </w:pPr>
            <w:r>
              <w:rPr>
                <w:rFonts w:ascii="Arial" w:cs="Arial" w:eastAsia="Arial" w:hAnsi="Arial"/>
                <w:b/>
                <w:bCs/>
                <w:color w:val="1A1A1A"/>
                <w:sz w:val="22"/>
                <w:szCs w:val="22"/>
              </w:rPr>
              <w:t xml:space="preserve">Integridad documental</w:t>
            </w:r>
          </w:p>
          <w:p>
            <w:pPr>
              <w:spacing w:before="0" w:after="40"/>
            </w:pPr>
            <w:r>
              <w:rPr>
                <w:rFonts w:ascii="Arial" w:cs="Arial" w:eastAsia="Arial" w:hAnsi="Arial"/>
                <w:color w:val="1A1A1A"/>
                <w:sz w:val="20"/>
                <w:szCs w:val="20"/>
              </w:rPr>
              <w:t xml:space="preserve">Este Contrato forma un único marco contractual con el Marco Legal Integral de Debacu Evaluation360 V1.0.</w:t>
            </w:r>
          </w:p>
          <w:p>
            <w:pPr>
              <w:spacing w:before="0" w:after="40"/>
            </w:pPr>
            <w:r>
              <w:rPr>
                <w:rFonts w:ascii="Arial" w:cs="Arial" w:eastAsia="Arial" w:hAnsi="Arial"/>
                <w:color w:val="555555"/>
                <w:sz w:val="20"/>
                <w:szCs w:val="20"/>
              </w:rPr>
              <w:t xml:space="preserve">Versión del contrato: V1.0  ·  Fecha de emisión: 2026  ·  DEBACU HOTELS S.L.  ·  CIF: B-55381214</w:t>
            </w:r>
          </w:p>
          <w:p>
            <w:pPr>
              <w:spacing w:before="0" w:after="0"/>
            </w:pPr>
            <w:r>
              <w:rPr>
                <w:rFonts w:ascii="Arial" w:cs="Arial" w:eastAsia="Arial" w:hAnsi="Arial"/>
                <w:i/>
                <w:iCs/>
                <w:color w:val="555555"/>
                <w:sz w:val="18"/>
                <w:szCs w:val="18"/>
              </w:rPr>
              <w:t xml:space="preserve">Documento confidencial de uso profesional. Prohibida su reproducción o difusión sin autorización expresa.</w:t>
            </w:r>
          </w:p>
        </w:tc>
      </w:tr>
    </w:tbl>
    <w:p>
      <w:pPr>
        <w:spacing w:before="160" w:after="60"/>
        <w:jc w:val="right"/>
      </w:pPr>
      <w:r>
        <w:rPr>
          <w:rFonts w:ascii="Arial" w:cs="Arial" w:eastAsia="Arial" w:hAnsi="Arial"/>
          <w:i/>
          <w:iCs/>
          <w:color w:val="555555"/>
          <w:sz w:val="18"/>
          <w:szCs w:val="18"/>
        </w:rPr>
        <w:t xml:space="preserve">Última actualización: 2026</w:t>
      </w:r>
    </w:p>
    <w:sectPr>
      <w:headerReference w:type="default" r:id="rId6"/>
      <w:footerReference w:type="default" r:id="rId7"/>
      <w:pgSz w:w="11906" w:h="16838" w:orient="portrait"/>
      <w:pgMar w:top="1200" w:right="12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555555"/>
        <w:sz w:val="16"/>
        <w:szCs w:val="16"/>
      </w:rPr>
      <w:t xml:space="preserve">DEBACU HOTELS S.L.  ·  CIF: B-55381214  ·  legal@debacu.com  ·  Página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de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06"/>
      <w:tblBorders>
        <w:top w:val="none" w:color="FFFFFF" w:sz="0"/>
        <w:left w:val="none" w:color="FFFFFF" w:sz="0"/>
        <w:bottom w:val="single" w:color="4472C4" w:sz="6" w:space="2"/>
        <w:right w:val="none" w:color="FFFFFF" w:sz="0"/>
        <w:insideH w:val="single" w:color="auto" w:sz="4"/>
        <w:insideV w:val="single" w:color="auto" w:sz="4"/>
      </w:tblBorders>
    </w:tblPr>
    <w:tblGrid>
      <w:gridCol w:w="7000"/>
      <w:gridCol w:w="2306"/>
    </w:tblGrid>
    <w:tr>
      <w:tc>
        <w:tcPr>
          <w:tcBorders>
            <w:top w:val="none" w:color="FFFFFF" w:sz="0"/>
            <w:left w:val="none" w:color="FFFFFF" w:sz="0"/>
            <w:bottom w:val="none" w:color="FFFFFF" w:sz="0"/>
            <w:right w:val="none" w:color="FFFFFF" w:sz="0"/>
          </w:tcBorders>
          <w:vAlign w:val="center"/>
        </w:tcPr>
        <w:p>
          <w:r>
            <w:rPr>
              <w:rFonts w:ascii="Arial" w:cs="Arial" w:eastAsia="Arial" w:hAnsi="Arial"/>
              <w:b/>
              <w:bCs/>
              <w:color w:val="2E5FA3"/>
              <w:sz w:val="16"/>
              <w:szCs w:val="16"/>
            </w:rPr>
            <w:t xml:space="preserve">DEBACU HOTELS S.L.  |  Contrato de Servicios y DPA — Debacu Evaluation360</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555555"/>
              <w:sz w:val="16"/>
              <w:szCs w:val="16"/>
            </w:rPr>
            <w:t xml:space="preserve">Versión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300" w:after="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2026-03-17T20:28:51.846Z</dcterms:created>
  <dcterms:modified xsi:type="dcterms:W3CDTF">2026-03-17T20:28:51.847Z</dcterms:modified>
</cp:coreProperties>
</file>

<file path=docProps/custom.xml><?xml version="1.0" encoding="utf-8"?>
<Properties xmlns="http://schemas.openxmlformats.org/officeDocument/2006/custom-properties" xmlns:vt="http://schemas.openxmlformats.org/officeDocument/2006/docPropsVTypes"/>
</file>