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r>
              <w:drawing>
                <wp:inline distT="0" distB="0" distL="0" distR="0">
                  <wp:extent cx="152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762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right"/>
            </w:pPr>
            <w:r>
              <w:rPr>
                <w:rFonts w:ascii="Arial" w:cs="Arial" w:eastAsia="Arial" w:hAnsi="Arial"/>
                <w:b/>
                <w:bCs/>
                <w:color w:val="FFFFFF"/>
                <w:sz w:val="22"/>
                <w:szCs w:val="22"/>
              </w:rPr>
              <w:t xml:space="preserve">Propuesta de colaboración para SALTOKI</w:t>
            </w:r>
          </w:p>
        </w:tc>
      </w:tr>
    </w:tbl>
    <w:p>
      <w:pPr>
        <w:spacing w:after="300" w:before="300"/>
      </w:pPr>
    </w:p>
    <w:p>
      <w:pPr>
        <w:spacing w:after="80" w:before="100"/>
      </w:pPr>
      <w:r>
        <w:rPr>
          <w:rFonts w:ascii="Arial" w:cs="Arial" w:eastAsia="Arial" w:hAnsi="Arial"/>
          <w:color w:val="1C2535"/>
          <w:sz w:val="22"/>
          <w:szCs w:val="22"/>
        </w:rPr>
        <w:t xml:space="preserve">Estimado equipo de SALTOKI,</w:t>
      </w:r>
    </w:p>
    <w:p>
      <w:pPr>
        <w:spacing w:after="60" w:before="60"/>
      </w:pPr>
    </w:p>
    <w:p>
      <w:pPr>
        <w:spacing w:after="60" w:before="60"/>
      </w:pPr>
      <w:r>
        <w:rPr>
          <w:rFonts w:ascii="Arial" w:cs="Arial" w:eastAsia="Arial" w:hAnsi="Arial"/>
          <w:color w:val="1C2535"/>
          <w:sz w:val="22"/>
          <w:szCs w:val="22"/>
        </w:rPr>
        <w:t xml:space="preserve">Somos TrabFlow Technologies, S.L., una empresa tecnológica española que ha desarrollado la primera plataforma de gestión para instaladores autónomos con IA integrada. Nos ponemos en contacto con vosotros porque creemos que TrabFlow puede convertirse en un canal de prescripción directo para vuestro catálogo de fontanería y climatización en España.</w:t>
      </w:r>
    </w:p>
    <w:p>
      <w:pPr>
        <w:spacing w:after="200" w:before="200"/>
      </w:pPr>
    </w:p>
    <w:p>
      <w:pPr>
        <w:spacing w:after="120" w:before="200"/>
      </w:pPr>
      <w:r>
        <w:rPr>
          <w:rFonts w:ascii="Arial" w:cs="Arial" w:eastAsia="Arial" w:hAnsi="Arial"/>
          <w:b/>
          <w:bCs/>
          <w:color w:val="1A5A96"/>
          <w:sz w:val="28"/>
          <w:szCs w:val="28"/>
        </w:rPr>
        <w:t xml:space="preserve">El mercado al que llegamos juntos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650.000+
Instaladores en España</w:t>
            </w:r>
          </w:p>
        </w:tc>
        <w:tc>
          <w:tcPr>
            <w:tcW w:type="dxa" w:w="2340"/>
            <w:tcBorders>
              <w:top w:val="none" w:color="FFFFFF" w:sz="0"/>
              <w:left w:val="none" w:color="FFFFFF" w:sz="0"/>
              <w:bottom w:val="none" w:color="FFFFFF" w:sz="0"/>
              <w:right w:val="none" w:color="FFFFFF" w:sz="0"/>
            </w:tcBorders>
            <w:shd w:fill="C8922A"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480M EUR
TAM España + LATAM</w:t>
            </w:r>
          </w:p>
        </w:tc>
        <w:tc>
          <w:tcPr>
            <w:tcW w:type="dxa" w:w="2340"/>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2-4 h
Papeleo diario por instalador</w:t>
            </w:r>
          </w:p>
        </w:tc>
        <w:tc>
          <w:tcPr>
            <w:tcW w:type="dxa" w:w="2340"/>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tcPr>
          <w:p>
            <w:pPr>
              <w:jc w:val="center"/>
            </w:pPr>
            <w:r>
              <w:rPr>
                <w:rFonts w:ascii="Arial" w:cs="Arial" w:eastAsia="Arial" w:hAnsi="Arial"/>
                <w:b/>
                <w:bCs/>
                <w:color w:val="FFFFFF"/>
                <w:sz w:val="21"/>
                <w:szCs w:val="21"/>
              </w:rPr>
              <w:t xml:space="preserve">Ene 2027
VeriFactu obligatorio</w:t>
            </w:r>
          </w:p>
        </w:tc>
      </w:tr>
    </w:tbl>
    <w:p>
      <w:pPr>
        <w:spacing w:after="300" w:before="300"/>
      </w:pPr>
    </w:p>
    <w:p>
      <w:pPr>
        <w:spacing w:after="120" w:before="200"/>
      </w:pPr>
      <w:r>
        <w:rPr>
          <w:rFonts w:ascii="Arial" w:cs="Arial" w:eastAsia="Arial" w:hAnsi="Arial"/>
          <w:b/>
          <w:bCs/>
          <w:color w:val="1A5A96"/>
          <w:sz w:val="28"/>
          <w:szCs w:val="28"/>
        </w:rPr>
        <w:t xml:space="preserve">Por qué SALTOKI y TrabFlow encajan</w:t>
      </w:r>
    </w:p>
    <w:p>
      <w:pPr>
        <w:spacing w:after="80" w:before="80"/>
      </w:pPr>
    </w:p>
    <w:p>
      <w:pPr>
        <w:spacing w:after="100" w:before="60"/>
      </w:pPr>
      <w:r>
        <w:rPr>
          <w:rFonts w:ascii="Arial" w:cs="Arial" w:eastAsia="Arial" w:hAnsi="Arial"/>
          <w:color w:val="1C2535"/>
          <w:sz w:val="22"/>
          <w:szCs w:val="22"/>
        </w:rPr>
        <w:t xml:space="preserve">Cuando un instalador de fontanería y climatización elabora un presupuesto, decide en ese momento qué material va a comprar y dónde. TrabFlow es la herramienta donde ese presupuesto se genera. La integración del catálogo SALTOKI significa que el instalador presupuestará directamente con vuestras referencias, reduciendo la fricción entre el presupuesto y el pedido.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P</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Presencia antes del punto de venta</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Vuestras referencias de fontanería aparecen cuando el instalador elige materiales, en el momento de mayor intención de compra.</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C</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Catálogo integrado (roadmap)</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Planificamos integrar precios y stock SALTOKI en tiempo real. El instalador presupuesta y pide en un solo flujo.</w:t>
            </w:r>
          </w:p>
        </w:tc>
      </w:tr>
      <w:tr>
        <w:trPr>
          <w:cantSplit/>
        </w:trPr>
        <w:tc>
          <w:tcPr>
            <w:tcW w:type="dxa" w:w="6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F</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Fidelización del instalador</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El instalador que presupuesta con referencias SALTOKI tiende a comprar en SALTOKI. El hábito se construye en el presupuesto.</w:t>
            </w:r>
          </w:p>
        </w:tc>
      </w:tr>
      <w:tr>
        <w:trPr>
          <w:cantSplit/>
        </w:trPr>
        <w:tc>
          <w:tcPr>
            <w:tcW w:type="dxa" w:w="600"/>
            <w:tcBorders>
              <w:top w:val="none" w:color="FFFFFF" w:sz="0"/>
              <w:left w:val="none" w:color="FFFFFF" w:sz="0"/>
              <w:bottom w:val="none" w:color="FFFFFF" w:sz="0"/>
              <w:right w:val="none" w:color="FFFFFF" w:sz="0"/>
            </w:tcBorders>
            <w:shd w:fill="1C2535" w:val="clear"/>
            <w:tcMar>
              <w:top w:type="dxa" w:w="100"/>
              <w:left w:type="dxa" w:w="140"/>
              <w:bottom w:type="dxa" w:w="100"/>
              <w:right w:type="dxa" w:w="140"/>
            </w:tcMar>
            <w:vAlign w:val="center"/>
          </w:tcPr>
          <w:p>
            <w:pPr>
              <w:jc w:val="center"/>
            </w:pPr>
            <w:r>
              <w:rPr>
                <w:rFonts w:ascii="Arial" w:cs="Arial" w:eastAsia="Arial" w:hAnsi="Arial"/>
                <w:b/>
                <w:bCs/>
                <w:color w:val="FFFFFF"/>
                <w:sz w:val="28"/>
                <w:szCs w:val="28"/>
              </w:rPr>
              <w:t xml:space="preserve">D</w:t>
            </w:r>
          </w:p>
        </w:tc>
        <w:tc>
          <w:tcPr>
            <w:tcW w:type="dxa" w:w="2200"/>
            <w:tcBorders>
              <w:top w:val="none" w:color="FFFFFF" w:sz="0"/>
              <w:left w:val="none" w:color="FFFFFF" w:sz="0"/>
              <w:bottom w:val="none" w:color="FFFFFF" w:sz="0"/>
              <w:right w:val="none" w:color="FFFFFF" w:sz="0"/>
            </w:tcBorders>
            <w:shd w:fill="D5E8F0" w:val="clear"/>
            <w:tcMar>
              <w:top w:type="dxa" w:w="100"/>
              <w:left w:type="dxa" w:w="140"/>
              <w:bottom w:type="dxa" w:w="100"/>
              <w:right w:type="dxa" w:w="140"/>
            </w:tcMar>
            <w:vAlign w:val="center"/>
          </w:tcPr>
          <w:p>
            <w:r>
              <w:rPr>
                <w:rFonts w:ascii="Arial" w:cs="Arial" w:eastAsia="Arial" w:hAnsi="Arial"/>
                <w:b/>
                <w:bCs/>
                <w:color w:val="1A5A96"/>
                <w:sz w:val="20"/>
                <w:szCs w:val="20"/>
              </w:rPr>
              <w:t xml:space="preserve">Canal digital sin inversión propia</w:t>
            </w:r>
          </w:p>
        </w:tc>
        <w:tc>
          <w:tcPr>
            <w:tcW w:type="dxa" w:w="6560"/>
            <w:tcBorders>
              <w:top w:val="none" w:color="FFFFFF" w:sz="0"/>
              <w:left w:val="none" w:color="FFFFFF" w:sz="0"/>
              <w:bottom w:val="none" w:color="FFFFFF" w:sz="0"/>
              <w:right w:val="none" w:color="FFFFFF" w:sz="0"/>
            </w:tcBorders>
            <w:shd w:fill="F5F6F8" w:val="clear"/>
            <w:tcMar>
              <w:top w:type="dxa" w:w="100"/>
              <w:left w:type="dxa" w:w="140"/>
              <w:bottom w:type="dxa" w:w="100"/>
              <w:right w:type="dxa" w:w="140"/>
            </w:tcMar>
          </w:tcPr>
          <w:p>
            <w:r>
              <w:rPr>
                <w:rFonts w:ascii="Arial" w:cs="Arial" w:eastAsia="Arial" w:hAnsi="Arial"/>
                <w:color w:val="1C2535"/>
                <w:sz w:val="20"/>
                <w:szCs w:val="20"/>
              </w:rPr>
              <w:t xml:space="preserve">Presencia digital directa ante miles de instaladores de fontanería sin necesidad de desarrollar vuestra propia app de gestión.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Nuevo flujo operativo</w:t>
            </w:r>
          </w:p>
          <w:p>
            <w:pPr>
              <w:jc w:val="center"/>
            </w:pPr>
            <w:r>
              <w:rPr>
                <w:rFonts w:ascii="Arial" w:cs="Arial" w:eastAsia="Arial" w:hAnsi="Arial"/>
                <w:color w:val="D5E8F0"/>
                <w:sz w:val="22"/>
                <w:szCs w:val="22"/>
              </w:rPr>
              <w:t xml:space="preserve">Del presupuesto aceptado al pedido de material en un clic</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rPr>
        <w:tc>
          <w:tcPr>
            <w:tcW w:type="dxa" w:w="5600"/>
            <w:tcBorders>
              <w:top w:val="none" w:color="FFFFFF" w:sz="0"/>
              <w:left w:val="none" w:color="FFFFFF" w:sz="0"/>
              <w:bottom w:val="none" w:color="FFFFFF" w:sz="0"/>
              <w:right w:val="none" w:color="FFFFFF" w:sz="0"/>
            </w:tcBorders>
            <w:tcMar>
              <w:top w:type="dxa" w:w="60"/>
              <w:left w:type="dxa" w:w="0"/>
              <w:bottom w:type="dxa" w:w="60"/>
              <w:right w:type="dxa" w:w="160"/>
            </w:tcMar>
          </w:tcPr>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1</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dicta el trabajo</w:t>
                  </w:r>
                </w:p>
                <w:p>
                  <w:r>
                    <w:rPr>
                      <w:rFonts w:ascii="Arial" w:cs="Arial" w:eastAsia="Arial" w:hAnsi="Arial"/>
                      <w:color w:val="1C2535"/>
                      <w:sz w:val="18"/>
                      <w:szCs w:val="18"/>
                    </w:rPr>
                    <w:t xml:space="preserve">Por voz o WhatsApp, en lenguaje natural. Sin formularios.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2</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presupuesto</w:t>
                  </w:r>
                </w:p>
                <w:p>
                  <w:r>
                    <w:rPr>
                      <w:rFonts w:ascii="Arial" w:cs="Arial" w:eastAsia="Arial" w:hAnsi="Arial"/>
                      <w:color w:val="1C2535"/>
                      <w:sz w:val="18"/>
                      <w:szCs w:val="18"/>
                    </w:rPr>
                    <w:t xml:space="preserve">La IA estructura el trabajo en partidas con precios y mano de obra.</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3</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La IA calcula materiales</w:t>
                  </w:r>
                </w:p>
                <w:p>
                  <w:r>
                    <w:rPr>
                      <w:rFonts w:ascii="Arial" w:cs="Arial" w:eastAsia="Arial" w:hAnsi="Arial"/>
                      <w:color w:val="1C2535"/>
                      <w:sz w:val="18"/>
                      <w:szCs w:val="18"/>
                    </w:rPr>
                    <w:t xml:space="preserve">Detecta las referencias de fontanería necesarias y busca en los catálogos activos.</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4</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Instalador selecciona SALTOKI</w:t>
                  </w:r>
                </w:p>
                <w:p>
                  <w:r>
                    <w:rPr>
                      <w:rFonts w:ascii="Arial" w:cs="Arial" w:eastAsia="Arial" w:hAnsi="Arial"/>
                      <w:color w:val="1C2535"/>
                      <w:sz w:val="18"/>
                      <w:szCs w:val="18"/>
                    </w:rPr>
                    <w:t xml:space="preserve">Elige SALTOKI como proveedor de referencia para ese trabajo.</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5</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Cliente acepta el presupuesto</w:t>
                  </w:r>
                </w:p>
                <w:p>
                  <w:r>
                    <w:rPr>
                      <w:rFonts w:ascii="Arial" w:cs="Arial" w:eastAsia="Arial" w:hAnsi="Arial"/>
                      <w:color w:val="1C2535"/>
                      <w:sz w:val="18"/>
                      <w:szCs w:val="18"/>
                    </w:rPr>
                    <w:t xml:space="preserve">El presupuesto se envía y el cliente lo firma digitalmente.</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1A5A96"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6</w:t>
                  </w:r>
                </w:p>
              </w:tc>
              <w:tc>
                <w:tcPr>
                  <w:tcW w:type="dxa" w:w="5100"/>
                  <w:tcBorders>
                    <w:top w:val="none" w:color="FFFFFF" w:sz="0"/>
                    <w:left w:val="none" w:color="FFFFFF" w:sz="0"/>
                    <w:bottom w:val="none" w:color="FFFFFF" w:sz="0"/>
                    <w:right w:val="none" w:color="FFFFFF" w:sz="0"/>
                  </w:tcBorders>
                  <w:shd w:fill="F5F6F8" w:val="clear"/>
                  <w:tcMar>
                    <w:top w:type="dxa" w:w="80"/>
                    <w:left w:type="dxa" w:w="120"/>
                    <w:bottom w:type="dxa" w:w="80"/>
                    <w:right w:type="dxa" w:w="120"/>
                  </w:tcMar>
                </w:tcPr>
                <w:p>
                  <w:r>
                    <w:rPr>
                      <w:rFonts w:ascii="Arial" w:cs="Arial" w:eastAsia="Arial" w:hAnsi="Arial"/>
                      <w:b/>
                      <w:bCs/>
                      <w:color w:val="1A5A96"/>
                      <w:sz w:val="20"/>
                      <w:szCs w:val="20"/>
                    </w:rPr>
                    <w:t xml:space="preserve">TrabFlow genera el pedido</w:t>
                  </w:r>
                </w:p>
                <w:p>
                  <w:r>
                    <w:rPr>
                      <w:rFonts w:ascii="Arial" w:cs="Arial" w:eastAsia="Arial" w:hAnsi="Arial"/>
                      <w:color w:val="1C2535"/>
                      <w:sz w:val="18"/>
                      <w:szCs w:val="18"/>
                    </w:rPr>
                    <w:t xml:space="preserve">Automáticamente: lista de materiales lista para enviar al proveedor.</w:t>
                  </w:r>
                </w:p>
              </w:tc>
            </w:tr>
          </w:tbl>
          <w:p>
            <w:pPr>
              <w:spacing w:after="40" w:before="4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tblGrid>
            <w:tr>
              <w:trPr>
                <w:cantSplit/>
              </w:trPr>
              <w:tc>
                <w:tcPr>
                  <w:tcW w:type="dxa" w:w="50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4"/>
                      <w:szCs w:val="24"/>
                    </w:rPr>
                    <w:t xml:space="preserve">7</w:t>
                  </w:r>
                </w:p>
              </w:tc>
              <w:tc>
                <w:tcPr>
                  <w:tcW w:type="dxa" w:w="510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r>
                    <w:rPr>
                      <w:rFonts w:ascii="Arial" w:cs="Arial" w:eastAsia="Arial" w:hAnsi="Arial"/>
                      <w:b/>
                      <w:bCs/>
                      <w:color w:val="C8922A"/>
                      <w:sz w:val="20"/>
                      <w:szCs w:val="20"/>
                    </w:rPr>
                    <w:t xml:space="preserve">SALTOKI recibe una intención de compra real</w:t>
                  </w:r>
                </w:p>
                <w:p>
                  <w:r>
                    <w:rPr>
                      <w:rFonts w:ascii="Arial" w:cs="Arial" w:eastAsia="Arial" w:hAnsi="Arial"/>
                      <w:color w:val="1C2535"/>
                      <w:sz w:val="18"/>
                      <w:szCs w:val="18"/>
                    </w:rPr>
                    <w:t xml:space="preserve">No un lead. Un pedido concreto con referencias de fontanería, cantidades y obra.</w:t>
                  </w:r>
                </w:p>
              </w:tc>
            </w:tr>
          </w:tbl>
          <w:p>
            <w:pPr>
              <w:spacing w:after="40" w:before="40"/>
            </w:pPr>
          </w:p>
        </w:tc>
        <w:tc>
          <w:tcPr>
            <w:tcW w:type="dxa" w:w="3760"/>
            <w:tcBorders>
              <w:top w:val="none" w:color="FFFFFF" w:sz="0"/>
              <w:left w:val="single" w:color="D5E8F0" w:sz="2"/>
              <w:bottom w:val="none" w:color="FFFFFF" w:sz="0"/>
              <w:right w:val="none" w:color="FFFFFF" w:sz="0"/>
            </w:tcBorders>
            <w:shd w:fill="F5F6F8" w:val="clear"/>
            <w:tcMar>
              <w:top w:type="dxa" w:w="100"/>
              <w:left w:type="dxa" w:w="180"/>
              <w:bottom w:type="dxa" w:w="100"/>
              <w:right w:type="dxa" w:w="60"/>
            </w:tcMar>
            <w:vAlign w:val="center"/>
          </w:tcPr>
          <w:p>
            <w:pPr>
              <w:spacing w:after="0" w:before="60"/>
              <w:jc w:val="center"/>
            </w:pPr>
            <w:r>
              <w:rPr>
                <w:rFonts w:ascii="Arial" w:cs="Arial" w:eastAsia="Arial" w:hAnsi="Arial"/>
                <w:b/>
                <w:bCs/>
                <w:color w:val="1A5A96"/>
                <w:sz w:val="20"/>
                <w:szCs w:val="20"/>
              </w:rPr>
              <w:t xml:space="preserve">Flujo completo</w:t>
            </w:r>
          </w:p>
          <w:p>
            <w:pPr>
              <w:spacing w:after="80" w:before="80"/>
            </w:pPr>
          </w:p>
          <w:p>
            <w:pPr>
              <w:spacing w:after="30" w:before="30"/>
              <w:jc w:val="center"/>
            </w:pPr>
            <w:r>
              <w:rPr>
                <w:rFonts w:ascii="Arial" w:cs="Arial" w:eastAsia="Arial" w:hAnsi="Arial"/>
                <w:b/>
                <w:bCs/>
                <w:color w:val="1A5A96"/>
                <w:sz w:val="18"/>
                <w:szCs w:val="18"/>
              </w:rPr>
              <w:t xml:space="preserve">VOZ / WHATSAPP</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PRESUPUESTO IA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MATERIALES</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SALTOKI seleccionado</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CLIENTE ACEPTA</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1A5A96"/>
                <w:sz w:val="18"/>
                <w:szCs w:val="18"/>
              </w:rPr>
              <w:t xml:space="preserve">PEDIDO GENERADO</w:t>
            </w:r>
          </w:p>
          <w:p>
            <w:pPr>
              <w:spacing w:after="30" w:before="30"/>
              <w:jc w:val="center"/>
            </w:pPr>
            <w:r>
              <w:rPr>
                <w:rFonts w:ascii="Arial" w:cs="Arial" w:eastAsia="Arial" w:hAnsi="Arial"/>
                <w:b w:val="false"/>
                <w:bCs w:val="false"/>
                <w:color w:val="999999"/>
                <w:sz w:val="20"/>
                <w:szCs w:val="20"/>
              </w:rPr>
              <w:t xml:space="preserve">↓</w:t>
            </w:r>
          </w:p>
          <w:p>
            <w:pPr>
              <w:spacing w:after="30" w:before="30"/>
              <w:jc w:val="center"/>
            </w:pPr>
            <w:r>
              <w:rPr>
                <w:rFonts w:ascii="Arial" w:cs="Arial" w:eastAsia="Arial" w:hAnsi="Arial"/>
                <w:b/>
                <w:bCs/>
                <w:color w:val="C8922A"/>
                <w:sz w:val="18"/>
                <w:szCs w:val="18"/>
              </w:rPr>
              <w:t xml:space="preserve">COMPRA EN SALTOKI</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8922A" w:sz="4"/>
              <w:left w:val="none" w:color="FFFFFF" w:sz="0"/>
              <w:bottom w:val="single" w:color="C8922A" w:sz="4"/>
              <w:right w:val="none" w:color="FFFFFF" w:sz="0"/>
            </w:tcBorders>
            <w:shd w:fill="FDF3E3" w:val="clear"/>
            <w:tcMar>
              <w:top w:type="dxa" w:w="160"/>
              <w:left w:type="dxa" w:w="240"/>
              <w:bottom w:type="dxa" w:w="160"/>
              <w:right w:type="dxa" w:w="240"/>
            </w:tcMar>
          </w:tcPr>
          <w:p>
            <w:pPr>
              <w:jc w:val="center"/>
            </w:pPr>
            <w:r>
              <w:rPr>
                <w:rFonts w:ascii="Arial" w:cs="Arial" w:eastAsia="Arial" w:hAnsi="Arial"/>
                <w:b/>
                <w:bCs/>
                <w:color w:val="C8922A"/>
                <w:sz w:val="24"/>
                <w:szCs w:val="24"/>
              </w:rPr>
              <w:t xml:space="preserve">SALTOKI no aparece en un presupuesto. SALTOKI aparece justo antes de una compra.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C2535"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Estado actual del producto</w:t>
            </w:r>
          </w:p>
          <w:p>
            <w:pPr>
              <w:jc w:val="center"/>
            </w:pPr>
            <w:r>
              <w:rPr>
                <w:rFonts w:ascii="Arial" w:cs="Arial" w:eastAsia="Arial" w:hAnsi="Arial"/>
                <w:color w:val="D5E8F0"/>
                <w:sz w:val="22"/>
                <w:szCs w:val="22"/>
              </w:rPr>
              <w:t xml:space="preserve">Esto no es una idea. Es una plataforma funcionando.</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rP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center"/>
            </w:pPr>
            <w:r>
              <w:drawing>
                <wp:inline distT="0" distB="0" distL="0" distR="0">
                  <wp:extent cx="20002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05300"/>
                          </a:xfrm>
                          <a:prstGeom prst="rect">
                            <a:avLst/>
                          </a:prstGeom>
                        </pic:spPr>
                      </pic:pic>
                    </a:graphicData>
                  </a:graphic>
                </wp:inline>
              </w:drawing>
            </w:r>
          </w:p>
          <w:p>
            <w:pPr>
              <w:spacing w:before="80"/>
              <w:jc w:val="center"/>
            </w:pPr>
            <w:r>
              <w:rPr>
                <w:rFonts w:ascii="Arial" w:cs="Arial" w:eastAsia="Arial" w:hAnsi="Arial"/>
                <w:color w:val="888888"/>
                <w:sz w:val="16"/>
                <w:szCs w:val="16"/>
              </w:rPr>
              <w:t xml:space="preserve">Captura real de TrabFlow</w:t>
            </w:r>
          </w:p>
          <w:p>
            <w:pPr>
              <w:jc w:val="center"/>
            </w:pPr>
            <w:r>
              <w:rPr>
                <w:rFonts w:ascii="Arial" w:cs="Arial" w:eastAsia="Arial" w:hAnsi="Arial"/>
                <w:color w:val="888888"/>
                <w:sz w:val="16"/>
                <w:szCs w:val="16"/>
              </w:rPr>
              <w:t xml:space="preserve">Módulo de selección de proveedor</w:t>
            </w:r>
          </w:p>
        </w:tc>
        <w:tc>
          <w:tcPr>
            <w:tcW w:type="dxa" w:w="616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20" w:before="0"/>
            </w:pPr>
            <w:r>
              <w:rPr>
                <w:rFonts w:ascii="Arial" w:cs="Arial" w:eastAsia="Arial" w:hAnsi="Arial"/>
                <w:color w:val="1C2535"/>
                <w:sz w:val="22"/>
                <w:szCs w:val="22"/>
              </w:rPr>
              <w:t xml:space="preserve">El instalador ya puede seleccionar proveedor durante la preparación del trabajo.</w:t>
            </w:r>
          </w:p>
          <w:p>
            <w:pPr>
              <w:spacing w:after="120" w:before="60"/>
            </w:pPr>
            <w:r>
              <w:rPr>
                <w:rFonts w:ascii="Arial" w:cs="Arial" w:eastAsia="Arial" w:hAnsi="Arial"/>
                <w:color w:val="1C2535"/>
                <w:sz w:val="22"/>
                <w:szCs w:val="22"/>
              </w:rPr>
              <w:t xml:space="preserve">Una vez aceptado el presupuesto por el cliente, TrabFlow genera automáticamente un pedido de material de fontanería listo para enviar al proveedor seleccionado.</w:t>
            </w:r>
          </w:p>
          <w:p>
            <w:pPr>
              <w:spacing w:after="200" w:before="60"/>
            </w:pPr>
            <w:r>
              <w:rPr>
                <w:rFonts w:ascii="Arial" w:cs="Arial" w:eastAsia="Arial" w:hAnsi="Arial"/>
                <w:b/>
                <w:bCs/>
                <w:color w:val="1A5A96"/>
                <w:sz w:val="22"/>
                <w:szCs w:val="22"/>
              </w:rPr>
              <w:t xml:space="preserve">El flujo completo está desarrollado y funcionando en entorno de pruebas con datos reales.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tblGrid>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Presupuesto por voz o WhatsApp</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IA calcula materiales de fontanería automáticamente</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Selección de proveedor en el presupuesto</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Envío digital al cliente para aceptación</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Generación automática de pedido de material</w:t>
                  </w:r>
                </w:p>
              </w:tc>
            </w:tr>
            <w:tr>
              <w:trPr>
                <w:cantSplit/>
              </w:trPr>
              <w:tc>
                <w:tcPr>
                  <w:tcW w:type="dxa" w:w="400"/>
                  <w:tcBorders>
                    <w:top w:val="none" w:color="FFFFFF" w:sz="0"/>
                    <w:left w:val="none" w:color="FFFFFF" w:sz="0"/>
                    <w:bottom w:val="none" w:color="FFFFFF" w:sz="0"/>
                    <w:right w:val="none" w:color="FFFFFF" w:sz="0"/>
                  </w:tcBorders>
                  <w:shd w:fill="1A5A96"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w:t>
                  </w:r>
                </w:p>
              </w:tc>
              <w:tc>
                <w:tcPr>
                  <w:tcW w:type="dxa" w:w="5600"/>
                  <w:tcBorders>
                    <w:top w:val="none" w:color="FFFFFF" w:sz="0"/>
                    <w:left w:val="none" w:color="FFFFFF" w:sz="0"/>
                    <w:bottom w:val="none" w:color="FFFFFF" w:sz="0"/>
                    <w:right w:val="none" w:color="FFFFFF" w:sz="0"/>
                  </w:tcBorders>
                  <w:shd w:fill="F5F6F8" w:val="clear"/>
                  <w:tcMar>
                    <w:top w:type="dxa" w:w="60"/>
                    <w:left w:type="dxa" w:w="120"/>
                    <w:bottom w:type="dxa" w:w="60"/>
                    <w:right w:type="dxa" w:w="80"/>
                  </w:tcMar>
                </w:tcPr>
                <w:p>
                  <w:r>
                    <w:rPr>
                      <w:rFonts w:ascii="Arial" w:cs="Arial" w:eastAsia="Arial" w:hAnsi="Arial"/>
                      <w:color w:val="1C2535"/>
                      <w:sz w:val="20"/>
                      <w:szCs w:val="20"/>
                    </w:rPr>
                    <w:t xml:space="preserve">Pedido exportable y listo para enviar a SALTOKI</w:t>
                  </w:r>
                </w:p>
              </w:tc>
            </w:tr>
          </w:tbl>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rPr>
                <w:cantSplit/>
              </w:trPr>
              <w:tc>
                <w:tcPr>
                  <w:tcW w:type="dxa" w:w="6000"/>
                  <w:tcBorders>
                    <w:top w:val="single" w:color="C8922A" w:sz="4"/>
                    <w:left w:val="single" w:color="C8922A" w:sz="4"/>
                    <w:bottom w:val="none" w:color="FFFFFF" w:sz="0"/>
                    <w:right w:val="none" w:color="FFFFFF" w:sz="0"/>
                  </w:tcBorders>
                  <w:shd w:fill="FDF3E3" w:val="clear"/>
                  <w:tcMar>
                    <w:top w:type="dxa" w:w="140"/>
                    <w:left w:type="dxa" w:w="180"/>
                    <w:bottom w:type="dxa" w:w="140"/>
                    <w:right w:type="dxa" w:w="180"/>
                  </w:tcMar>
                </w:tcPr>
                <w:p>
                  <w:pPr>
                    <w:spacing w:after="80" w:before="0"/>
                  </w:pPr>
                  <w:r>
                    <w:rPr>
                      <w:rFonts w:ascii="Arial" w:cs="Arial" w:eastAsia="Arial" w:hAnsi="Arial"/>
                      <w:b/>
                      <w:bCs/>
                      <w:color w:val="C8922A"/>
                      <w:sz w:val="20"/>
                      <w:szCs w:val="20"/>
                    </w:rPr>
                    <w:t xml:space="preserve">Medición completa del embudo comercial</w:t>
                  </w:r>
                </w:p>
                <w:p>
                  <w:r>
                    <w:rPr>
                      <w:rFonts w:ascii="Arial" w:cs="Arial" w:eastAsia="Arial" w:hAnsi="Arial"/>
                      <w:color w:val="1C2535"/>
                      <w:sz w:val="19"/>
                      <w:szCs w:val="19"/>
                    </w:rPr>
                    <w:t xml:space="preserve">Presupuesto generado  →  Presupuesto aceptado  →  Pedido creado  →  Pedido enviado a SALTOKI</w:t>
                  </w:r>
                </w:p>
                <w:p>
                  <w:pPr>
                    <w:spacing w:after="60" w:before="60"/>
                  </w:pPr>
                </w:p>
                <w:p>
                  <w:r>
                    <w:rPr>
                      <w:rFonts w:ascii="Arial" w:cs="Arial" w:eastAsia="Arial" w:hAnsi="Arial"/>
                      <w:color w:val="1C2535"/>
                      <w:sz w:val="19"/>
                      <w:szCs w:val="19"/>
                    </w:rPr>
                    <w:t xml:space="preserve">Podemos saber cuántos presupuestos se generan con materiales SALTOKI, cuántos son aceptados por el cliente y cuántos se convierten en pedidos reales. Eso son métricas comerciales, no de marketing.</w:t>
                  </w:r>
                </w:p>
              </w:tc>
            </w:tr>
          </w:tbl>
          <w:p/>
        </w:tc>
      </w:tr>
    </w:tbl>
    <w:p>
      <w:r>
        <w:br w:type="page"/>
      </w:r>
    </w:p>
    <w:p>
      <w:pPr>
        <w:spacing w:after="120" w:before="200"/>
      </w:pPr>
      <w:r>
        <w:rPr>
          <w:rFonts w:ascii="Arial" w:cs="Arial" w:eastAsia="Arial" w:hAnsi="Arial"/>
          <w:b/>
          <w:bCs/>
          <w:color w:val="1A5A96"/>
          <w:sz w:val="28"/>
          <w:szCs w:val="28"/>
        </w:rPr>
        <w:t xml:space="preserve">Lo que os proponemos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jc w:val="center"/>
            </w:pPr>
            <w:r>
              <w:rPr>
                <w:rFonts w:ascii="Arial" w:cs="Arial" w:eastAsia="Arial" w:hAnsi="Arial"/>
                <w:b/>
                <w:bCs/>
                <w:color w:val="1A5A96"/>
                <w:sz w:val="22"/>
                <w:szCs w:val="22"/>
              </w:rPr>
              <w:t xml:space="preserve">Queremos que SALTOKI sea el primer distribuidor de fontanería integrado en TrabFlow. Sin coste inicial, con impacto medible en ventas.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Podéis ver una demostración DEMO de la herramienta en nuestra web para que evaluéis la oportunidad.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Acuerdo de partner fundador: vuestro catálogo, el primero de fontanería integrado en nuestra plataforma.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Durante la fase beta, vuestro logo visible en la sección de fontanería y climatización de TrabFlow.</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Métricas reales compartidas: presupuestos generados, aceptados y convertidos en pedidos SALTOKI.</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rPr>
          <w:cantSplit/>
        </w:trPr>
        <w:tc>
          <w:tcPr>
            <w:tcW w:type="dxa" w:w="360"/>
            <w:tcBorders>
              <w:top w:val="none" w:color="FFFFFF" w:sz="0"/>
              <w:left w:val="none" w:color="FFFFFF" w:sz="0"/>
              <w:bottom w:val="none" w:color="FFFFFF" w:sz="0"/>
              <w:right w:val="none" w:color="FFFFFF" w:sz="0"/>
            </w:tcBorders>
            <w:shd w:fill="C8922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w:t>
            </w:r>
          </w:p>
        </w:tc>
        <w:tc>
          <w:tcPr>
            <w:tcW w:type="dxa" w:w="9000"/>
            <w:tcBorders>
              <w:top w:val="none" w:color="FFFFFF" w:sz="0"/>
              <w:left w:val="none" w:color="FFFFFF" w:sz="0"/>
              <w:bottom w:val="none" w:color="FFFFFF" w:sz="0"/>
              <w:right w:val="none" w:color="FFFFFF" w:sz="0"/>
            </w:tcBorders>
            <w:shd w:fill="F5F6F8" w:val="clear"/>
            <w:tcMar>
              <w:top w:type="dxa" w:w="80"/>
              <w:left w:type="dxa" w:w="140"/>
              <w:bottom w:type="dxa" w:w="80"/>
              <w:right w:type="dxa" w:w="140"/>
            </w:tcMar>
          </w:tcPr>
          <w:p>
            <w:r>
              <w:rPr>
                <w:rFonts w:ascii="Arial" w:cs="Arial" w:eastAsia="Arial" w:hAnsi="Arial"/>
                <w:color w:val="1C2535"/>
                <w:sz w:val="21"/>
                <w:szCs w:val="21"/>
              </w:rPr>
              <w:t xml:space="preserve">Exploramos conjuntamente el modelo a largo plazo: integración de precios, stock en tiempo real, pedido directo.</w:t>
            </w:r>
          </w:p>
        </w:tc>
      </w:tr>
    </w:tbl>
    <w:p>
      <w:pPr>
        <w:spacing w:after="40" w:before="40"/>
      </w:pPr>
    </w:p>
    <w:p>
      <w:pPr>
        <w:spacing w:after="200" w:before="200"/>
      </w:pPr>
    </w:p>
    <w:p>
      <w:pPr>
        <w:spacing w:after="120" w:before="200"/>
      </w:pPr>
      <w:r>
        <w:rPr>
          <w:rFonts w:ascii="Arial" w:cs="Arial" w:eastAsia="Arial" w:hAnsi="Arial"/>
          <w:b/>
          <w:bCs/>
          <w:color w:val="1A5A96"/>
          <w:sz w:val="28"/>
          <w:szCs w:val="28"/>
        </w:rPr>
        <w:t xml:space="preserve">Por qué ahora</w:t>
      </w:r>
    </w:p>
    <w:p>
      <w:pPr>
        <w:spacing w:after="80" w:before="80"/>
      </w:pPr>
    </w:p>
    <w:p>
      <w:pPr>
        <w:spacing w:after="100" w:before="60"/>
      </w:pPr>
      <w:r>
        <w:rPr>
          <w:rFonts w:ascii="Arial" w:cs="Arial" w:eastAsia="Arial" w:hAnsi="Arial"/>
          <w:color w:val="1C2535"/>
          <w:sz w:val="22"/>
          <w:szCs w:val="22"/>
        </w:rPr>
        <w:t xml:space="preserve">La digitalización del instalador se está acelerando por la presión regulatoria de VeriFactu 2027. El distribuidor que esté integrado en la herramienta de presupuestación desde el inicio construirá un canal de prescripción que la competencia no podrá replicar fácilmente. El momento de entrar es ahora, antes del lanzamiento público.</w:t>
      </w:r>
    </w:p>
    <w:p>
      <w:pPr>
        <w:spacing w:after="200" w:before="200"/>
      </w:pPr>
    </w:p>
    <w:p>
      <w:pPr>
        <w:spacing w:after="120" w:before="200"/>
      </w:pPr>
      <w:r>
        <w:rPr>
          <w:rFonts w:ascii="Arial" w:cs="Arial" w:eastAsia="Arial" w:hAnsi="Arial"/>
          <w:b/>
          <w:bCs/>
          <w:color w:val="1A5A96"/>
          <w:sz w:val="28"/>
          <w:szCs w:val="28"/>
        </w:rPr>
        <w:t xml:space="preserve">Sobre TrabFlow Technologies, S.L.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F5F6F8"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Empresa española (Majadahonda, Madrid)</w:t>
            </w:r>
          </w:p>
          <w:p>
            <w:pPr>
              <w:spacing w:after="40" w:before="40"/>
            </w:pPr>
            <w:r>
              <w:rPr>
                <w:rFonts w:ascii="Arial" w:cs="Arial" w:eastAsia="Arial" w:hAnsi="Arial"/>
                <w:color w:val="1C2535"/>
                <w:sz w:val="20"/>
                <w:szCs w:val="20"/>
              </w:rPr>
              <w:t xml:space="preserve">• Plataforma en fase beta avanzada</w:t>
            </w:r>
          </w:p>
          <w:p>
            <w:pPr>
              <w:spacing w:after="40" w:before="40"/>
            </w:pPr>
            <w:r>
              <w:rPr>
                <w:rFonts w:ascii="Arial" w:cs="Arial" w:eastAsia="Arial" w:hAnsi="Arial"/>
                <w:color w:val="1C2535"/>
                <w:sz w:val="20"/>
                <w:szCs w:val="20"/>
              </w:rPr>
              <w:t xml:space="preserve">• Marca registrada OEPM (clase 09)</w:t>
            </w:r>
          </w:p>
          <w:p>
            <w:pPr>
              <w:spacing w:after="40" w:before="40"/>
            </w:pPr>
            <w:r>
              <w:rPr>
                <w:rFonts w:ascii="Arial" w:cs="Arial" w:eastAsia="Arial" w:hAnsi="Arial"/>
                <w:color w:val="1C2535"/>
                <w:sz w:val="20"/>
                <w:szCs w:val="20"/>
              </w:rPr>
              <w:t xml:space="preserve">• Sociedad limitada constituida en 2026</w:t>
            </w:r>
          </w:p>
        </w:tc>
        <w:tc>
          <w:tcPr>
            <w:tcW w:type="dxa" w:w="468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40" w:before="40"/>
            </w:pPr>
            <w:r>
              <w:rPr>
                <w:rFonts w:ascii="Arial" w:cs="Arial" w:eastAsia="Arial" w:hAnsi="Arial"/>
                <w:color w:val="1C2535"/>
                <w:sz w:val="20"/>
                <w:szCs w:val="20"/>
              </w:rPr>
              <w:t xml:space="preserve">• Foco: fontanería y climatización, calefacción, ACS</w:t>
            </w:r>
          </w:p>
          <w:p>
            <w:pPr>
              <w:spacing w:after="40" w:before="40"/>
            </w:pPr>
            <w:r>
              <w:rPr>
                <w:rFonts w:ascii="Arial" w:cs="Arial" w:eastAsia="Arial" w:hAnsi="Arial"/>
                <w:color w:val="1C2535"/>
                <w:sz w:val="20"/>
                <w:szCs w:val="20"/>
              </w:rPr>
              <w:t xml:space="preserve">• Stack: React + Supabase + IA Claude</w:t>
            </w:r>
          </w:p>
          <w:p>
            <w:pPr>
              <w:spacing w:after="40" w:before="40"/>
            </w:pPr>
            <w:r>
              <w:rPr>
                <w:rFonts w:ascii="Arial" w:cs="Arial" w:eastAsia="Arial" w:hAnsi="Arial"/>
                <w:color w:val="1C2535"/>
                <w:sz w:val="20"/>
                <w:szCs w:val="20"/>
              </w:rPr>
              <w:t xml:space="preserve">• Objetivo: ser la herramienta estándar del instalador en España</w:t>
            </w:r>
          </w:p>
        </w:tc>
      </w:tr>
    </w:tbl>
    <w:p>
      <w:pP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1A5A96" w:val="clear"/>
            <w:tcMar>
              <w:top w:type="dxa" w:w="200"/>
              <w:left w:type="dxa" w:w="240"/>
              <w:bottom w:type="dxa" w:w="200"/>
              <w:right w:type="dxa" w:w="240"/>
            </w:tcMar>
          </w:tcPr>
          <w:p>
            <w:pPr>
              <w:jc w:val="center"/>
            </w:pPr>
            <w:r>
              <w:rPr>
                <w:rFonts w:ascii="Arial" w:cs="Arial" w:eastAsia="Arial" w:hAnsi="Arial"/>
                <w:b/>
                <w:bCs/>
                <w:color w:val="FFFFFF"/>
                <w:sz w:val="24"/>
                <w:szCs w:val="24"/>
              </w:rPr>
              <w:t xml:space="preserve">Nos gustaría mostrar nuestra herramienta en una reunión.</w:t>
            </w:r>
          </w:p>
          <w:p>
            <w:pPr>
              <w:spacing w:after="60" w:before="60"/>
            </w:pPr>
          </w:p>
          <w:p>
            <w:pPr>
              <w:jc w:val="center"/>
            </w:pPr>
            <w:r>
              <w:rPr>
                <w:rFonts w:ascii="Arial" w:cs="Arial" w:eastAsia="Arial" w:hAnsi="Arial"/>
                <w:color w:val="D5E8F0"/>
                <w:sz w:val="20"/>
                <w:szCs w:val="20"/>
              </w:rPr>
              <w:t xml:space="preserve">Fernando Carbonell Cabo  |  Fundador  |  fercarboc@gmail.com  |  www.trabflow.com</w:t>
            </w:r>
          </w:p>
          <w:p>
            <w:pPr>
              <w:spacing w:after="40" w:before="40"/>
            </w:pPr>
          </w:p>
          <w:p>
            <w:pPr>
              <w:jc w:val="center"/>
            </w:pPr>
            <w:r>
              <w:rPr>
                <w:rFonts w:ascii="Arial" w:cs="Arial" w:eastAsia="Arial" w:hAnsi="Arial"/>
                <w:color w:val="A0B8D0"/>
                <w:sz w:val="18"/>
                <w:szCs w:val="18"/>
              </w:rPr>
              <w:t xml:space="preserve">TrabFlow Technologies, S.L.  |  Majadahonda, Madrid  |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205a14d963661731d2482ab351fc4206b08aeb.jpg"/><Relationship Id="rId8" Type="http://schemas.openxmlformats.org/officeDocument/2006/relationships/image" Target="media/cff14982ebd7a5da9635b3c1e3f46b602f85bf8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2026-06-24T17:07:30.498Z</dcterms:created>
  <dcterms:modified xsi:type="dcterms:W3CDTF">2026-06-24T17:07:30.498Z</dcterms:modified>
</cp:coreProperties>
</file>

<file path=docProps/custom.xml><?xml version="1.0" encoding="utf-8"?>
<Properties xmlns="http://schemas.openxmlformats.org/officeDocument/2006/custom-properties" xmlns:vt="http://schemas.openxmlformats.org/officeDocument/2006/docPropsVTypes"/>
</file>