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0B1F3A"/>
        <w:spacing w:before="1200" w:after="160"/>
        <w:jc w:val="center"/>
        <w:rPr/>
      </w:pPr>
      <w:r>
        <w:rPr/>
        <w:drawing>
          <wp:inline distT="0" distB="0" distL="0" distR="0">
            <wp:extent cx="2857500" cy="142875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2857500" cy="1428750"/>
                    </a:xfrm>
                    <a:prstGeom prst="rect">
                      <a:avLst/>
                    </a:prstGeom>
                  </pic:spPr>
                </pic:pic>
              </a:graphicData>
            </a:graphic>
          </wp:inline>
        </w:drawing>
      </w:r>
    </w:p>
    <w:p>
      <w:pPr>
        <w:pStyle w:val="Normal"/>
        <w:shd w:val="clear" w:fill="0B1F3A"/>
        <w:spacing w:before="0" w:after="120"/>
        <w:jc w:val="center"/>
        <w:rPr/>
      </w:pPr>
      <w:r>
        <w:rPr>
          <w:rFonts w:eastAsia="Arial" w:cs="Arial"/>
          <w:b/>
          <w:bCs/>
          <w:color w:val="FFFFFF"/>
          <w:sz w:val="56"/>
          <w:szCs w:val="56"/>
        </w:rPr>
        <w:t>MEMORANDUM EJECUTIVO</w:t>
      </w:r>
    </w:p>
    <w:p>
      <w:pPr>
        <w:pStyle w:val="Normal"/>
        <w:shd w:val="clear" w:fill="0B1F3A"/>
        <w:spacing w:before="0" w:after="80"/>
        <w:jc w:val="center"/>
        <w:rPr/>
      </w:pPr>
      <w:r>
        <w:rPr>
          <w:rFonts w:eastAsia="Arial" w:cs="Arial"/>
          <w:b/>
          <w:bCs/>
          <w:color w:val="60A5FA"/>
          <w:sz w:val="30"/>
          <w:szCs w:val="30"/>
        </w:rPr>
        <w:t>TrabFlow Technologies SL</w:t>
      </w:r>
    </w:p>
    <w:p>
      <w:pPr>
        <w:pStyle w:val="Normal"/>
        <w:shd w:val="clear" w:fill="0B1F3A"/>
        <w:spacing w:before="0" w:after="60"/>
        <w:jc w:val="center"/>
        <w:rPr/>
      </w:pPr>
      <w:r>
        <w:rPr>
          <w:rFonts w:eastAsia="Arial" w:cs="Arial"/>
          <w:b/>
          <w:bCs/>
          <w:color w:val="94A3B8"/>
          <w:sz w:val="24"/>
          <w:szCs w:val="24"/>
        </w:rPr>
        <w:t>Plataforma SaaS con Motor de Inteligencia Artificial</w:t>
      </w:r>
    </w:p>
    <w:p>
      <w:pPr>
        <w:pStyle w:val="Normal"/>
        <w:shd w:val="clear" w:fill="0B1F3A"/>
        <w:spacing w:before="0" w:after="60"/>
        <w:jc w:val="center"/>
        <w:rPr/>
      </w:pPr>
      <w:r>
        <w:rPr>
          <w:rFonts w:eastAsia="Arial" w:cs="Arial"/>
          <w:b/>
          <w:bCs/>
          <w:color w:val="94A3B8"/>
          <w:sz w:val="24"/>
          <w:szCs w:val="24"/>
        </w:rPr>
        <w:t>especializado en Automatizaci</w:t>
      </w:r>
      <w:r>
        <w:rPr>
          <w:rFonts w:eastAsia="Arial" w:cs="Arial"/>
          <w:b/>
          <w:bCs/>
          <w:color w:val="94A3B8"/>
          <w:sz w:val="24"/>
          <w:szCs w:val="24"/>
        </w:rPr>
        <w:t>ó</w:t>
      </w:r>
      <w:r>
        <w:rPr>
          <w:rFonts w:eastAsia="Arial" w:cs="Arial"/>
          <w:b/>
          <w:bCs/>
          <w:color w:val="94A3B8"/>
          <w:sz w:val="24"/>
          <w:szCs w:val="24"/>
        </w:rPr>
        <w:t>n de Presupuestos T</w:t>
      </w:r>
      <w:r>
        <w:rPr>
          <w:rFonts w:eastAsia="Arial" w:cs="Arial"/>
          <w:b/>
          <w:bCs/>
          <w:color w:val="94A3B8"/>
          <w:sz w:val="24"/>
          <w:szCs w:val="24"/>
        </w:rPr>
        <w:t>é</w:t>
      </w:r>
      <w:r>
        <w:rPr>
          <w:rFonts w:eastAsia="Arial" w:cs="Arial"/>
          <w:b/>
          <w:bCs/>
          <w:color w:val="94A3B8"/>
          <w:sz w:val="24"/>
          <w:szCs w:val="24"/>
        </w:rPr>
        <w:t>cnicos</w:t>
      </w:r>
    </w:p>
    <w:p>
      <w:pPr>
        <w:pStyle w:val="Normal"/>
        <w:shd w:val="clear" w:fill="0B1F3A"/>
        <w:spacing w:before="0" w:after="200"/>
        <w:jc w:val="center"/>
        <w:rPr/>
      </w:pPr>
      <w:r>
        <w:rPr>
          <w:rFonts w:eastAsia="Arial" w:cs="Arial"/>
          <w:b/>
          <w:bCs/>
          <w:color w:val="94A3B8"/>
          <w:sz w:val="24"/>
          <w:szCs w:val="24"/>
        </w:rPr>
        <w:t>para el Sector Instalaciones</w:t>
      </w:r>
    </w:p>
    <w:tbl>
      <w:tblPr>
        <w:tblW w:w="9360" w:type="dxa"/>
        <w:jc w:val="left"/>
        <w:tblInd w:w="0" w:type="dxa"/>
        <w:tblLayout w:type="fixed"/>
        <w:tblCellMar>
          <w:top w:w="120" w:type="dxa"/>
          <w:left w:w="160" w:type="dxa"/>
          <w:bottom w:w="120" w:type="dxa"/>
          <w:right w:w="160" w:type="dxa"/>
        </w:tblCellMar>
      </w:tblPr>
      <w:tblGrid>
        <w:gridCol w:w="2340"/>
        <w:gridCol w:w="2340"/>
        <w:gridCol w:w="2340"/>
        <w:gridCol w:w="2339"/>
      </w:tblGrid>
      <w:tr>
        <w:trPr/>
        <w:tc>
          <w:tcPr>
            <w:tcW w:w="2340" w:type="dxa"/>
            <w:tcBorders/>
            <w:shd w:fill="0D2235" w:val="clear"/>
          </w:tcPr>
          <w:p>
            <w:pPr>
              <w:pStyle w:val="Normal"/>
              <w:widowControl w:val="false"/>
              <w:jc w:val="center"/>
              <w:rPr/>
            </w:pPr>
            <w:r>
              <w:rPr>
                <w:rFonts w:eastAsia="Arial" w:cs="Arial"/>
                <w:b/>
                <w:bCs/>
                <w:color w:val="34D399"/>
                <w:sz w:val="17"/>
                <w:szCs w:val="17"/>
              </w:rPr>
              <w:t>MARCA REGISTRADA</w:t>
            </w:r>
          </w:p>
          <w:p>
            <w:pPr>
              <w:pStyle w:val="Normal"/>
              <w:widowControl w:val="false"/>
              <w:jc w:val="center"/>
              <w:rPr/>
            </w:pPr>
            <w:r>
              <w:rPr>
                <w:rFonts w:eastAsia="Arial" w:cs="Arial"/>
                <w:color w:val="94A3B8"/>
                <w:sz w:val="16"/>
                <w:szCs w:val="16"/>
              </w:rPr>
              <w:t>M4383580 OEPM</w:t>
            </w:r>
          </w:p>
        </w:tc>
        <w:tc>
          <w:tcPr>
            <w:tcW w:w="2340" w:type="dxa"/>
            <w:tcBorders/>
            <w:shd w:fill="0D2235" w:val="clear"/>
          </w:tcPr>
          <w:p>
            <w:pPr>
              <w:pStyle w:val="Normal"/>
              <w:widowControl w:val="false"/>
              <w:jc w:val="center"/>
              <w:rPr/>
            </w:pPr>
            <w:r>
              <w:rPr>
                <w:rFonts w:eastAsia="Arial" w:cs="Arial"/>
                <w:b/>
                <w:bCs/>
                <w:color w:val="60A5FA"/>
                <w:sz w:val="17"/>
                <w:szCs w:val="17"/>
              </w:rPr>
              <w:t>DOMINIOS ACTIVOS</w:t>
            </w:r>
          </w:p>
          <w:p>
            <w:pPr>
              <w:pStyle w:val="Normal"/>
              <w:widowControl w:val="false"/>
              <w:jc w:val="center"/>
              <w:rPr/>
            </w:pPr>
            <w:r>
              <w:rPr>
                <w:rFonts w:eastAsia="Arial" w:cs="Arial"/>
                <w:color w:val="94A3B8"/>
                <w:sz w:val="16"/>
                <w:szCs w:val="16"/>
              </w:rPr>
              <w:t>trabflow.com | trabflow.es</w:t>
            </w:r>
          </w:p>
        </w:tc>
        <w:tc>
          <w:tcPr>
            <w:tcW w:w="2340" w:type="dxa"/>
            <w:tcBorders/>
            <w:shd w:fill="0D2235" w:val="clear"/>
          </w:tcPr>
          <w:p>
            <w:pPr>
              <w:pStyle w:val="Normal"/>
              <w:widowControl w:val="false"/>
              <w:jc w:val="center"/>
              <w:rPr/>
            </w:pPr>
            <w:r>
              <w:rPr>
                <w:rFonts w:eastAsia="Arial" w:cs="Arial"/>
                <w:b/>
                <w:bCs/>
                <w:color w:val="FBBF24"/>
                <w:sz w:val="17"/>
                <w:szCs w:val="17"/>
              </w:rPr>
              <w:t>SOCIEDAD</w:t>
            </w:r>
          </w:p>
          <w:p>
            <w:pPr>
              <w:pStyle w:val="Normal"/>
              <w:widowControl w:val="false"/>
              <w:jc w:val="center"/>
              <w:rPr/>
            </w:pPr>
            <w:r>
              <w:rPr>
                <w:rFonts w:eastAsia="Arial" w:cs="Arial"/>
                <w:color w:val="94A3B8"/>
                <w:sz w:val="16"/>
                <w:szCs w:val="16"/>
              </w:rPr>
              <w:t>TrabFlow Technologies SL</w:t>
            </w:r>
          </w:p>
        </w:tc>
        <w:tc>
          <w:tcPr>
            <w:tcW w:w="2339" w:type="dxa"/>
            <w:tcBorders/>
            <w:shd w:fill="0D2235" w:val="clear"/>
          </w:tcPr>
          <w:p>
            <w:pPr>
              <w:pStyle w:val="Normal"/>
              <w:widowControl w:val="false"/>
              <w:jc w:val="center"/>
              <w:rPr/>
            </w:pPr>
            <w:r>
              <w:rPr>
                <w:rFonts w:eastAsia="Arial" w:cs="Arial"/>
                <w:b/>
                <w:bCs/>
                <w:color w:val="C084FC"/>
                <w:sz w:val="17"/>
                <w:szCs w:val="17"/>
              </w:rPr>
              <w:t>SECTOR OBJETIVO</w:t>
            </w:r>
          </w:p>
          <w:p>
            <w:pPr>
              <w:pStyle w:val="Normal"/>
              <w:widowControl w:val="false"/>
              <w:jc w:val="center"/>
              <w:rPr/>
            </w:pPr>
            <w:r>
              <w:rPr>
                <w:rFonts w:eastAsia="Arial" w:cs="Arial"/>
                <w:color w:val="94A3B8"/>
                <w:sz w:val="16"/>
                <w:szCs w:val="16"/>
              </w:rPr>
              <w:t>+300.000 instaladores</w:t>
            </w:r>
          </w:p>
        </w:tc>
      </w:tr>
    </w:tbl>
    <w:p>
      <w:pPr>
        <w:pStyle w:val="Normal"/>
        <w:shd w:val="clear" w:fill="0B1F3A"/>
        <w:spacing w:before="200" w:after="2000"/>
        <w:jc w:val="center"/>
        <w:rPr/>
      </w:pPr>
      <w:r>
        <w:rPr>
          <w:rFonts w:eastAsia="Arial" w:cs="Arial"/>
          <w:color w:val="475569"/>
          <w:sz w:val="17"/>
          <w:szCs w:val="17"/>
        </w:rPr>
        <w:t>DOCUMENTO CONFIDENCIAL  |  Mayo 2026  |  Destinado a organismos de financiacion publica, inversores y aceleradoras</w:t>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1. </w:t>
      </w:r>
      <w:r>
        <w:rPr>
          <w:rFonts w:eastAsia="Arial" w:cs="Arial"/>
          <w:b/>
          <w:bCs/>
          <w:color w:val="FFFFFF"/>
          <w:sz w:val="32"/>
          <w:szCs w:val="32"/>
        </w:rPr>
        <w:t>RESUMEN EJECUTIVO</w:t>
      </w:r>
    </w:p>
    <w:p>
      <w:pPr>
        <w:pStyle w:val="Normal"/>
        <w:pBdr>
          <w:left w:val="single" w:sz="20" w:space="6" w:color="2563A8"/>
        </w:pBdr>
        <w:shd w:val="clear" w:fill="DBEAFE"/>
        <w:spacing w:before="180" w:after="180"/>
        <w:ind w:left="440" w:hanging="0"/>
        <w:jc w:val="both"/>
        <w:rPr/>
      </w:pPr>
      <w:r>
        <w:rPr>
          <w:rFonts w:eastAsia="Arial" w:cs="Arial"/>
          <w:b/>
          <w:bCs/>
          <w:color w:val="0B1F3A"/>
          <w:sz w:val="21"/>
          <w:szCs w:val="21"/>
        </w:rPr>
        <w:t>TrabFlow Technologies SL es una empresa de base tecnologica que desarrolla una plataforma SaaS vertical con motor de inteligencia artificial propio, especializado en la automatizacion del ciclo operativo completo del sector de instalaciones s en Espana y LATAM.</w:t>
      </w:r>
    </w:p>
    <w:p>
      <w:pPr>
        <w:pStyle w:val="Normal"/>
        <w:spacing w:before="80" w:after="80"/>
        <w:rPr/>
      </w:pPr>
      <w:r>
        <w:rPr/>
      </w:r>
    </w:p>
    <w:p>
      <w:pPr>
        <w:pStyle w:val="Normal"/>
        <w:spacing w:before="80" w:after="80"/>
        <w:jc w:val="both"/>
        <w:rPr/>
      </w:pPr>
      <w:r>
        <w:rPr>
          <w:rFonts w:eastAsia="Arial" w:cs="Arial"/>
          <w:b w:val="false"/>
          <w:bCs w:val="false"/>
          <w:color w:val="1E293B"/>
          <w:sz w:val="21"/>
          <w:szCs w:val="21"/>
        </w:rPr>
        <w:t>El sector de instalaciones en Espa</w:t>
      </w:r>
      <w:r>
        <w:rPr>
          <w:rFonts w:eastAsia="Arial" w:cs="Arial"/>
          <w:b w:val="false"/>
          <w:bCs w:val="false"/>
          <w:color w:val="1E293B"/>
          <w:sz w:val="21"/>
          <w:szCs w:val="21"/>
        </w:rPr>
        <w:t>ñ</w:t>
      </w:r>
      <w:r>
        <w:rPr>
          <w:rFonts w:eastAsia="Arial" w:cs="Arial"/>
          <w:b w:val="false"/>
          <w:bCs w:val="false"/>
          <w:color w:val="1E293B"/>
          <w:sz w:val="21"/>
          <w:szCs w:val="21"/>
        </w:rPr>
        <w:t>a agrupa a mas de 300.000 profesionales aut</w:t>
      </w:r>
      <w:r>
        <w:rPr>
          <w:rFonts w:eastAsia="Arial" w:cs="Arial"/>
          <w:b w:val="false"/>
          <w:bCs w:val="false"/>
          <w:color w:val="1E293B"/>
          <w:sz w:val="21"/>
          <w:szCs w:val="21"/>
        </w:rPr>
        <w:t>ó</w:t>
      </w:r>
      <w:r>
        <w:rPr>
          <w:rFonts w:eastAsia="Arial" w:cs="Arial"/>
          <w:b w:val="false"/>
          <w:bCs w:val="false"/>
          <w:color w:val="1E293B"/>
          <w:sz w:val="21"/>
          <w:szCs w:val="21"/>
        </w:rPr>
        <w:t>nomos y micro-empresas de fontaner</w:t>
      </w:r>
      <w:r>
        <w:rPr>
          <w:rFonts w:eastAsia="Arial" w:cs="Arial"/>
          <w:b w:val="false"/>
          <w:bCs w:val="false"/>
          <w:color w:val="1E293B"/>
          <w:sz w:val="21"/>
          <w:szCs w:val="21"/>
        </w:rPr>
        <w:t>í</w:t>
      </w:r>
      <w:r>
        <w:rPr>
          <w:rFonts w:eastAsia="Arial" w:cs="Arial"/>
          <w:b w:val="false"/>
          <w:bCs w:val="false"/>
          <w:color w:val="1E293B"/>
          <w:sz w:val="21"/>
          <w:szCs w:val="21"/>
        </w:rPr>
        <w:t>a, electricidad, climatizaci</w:t>
      </w:r>
      <w:r>
        <w:rPr>
          <w:rFonts w:eastAsia="Arial" w:cs="Arial"/>
          <w:b w:val="false"/>
          <w:bCs w:val="false"/>
          <w:color w:val="1E293B"/>
          <w:sz w:val="21"/>
          <w:szCs w:val="21"/>
        </w:rPr>
        <w:t>ó</w:t>
      </w:r>
      <w:r>
        <w:rPr>
          <w:rFonts w:eastAsia="Arial" w:cs="Arial"/>
          <w:b w:val="false"/>
          <w:bCs w:val="false"/>
          <w:color w:val="1E293B"/>
          <w:sz w:val="21"/>
          <w:szCs w:val="21"/>
        </w:rPr>
        <w:t>n (HVAC), cerrajer</w:t>
      </w:r>
      <w:r>
        <w:rPr>
          <w:rFonts w:eastAsia="Arial" w:cs="Arial"/>
          <w:b w:val="false"/>
          <w:bCs w:val="false"/>
          <w:color w:val="1E293B"/>
          <w:sz w:val="21"/>
          <w:szCs w:val="21"/>
        </w:rPr>
        <w:t>í</w:t>
      </w:r>
      <w:r>
        <w:rPr>
          <w:rFonts w:eastAsia="Arial" w:cs="Arial"/>
          <w:b w:val="false"/>
          <w:bCs w:val="false"/>
          <w:color w:val="1E293B"/>
          <w:sz w:val="21"/>
          <w:szCs w:val="21"/>
        </w:rPr>
        <w:t>a y oficios t</w:t>
      </w:r>
      <w:r>
        <w:rPr>
          <w:rFonts w:eastAsia="Arial" w:cs="Arial"/>
          <w:b w:val="false"/>
          <w:bCs w:val="false"/>
          <w:color w:val="1E293B"/>
          <w:sz w:val="21"/>
          <w:szCs w:val="21"/>
        </w:rPr>
        <w:t>é</w:t>
      </w:r>
      <w:r>
        <w:rPr>
          <w:rFonts w:eastAsia="Arial" w:cs="Arial"/>
          <w:b w:val="false"/>
          <w:bCs w:val="false"/>
          <w:color w:val="1E293B"/>
          <w:sz w:val="21"/>
          <w:szCs w:val="21"/>
        </w:rPr>
        <w:t>cnicos afines. Este colectivo genera un volumen de actividad estimado superior a los 45.000 millones de euros anuales y opera, en su inmensa mayor</w:t>
      </w:r>
      <w:r>
        <w:rPr>
          <w:rFonts w:eastAsia="Arial" w:cs="Arial"/>
          <w:b w:val="false"/>
          <w:bCs w:val="false"/>
          <w:color w:val="1E293B"/>
          <w:sz w:val="21"/>
          <w:szCs w:val="21"/>
        </w:rPr>
        <w:t>í</w:t>
      </w:r>
      <w:r>
        <w:rPr>
          <w:rFonts w:eastAsia="Arial" w:cs="Arial"/>
          <w:b w:val="false"/>
          <w:bCs w:val="false"/>
          <w:color w:val="1E293B"/>
          <w:sz w:val="21"/>
          <w:szCs w:val="21"/>
        </w:rPr>
        <w:t>a, con herramientas no especializadas: WhatsApp, notas de voz, Excel y papel. La brecha de digitalizaci</w:t>
      </w:r>
      <w:r>
        <w:rPr>
          <w:rFonts w:eastAsia="Arial" w:cs="Arial"/>
          <w:b w:val="false"/>
          <w:bCs w:val="false"/>
          <w:color w:val="1E293B"/>
          <w:sz w:val="21"/>
          <w:szCs w:val="21"/>
        </w:rPr>
        <w:t>ó</w:t>
      </w:r>
      <w:r>
        <w:rPr>
          <w:rFonts w:eastAsia="Arial" w:cs="Arial"/>
          <w:b w:val="false"/>
          <w:bCs w:val="false"/>
          <w:color w:val="1E293B"/>
          <w:sz w:val="21"/>
          <w:szCs w:val="21"/>
        </w:rPr>
        <w:t>n es estructural, persistente y constituye una oportunidad de innovaci</w:t>
      </w:r>
      <w:r>
        <w:rPr>
          <w:rFonts w:eastAsia="Arial" w:cs="Arial"/>
          <w:b w:val="false"/>
          <w:bCs w:val="false"/>
          <w:color w:val="1E293B"/>
          <w:sz w:val="21"/>
          <w:szCs w:val="21"/>
        </w:rPr>
        <w:t>ón</w:t>
      </w:r>
      <w:r>
        <w:rPr>
          <w:rFonts w:eastAsia="Arial" w:cs="Arial"/>
          <w:b w:val="false"/>
          <w:bCs w:val="false"/>
          <w:color w:val="1E293B"/>
          <w:sz w:val="21"/>
          <w:szCs w:val="21"/>
        </w:rPr>
        <w:t xml:space="preserve"> de primer orden.</w:t>
      </w:r>
    </w:p>
    <w:p>
      <w:pPr>
        <w:pStyle w:val="Normal"/>
        <w:spacing w:before="80" w:after="80"/>
        <w:rPr/>
      </w:pPr>
      <w:r>
        <w:rPr/>
      </w:r>
    </w:p>
    <w:p>
      <w:pPr>
        <w:pStyle w:val="Normal"/>
        <w:spacing w:before="80" w:after="80"/>
        <w:jc w:val="both"/>
        <w:rPr/>
      </w:pPr>
      <w:r>
        <w:rPr>
          <w:rFonts w:eastAsia="Arial" w:cs="Arial"/>
          <w:b w:val="false"/>
          <w:bCs w:val="false"/>
          <w:color w:val="1E293B"/>
          <w:sz w:val="21"/>
          <w:szCs w:val="21"/>
        </w:rPr>
        <w:t>TrabFlow resuelve este problema mediante una plataforma tecnol</w:t>
      </w:r>
      <w:r>
        <w:rPr>
          <w:rFonts w:eastAsia="Arial" w:cs="Arial"/>
          <w:b w:val="false"/>
          <w:bCs w:val="false"/>
          <w:color w:val="1E293B"/>
          <w:sz w:val="21"/>
          <w:szCs w:val="21"/>
        </w:rPr>
        <w:t>ó</w:t>
      </w:r>
      <w:r>
        <w:rPr>
          <w:rFonts w:eastAsia="Arial" w:cs="Arial"/>
          <w:b w:val="false"/>
          <w:bCs w:val="false"/>
          <w:color w:val="1E293B"/>
          <w:sz w:val="21"/>
          <w:szCs w:val="21"/>
        </w:rPr>
        <w:t>gica de nueva generaci</w:t>
      </w:r>
      <w:r>
        <w:rPr>
          <w:rFonts w:eastAsia="Arial" w:cs="Arial"/>
          <w:b w:val="false"/>
          <w:bCs w:val="false"/>
          <w:color w:val="1E293B"/>
          <w:sz w:val="21"/>
          <w:szCs w:val="21"/>
        </w:rPr>
        <w:t>ó</w:t>
      </w:r>
      <w:r>
        <w:rPr>
          <w:rFonts w:eastAsia="Arial" w:cs="Arial"/>
          <w:b w:val="false"/>
          <w:bCs w:val="false"/>
          <w:color w:val="1E293B"/>
          <w:sz w:val="21"/>
          <w:szCs w:val="21"/>
        </w:rPr>
        <w:t>n que integra procesamiento de lenguaje natural contextualizado, reconocimiento y transcripci</w:t>
      </w:r>
      <w:r>
        <w:rPr>
          <w:rFonts w:eastAsia="Arial" w:cs="Arial"/>
          <w:b w:val="false"/>
          <w:bCs w:val="false"/>
          <w:color w:val="1E293B"/>
          <w:sz w:val="21"/>
          <w:szCs w:val="21"/>
        </w:rPr>
        <w:t>ó</w:t>
      </w:r>
      <w:r>
        <w:rPr>
          <w:rFonts w:eastAsia="Arial" w:cs="Arial"/>
          <w:b w:val="false"/>
          <w:bCs w:val="false"/>
          <w:color w:val="1E293B"/>
          <w:sz w:val="21"/>
          <w:szCs w:val="21"/>
        </w:rPr>
        <w:t xml:space="preserve">n de voz </w:t>
      </w:r>
      <w:r>
        <w:rPr>
          <w:rFonts w:eastAsia="Arial" w:cs="Arial"/>
          <w:b w:val="false"/>
          <w:bCs w:val="false"/>
          <w:color w:val="1E293B"/>
          <w:sz w:val="21"/>
          <w:szCs w:val="21"/>
        </w:rPr>
        <w:t>, extracci</w:t>
      </w:r>
      <w:r>
        <w:rPr>
          <w:rFonts w:eastAsia="Arial" w:cs="Arial"/>
          <w:b w:val="false"/>
          <w:bCs w:val="false"/>
          <w:color w:val="1E293B"/>
          <w:sz w:val="21"/>
          <w:szCs w:val="21"/>
        </w:rPr>
        <w:t>ó</w:t>
      </w:r>
      <w:r>
        <w:rPr>
          <w:rFonts w:eastAsia="Arial" w:cs="Arial"/>
          <w:b w:val="false"/>
          <w:bCs w:val="false"/>
          <w:color w:val="1E293B"/>
          <w:sz w:val="21"/>
          <w:szCs w:val="21"/>
        </w:rPr>
        <w:t>n estructurada de informaci</w:t>
      </w:r>
      <w:r>
        <w:rPr>
          <w:rFonts w:eastAsia="Arial" w:cs="Arial"/>
          <w:b w:val="false"/>
          <w:bCs w:val="false"/>
          <w:color w:val="1E293B"/>
          <w:sz w:val="21"/>
          <w:szCs w:val="21"/>
        </w:rPr>
        <w:t>ó</w:t>
      </w:r>
      <w:r>
        <w:rPr>
          <w:rFonts w:eastAsia="Arial" w:cs="Arial"/>
          <w:b w:val="false"/>
          <w:bCs w:val="false"/>
          <w:color w:val="1E293B"/>
          <w:sz w:val="21"/>
          <w:szCs w:val="21"/>
        </w:rPr>
        <w:t>n, generaci</w:t>
      </w:r>
      <w:r>
        <w:rPr>
          <w:rFonts w:eastAsia="Arial" w:cs="Arial"/>
          <w:b w:val="false"/>
          <w:bCs w:val="false"/>
          <w:color w:val="1E293B"/>
          <w:sz w:val="21"/>
          <w:szCs w:val="21"/>
        </w:rPr>
        <w:t>ó</w:t>
      </w:r>
      <w:r>
        <w:rPr>
          <w:rFonts w:eastAsia="Arial" w:cs="Arial"/>
          <w:b w:val="false"/>
          <w:bCs w:val="false"/>
          <w:color w:val="1E293B"/>
          <w:sz w:val="21"/>
          <w:szCs w:val="21"/>
        </w:rPr>
        <w:t>n autom</w:t>
      </w:r>
      <w:r>
        <w:rPr>
          <w:rFonts w:eastAsia="Arial" w:cs="Arial"/>
          <w:b w:val="false"/>
          <w:bCs w:val="false"/>
          <w:color w:val="1E293B"/>
          <w:sz w:val="21"/>
          <w:szCs w:val="21"/>
        </w:rPr>
        <w:t>á</w:t>
      </w:r>
      <w:r>
        <w:rPr>
          <w:rFonts w:eastAsia="Arial" w:cs="Arial"/>
          <w:b w:val="false"/>
          <w:bCs w:val="false"/>
          <w:color w:val="1E293B"/>
          <w:sz w:val="21"/>
          <w:szCs w:val="21"/>
        </w:rPr>
        <w:t>tica de documentaci</w:t>
      </w:r>
      <w:r>
        <w:rPr>
          <w:rFonts w:eastAsia="Arial" w:cs="Arial"/>
          <w:b w:val="false"/>
          <w:bCs w:val="false"/>
          <w:color w:val="1E293B"/>
          <w:sz w:val="21"/>
          <w:szCs w:val="21"/>
        </w:rPr>
        <w:t>ó</w:t>
      </w:r>
      <w:r>
        <w:rPr>
          <w:rFonts w:eastAsia="Arial" w:cs="Arial"/>
          <w:b w:val="false"/>
          <w:bCs w:val="false"/>
          <w:color w:val="1E293B"/>
          <w:sz w:val="21"/>
          <w:szCs w:val="21"/>
        </w:rPr>
        <w:t>n y automatizacion de flujos operativos. El sistema aprende de los datos reales del gremio, mejorando de forma continua la precision de sus salidas y reforzando la barrera de entrada tecnologica.</w:t>
      </w:r>
    </w:p>
    <w:p>
      <w:pPr>
        <w:pStyle w:val="Normal"/>
        <w:spacing w:before="80" w:after="80"/>
        <w:rPr/>
      </w:pPr>
      <w:r>
        <w:rPr/>
      </w:r>
    </w:p>
    <w:tbl>
      <w:tblPr>
        <w:tblW w:w="9360" w:type="dxa"/>
        <w:jc w:val="left"/>
        <w:tblInd w:w="0" w:type="dxa"/>
        <w:tblLayout w:type="fixed"/>
        <w:tblCellMar>
          <w:top w:w="160" w:type="dxa"/>
          <w:left w:w="160" w:type="dxa"/>
          <w:bottom w:w="160" w:type="dxa"/>
          <w:right w:w="160" w:type="dxa"/>
        </w:tblCellMar>
      </w:tblPr>
      <w:tblGrid>
        <w:gridCol w:w="2340"/>
        <w:gridCol w:w="2340"/>
        <w:gridCol w:w="2340"/>
        <w:gridCol w:w="2339"/>
      </w:tblGrid>
      <w:tr>
        <w:trPr/>
        <w:tc>
          <w:tcPr>
            <w:tcW w:w="2340" w:type="dxa"/>
            <w:tcBorders/>
            <w:shd w:fill="0B1F3A" w:val="clear"/>
            <w:vAlign w:val="center"/>
          </w:tcPr>
          <w:p>
            <w:pPr>
              <w:pStyle w:val="Normal"/>
              <w:widowControl w:val="false"/>
              <w:jc w:val="center"/>
              <w:rPr/>
            </w:pPr>
            <w:r>
              <w:rPr>
                <w:rFonts w:eastAsia="Arial" w:cs="Arial"/>
                <w:b/>
                <w:bCs/>
                <w:color w:val="60A5FA"/>
                <w:sz w:val="48"/>
                <w:szCs w:val="48"/>
              </w:rPr>
              <w:t>+300K</w:t>
            </w:r>
          </w:p>
          <w:p>
            <w:pPr>
              <w:pStyle w:val="Normal"/>
              <w:widowControl w:val="false"/>
              <w:jc w:val="center"/>
              <w:rPr/>
            </w:pPr>
            <w:r>
              <w:rPr>
                <w:rFonts w:eastAsia="Arial" w:cs="Arial"/>
                <w:b/>
                <w:bCs/>
                <w:color w:val="FFFFFF"/>
                <w:sz w:val="18"/>
                <w:szCs w:val="18"/>
              </w:rPr>
              <w:t>Instaladores objetivo Espana</w:t>
            </w:r>
          </w:p>
          <w:p>
            <w:pPr>
              <w:pStyle w:val="Normal"/>
              <w:widowControl w:val="false"/>
              <w:jc w:val="center"/>
              <w:rPr/>
            </w:pPr>
            <w:r>
              <w:rPr>
                <w:rFonts w:eastAsia="Arial" w:cs="Arial"/>
                <w:color w:val="94A3B8"/>
                <w:sz w:val="16"/>
                <w:szCs w:val="16"/>
              </w:rPr>
              <w:t>TAM inmediato</w:t>
            </w:r>
          </w:p>
        </w:tc>
        <w:tc>
          <w:tcPr>
            <w:tcW w:w="2340" w:type="dxa"/>
            <w:tcBorders/>
            <w:shd w:fill="0B1F3A" w:val="clear"/>
            <w:vAlign w:val="center"/>
          </w:tcPr>
          <w:p>
            <w:pPr>
              <w:pStyle w:val="Normal"/>
              <w:widowControl w:val="false"/>
              <w:jc w:val="center"/>
              <w:rPr/>
            </w:pPr>
            <w:r>
              <w:rPr>
                <w:rFonts w:eastAsia="Arial" w:cs="Arial"/>
                <w:b/>
                <w:bCs/>
                <w:color w:val="60A5FA"/>
                <w:sz w:val="48"/>
                <w:szCs w:val="48"/>
              </w:rPr>
              <w:t>2–3h</w:t>
            </w:r>
          </w:p>
          <w:p>
            <w:pPr>
              <w:pStyle w:val="Normal"/>
              <w:widowControl w:val="false"/>
              <w:jc w:val="center"/>
              <w:rPr/>
            </w:pPr>
            <w:r>
              <w:rPr>
                <w:rFonts w:eastAsia="Arial" w:cs="Arial"/>
                <w:b/>
                <w:bCs/>
                <w:color w:val="FFFFFF"/>
                <w:sz w:val="18"/>
                <w:szCs w:val="18"/>
              </w:rPr>
              <w:t>Horas diarias perdidas en admin.</w:t>
            </w:r>
          </w:p>
          <w:p>
            <w:pPr>
              <w:pStyle w:val="Normal"/>
              <w:widowControl w:val="false"/>
              <w:jc w:val="center"/>
              <w:rPr/>
            </w:pPr>
            <w:r>
              <w:rPr>
                <w:rFonts w:eastAsia="Arial" w:cs="Arial"/>
                <w:color w:val="94A3B8"/>
                <w:sz w:val="16"/>
                <w:szCs w:val="16"/>
              </w:rPr>
              <w:t>por instalador</w:t>
            </w:r>
          </w:p>
        </w:tc>
        <w:tc>
          <w:tcPr>
            <w:tcW w:w="2340" w:type="dxa"/>
            <w:tcBorders/>
            <w:shd w:fill="0B1F3A" w:val="clear"/>
            <w:vAlign w:val="center"/>
          </w:tcPr>
          <w:p>
            <w:pPr>
              <w:pStyle w:val="Normal"/>
              <w:widowControl w:val="false"/>
              <w:jc w:val="center"/>
              <w:rPr/>
            </w:pPr>
            <w:r>
              <w:rPr>
                <w:rFonts w:eastAsia="Arial" w:cs="Arial"/>
                <w:b/>
                <w:bCs/>
                <w:color w:val="60A5FA"/>
                <w:sz w:val="48"/>
                <w:szCs w:val="48"/>
              </w:rPr>
              <w:t>&lt;22%</w:t>
            </w:r>
          </w:p>
          <w:p>
            <w:pPr>
              <w:pStyle w:val="Normal"/>
              <w:widowControl w:val="false"/>
              <w:jc w:val="center"/>
              <w:rPr/>
            </w:pPr>
            <w:r>
              <w:rPr>
                <w:rFonts w:eastAsia="Arial" w:cs="Arial"/>
                <w:b/>
                <w:bCs/>
                <w:color w:val="FFFFFF"/>
                <w:sz w:val="18"/>
                <w:szCs w:val="18"/>
              </w:rPr>
              <w:t>Penetracion SaaS actual</w:t>
            </w:r>
          </w:p>
          <w:p>
            <w:pPr>
              <w:pStyle w:val="Normal"/>
              <w:widowControl w:val="false"/>
              <w:jc w:val="center"/>
              <w:rPr/>
            </w:pPr>
            <w:r>
              <w:rPr>
                <w:rFonts w:eastAsia="Arial" w:cs="Arial"/>
                <w:color w:val="94A3B8"/>
                <w:sz w:val="16"/>
                <w:szCs w:val="16"/>
              </w:rPr>
              <w:t>ventana de oportunidad</w:t>
            </w:r>
          </w:p>
        </w:tc>
        <w:tc>
          <w:tcPr>
            <w:tcW w:w="2339" w:type="dxa"/>
            <w:tcBorders/>
            <w:shd w:fill="0B1F3A" w:val="clear"/>
            <w:vAlign w:val="center"/>
          </w:tcPr>
          <w:p>
            <w:pPr>
              <w:pStyle w:val="Normal"/>
              <w:widowControl w:val="false"/>
              <w:jc w:val="center"/>
              <w:rPr/>
            </w:pPr>
            <w:r>
              <w:rPr>
                <w:rFonts w:eastAsia="Arial" w:cs="Arial"/>
                <w:b/>
                <w:bCs/>
                <w:color w:val="60A5FA"/>
                <w:sz w:val="48"/>
                <w:szCs w:val="48"/>
              </w:rPr>
              <w:t>75-90EUR</w:t>
            </w:r>
          </w:p>
          <w:p>
            <w:pPr>
              <w:pStyle w:val="Normal"/>
              <w:widowControl w:val="false"/>
              <w:jc w:val="center"/>
              <w:rPr/>
            </w:pPr>
            <w:r>
              <w:rPr>
                <w:rFonts w:eastAsia="Arial" w:cs="Arial"/>
                <w:b/>
                <w:bCs/>
                <w:color w:val="FFFFFF"/>
                <w:sz w:val="18"/>
                <w:szCs w:val="18"/>
              </w:rPr>
              <w:t>ARPU objetivo (mix planes)</w:t>
            </w:r>
          </w:p>
          <w:p>
            <w:pPr>
              <w:pStyle w:val="Normal"/>
              <w:widowControl w:val="false"/>
              <w:jc w:val="center"/>
              <w:rPr/>
            </w:pPr>
            <w:r>
              <w:rPr>
                <w:rFonts w:eastAsia="Arial" w:cs="Arial"/>
                <w:color w:val="94A3B8"/>
                <w:sz w:val="16"/>
                <w:szCs w:val="16"/>
              </w:rPr>
              <w:t>MRR por cliente</w:t>
            </w:r>
          </w:p>
        </w:tc>
      </w:tr>
    </w:tbl>
    <w:p>
      <w:pPr>
        <w:pStyle w:val="Normal"/>
        <w:spacing w:before="80" w:after="80"/>
        <w:rPr/>
      </w:pPr>
      <w:r>
        <w:rPr/>
      </w:r>
    </w:p>
    <w:p>
      <w:pPr>
        <w:pStyle w:val="Normal"/>
        <w:spacing w:before="80" w:after="80"/>
        <w:jc w:val="both"/>
        <w:rPr/>
      </w:pPr>
      <w:r>
        <w:rPr>
          <w:rFonts w:eastAsia="Arial" w:cs="Arial"/>
          <w:b w:val="false"/>
          <w:bCs w:val="false"/>
          <w:color w:val="1E293B"/>
          <w:sz w:val="21"/>
          <w:szCs w:val="21"/>
        </w:rPr>
        <w:t>El modelo de negocio es SaaS por suscripcion mensual con tres niveles de precio (49 EUR / 99 EUR / 179 EUR al mes), lo que permite una estrategia de entrada de bajo umbral y expansion natural dentro de la cuenta del cliente. El Plan Empresa (179 EUR/mes) incluye funcionalidades exclusivas de gestion de contratos de mantenimiento con IA, facturacion recurrente automatizada y soporte multiusuario para equipos de hasta 10 personas.</w:t>
      </w:r>
    </w:p>
    <w:p>
      <w:pPr>
        <w:pStyle w:val="Normal"/>
        <w:spacing w:before="80" w:after="80"/>
        <w:rPr/>
      </w:pPr>
      <w:r>
        <w:rPr/>
      </w:r>
    </w:p>
    <w:p>
      <w:pPr>
        <w:pStyle w:val="Normal"/>
        <w:spacing w:before="80" w:after="80"/>
        <w:jc w:val="both"/>
        <w:rPr/>
      </w:pPr>
      <w:r>
        <w:rPr>
          <w:rFonts w:eastAsia="Arial" w:cs="Arial"/>
          <w:b w:val="false"/>
          <w:bCs w:val="false"/>
          <w:color w:val="1E293B"/>
          <w:sz w:val="21"/>
          <w:szCs w:val="21"/>
        </w:rPr>
        <w:t>La empresa cuenta con marca registrada ante la OEPM (Solicitud M4383580, Clases 09 y 42, presentada el 29/05/2026), dominios trabflow.com y trabflow.es activos, y solicitud de denominación social TrabFlow Technologies SL ante el Registro Mercantil Central.</w:t>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2. </w:t>
      </w:r>
      <w:r>
        <w:rPr>
          <w:rFonts w:eastAsia="Arial" w:cs="Arial"/>
          <w:b/>
          <w:bCs/>
          <w:color w:val="FFFFFF"/>
          <w:sz w:val="32"/>
          <w:szCs w:val="32"/>
        </w:rPr>
        <w:t>PROBLEMA DEL MERCADO</w:t>
      </w:r>
    </w:p>
    <w:p>
      <w:pPr>
        <w:pStyle w:val="Normal"/>
        <w:pBdr>
          <w:bottom w:val="single" w:sz="6" w:space="2" w:color="2563A8"/>
        </w:pBdr>
        <w:spacing w:before="320" w:after="140"/>
        <w:rPr/>
      </w:pPr>
      <w:r>
        <w:rPr>
          <w:rFonts w:eastAsia="Arial" w:cs="Arial"/>
          <w:b/>
          <w:bCs/>
          <w:color w:val="1A4B8C"/>
          <w:sz w:val="24"/>
          <w:szCs w:val="24"/>
        </w:rPr>
        <w:t>2.1 Una brecha de digitalizacion estructural</w:t>
      </w:r>
    </w:p>
    <w:p>
      <w:pPr>
        <w:pStyle w:val="Normal"/>
        <w:spacing w:before="80" w:after="80"/>
        <w:jc w:val="both"/>
        <w:rPr/>
      </w:pPr>
      <w:r>
        <w:rPr>
          <w:rFonts w:eastAsia="Arial" w:cs="Arial"/>
          <w:b w:val="false"/>
          <w:bCs w:val="false"/>
          <w:color w:val="1E293B"/>
          <w:sz w:val="21"/>
          <w:szCs w:val="21"/>
        </w:rPr>
        <w:t>El sector de instalaciones s en Espana presenta una de las tasas mas bajas de adopcion digital entre los sectores de servicios profesionales. A pesar de representar un mercado de decenas de miles de millones de euros, el profesional instalador opera hoy con las mismas herramientas que hace 30 años: libreta de papel, llamadas de teléfono y, en el mejor de los casos, hojas de calculo no adaptadas a la lógica de su negocio.</w:t>
      </w:r>
    </w:p>
    <w:p>
      <w:pPr>
        <w:pStyle w:val="Normal"/>
        <w:spacing w:before="80" w:after="80"/>
        <w:rPr/>
      </w:pPr>
      <w:r>
        <w:rPr/>
      </w:r>
    </w:p>
    <w:p>
      <w:pPr>
        <w:pStyle w:val="Normal"/>
        <w:spacing w:before="80" w:after="80"/>
        <w:jc w:val="both"/>
        <w:rPr/>
      </w:pPr>
      <w:r>
        <w:rPr>
          <w:rFonts w:eastAsia="Arial" w:cs="Arial"/>
          <w:b w:val="false"/>
          <w:bCs w:val="false"/>
          <w:color w:val="1E293B"/>
          <w:sz w:val="21"/>
          <w:szCs w:val="21"/>
        </w:rPr>
        <w:t>Las soluciones de software generalistas (ERP, CRM, herramientas de facturación horizontal) no resuelven el problema porque no entienden la lógica del presupuesto técnico: no conocen los materiales de instalación, no comprenden los tiempos de mano de obra por tipo de trabajo, no gestionan partidas s por gremio y no se integran con el flujo real de trabajo del instalador, que opera principalmente desde el móvil y en movilidad.</w:t>
      </w:r>
    </w:p>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2.2 El coste del problema</w:t>
      </w:r>
    </w:p>
    <w:tbl>
      <w:tblPr>
        <w:tblW w:w="9360" w:type="dxa"/>
        <w:jc w:val="left"/>
        <w:tblInd w:w="0" w:type="dxa"/>
        <w:tblLayout w:type="fixed"/>
        <w:tblCellMar>
          <w:top w:w="110" w:type="dxa"/>
          <w:left w:w="180" w:type="dxa"/>
          <w:bottom w:w="110" w:type="dxa"/>
          <w:right w:w="180" w:type="dxa"/>
        </w:tblCellMar>
      </w:tblPr>
      <w:tblGrid>
        <w:gridCol w:w="4199"/>
        <w:gridCol w:w="5160"/>
      </w:tblGrid>
      <w:tr>
        <w:trPr/>
        <w:tc>
          <w:tcPr>
            <w:tcW w:w="4199"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IMPACTO OPERATIVO</w:t>
            </w:r>
          </w:p>
        </w:tc>
        <w:tc>
          <w:tcPr>
            <w:tcW w:w="516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MAGNITUD</w:t>
            </w:r>
          </w:p>
        </w:tc>
      </w:tr>
      <w:tr>
        <w:trPr/>
        <w:tc>
          <w:tcPr>
            <w:tcW w:w="41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Tiempo diario dedicado a presupuestos manuales</w:t>
            </w:r>
          </w:p>
        </w:tc>
        <w:tc>
          <w:tcPr>
            <w:tcW w:w="51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1–2 horas por instalador</w:t>
            </w:r>
          </w:p>
        </w:tc>
      </w:tr>
      <w:tr>
        <w:trPr/>
        <w:tc>
          <w:tcPr>
            <w:tcW w:w="419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Tiempo en facturación, cobros y seguimiento administrativo</w:t>
            </w:r>
          </w:p>
        </w:tc>
        <w:tc>
          <w:tcPr>
            <w:tcW w:w="51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1 hora adicional diaria</w:t>
            </w:r>
          </w:p>
        </w:tc>
      </w:tr>
      <w:tr>
        <w:trPr/>
        <w:tc>
          <w:tcPr>
            <w:tcW w:w="41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Tasa de impago o cobro tardío estimada</w:t>
            </w:r>
          </w:p>
        </w:tc>
        <w:tc>
          <w:tcPr>
            <w:tcW w:w="51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15–25% de trabajos sin contrato formal</w:t>
            </w:r>
          </w:p>
        </w:tc>
      </w:tr>
      <w:tr>
        <w:trPr/>
        <w:tc>
          <w:tcPr>
            <w:tcW w:w="419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Porcentaje de instaladores sin software de gestión especifico</w:t>
            </w:r>
          </w:p>
        </w:tc>
        <w:tc>
          <w:tcPr>
            <w:tcW w:w="51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&gt;78%</w:t>
            </w:r>
          </w:p>
        </w:tc>
      </w:tr>
      <w:tr>
        <w:trPr/>
        <w:tc>
          <w:tcPr>
            <w:tcW w:w="41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Trabajos perdidos por respuesta lenta al cliente</w:t>
            </w:r>
          </w:p>
        </w:tc>
        <w:tc>
          <w:tcPr>
            <w:tcW w:w="51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Estimado 10–20% de oportunidades</w:t>
            </w:r>
          </w:p>
        </w:tc>
      </w:tr>
      <w:tr>
        <w:trPr/>
        <w:tc>
          <w:tcPr>
            <w:tcW w:w="419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Errores de facturación con Hacienda por documentación incorrecta</w:t>
            </w:r>
          </w:p>
        </w:tc>
        <w:tc>
          <w:tcPr>
            <w:tcW w:w="51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Frecuente en autónomos sin software</w:t>
            </w:r>
          </w:p>
        </w:tc>
      </w:tr>
      <w:tr>
        <w:trPr/>
        <w:tc>
          <w:tcPr>
            <w:tcW w:w="41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Capacidad de delegación y escalado del negocio</w:t>
            </w:r>
          </w:p>
        </w:tc>
        <w:tc>
          <w:tcPr>
            <w:tcW w:w="51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Muy limitada sin procesos documentados</w:t>
            </w:r>
          </w:p>
        </w:tc>
      </w:tr>
    </w:tbl>
    <w:p>
      <w:pPr>
        <w:pStyle w:val="Normal"/>
        <w:spacing w:before="80" w:after="80"/>
        <w:rPr/>
      </w:pPr>
      <w:r>
        <w:rPr/>
      </w:r>
    </w:p>
    <w:p>
      <w:pPr>
        <w:pStyle w:val="Normal"/>
        <w:pBdr>
          <w:left w:val="single" w:sz="20" w:space="6" w:color="2563A8"/>
        </w:pBdr>
        <w:shd w:val="clear" w:fill="DBEAFE"/>
        <w:spacing w:before="180" w:after="180"/>
        <w:ind w:left="440" w:hanging="0"/>
        <w:jc w:val="both"/>
        <w:rPr/>
      </w:pPr>
      <w:r>
        <w:rPr>
          <w:rFonts w:eastAsia="Arial" w:cs="Arial"/>
          <w:b/>
          <w:bCs/>
          <w:color w:val="0B1F3A"/>
          <w:sz w:val="21"/>
          <w:szCs w:val="21"/>
        </w:rPr>
        <w:t>El instalador no necesita un CRM genérico. Necesita un sistema que entienda que 'cambio de caldera Baxi 24kW en piso de Madrid' se traduce automáticamente en una lista de materiales, horas de mano de obra, coste de desplazamiento, IVA aplicable y precio final sugerido. Eso es exactamente lo que TrabFlow hace.</w:t>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3. </w:t>
      </w:r>
      <w:r>
        <w:rPr>
          <w:rFonts w:eastAsia="Arial" w:cs="Arial"/>
          <w:b/>
          <w:bCs/>
          <w:color w:val="FFFFFF"/>
          <w:sz w:val="32"/>
          <w:szCs w:val="32"/>
        </w:rPr>
        <w:t>SOLUCION TECNOLOGICA</w:t>
      </w:r>
    </w:p>
    <w:p>
      <w:pPr>
        <w:pStyle w:val="Normal"/>
        <w:pBdr>
          <w:bottom w:val="single" w:sz="6" w:space="2" w:color="2563A8"/>
        </w:pBdr>
        <w:spacing w:before="320" w:after="140"/>
        <w:rPr/>
      </w:pPr>
      <w:r>
        <w:rPr>
          <w:rFonts w:eastAsia="Arial" w:cs="Arial"/>
          <w:b/>
          <w:bCs/>
          <w:color w:val="1A4B8C"/>
          <w:sz w:val="24"/>
          <w:szCs w:val="24"/>
        </w:rPr>
        <w:t>3.1 Descripcion de la plataforma</w:t>
      </w:r>
    </w:p>
    <w:p>
      <w:pPr>
        <w:pStyle w:val="Normal"/>
        <w:spacing w:before="80" w:after="80"/>
        <w:jc w:val="both"/>
        <w:rPr/>
      </w:pPr>
      <w:r>
        <w:rPr>
          <w:rFonts w:eastAsia="Arial" w:cs="Arial"/>
          <w:b w:val="false"/>
          <w:bCs w:val="false"/>
          <w:color w:val="1E293B"/>
          <w:sz w:val="21"/>
          <w:szCs w:val="21"/>
        </w:rPr>
        <w:t>TrabFlow es una plataforma SaaS movil-first que integra un motor de inteligencia artificial especializado, diseñado específicamente para el ciclo operativo del instalador técnico. La plataforma cubre la totalidad del flujo de trabajo: desde la captura del encargo por voz o imagen hasta la emisión de factura, el registro del cobro y el análisis de rentabilidad del negocio.</w:t>
      </w:r>
    </w:p>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3.2 Funcionalidades principales</w:t>
      </w:r>
    </w:p>
    <w:tbl>
      <w:tblPr>
        <w:tblW w:w="9360" w:type="dxa"/>
        <w:jc w:val="left"/>
        <w:tblInd w:w="0" w:type="dxa"/>
        <w:tblLayout w:type="fixed"/>
        <w:tblCellMar>
          <w:top w:w="110" w:type="dxa"/>
          <w:left w:w="180" w:type="dxa"/>
          <w:bottom w:w="110" w:type="dxa"/>
          <w:right w:w="180" w:type="dxa"/>
        </w:tblCellMar>
      </w:tblPr>
      <w:tblGrid>
        <w:gridCol w:w="200"/>
        <w:gridCol w:w="2798"/>
        <w:gridCol w:w="6362"/>
      </w:tblGrid>
      <w:tr>
        <w:trPr/>
        <w:tc>
          <w:tcPr>
            <w:tcW w:w="20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
          </w:p>
        </w:tc>
        <w:tc>
          <w:tcPr>
            <w:tcW w:w="2798"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MODULO</w:t>
            </w:r>
          </w:p>
        </w:tc>
        <w:tc>
          <w:tcPr>
            <w:tcW w:w="6362"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DESCRIPCION FUNCIONAL</w:t>
            </w:r>
          </w:p>
        </w:tc>
      </w:tr>
      <w:tr>
        <w:trPr/>
        <w:tc>
          <w:tcPr>
            <w:tcW w:w="200" w:type="dxa"/>
            <w:tcBorders>
              <w:top w:val="single" w:sz="2" w:space="0" w:color="CBD5E1"/>
              <w:left w:val="single" w:sz="2" w:space="0" w:color="CBD5E1"/>
              <w:bottom w:val="single" w:sz="2" w:space="0" w:color="CBD5E1"/>
              <w:right w:val="single" w:sz="2" w:space="0" w:color="CBD5E1"/>
            </w:tcBorders>
            <w:shd w:fill="2563A8" w:val="clear"/>
            <w:tcMar>
              <w:top w:w="90" w:type="dxa"/>
              <w:left w:w="80" w:type="dxa"/>
              <w:bottom w:w="90" w:type="dxa"/>
              <w:right w:w="80" w:type="dxa"/>
            </w:tcMar>
          </w:tcPr>
          <w:p>
            <w:pPr>
              <w:pStyle w:val="Normal"/>
              <w:widowControl w:val="false"/>
              <w:jc w:val="center"/>
              <w:rPr/>
            </w:pPr>
            <w:r>
              <w:rPr>
                <w:rFonts w:eastAsia="Arial" w:cs="Arial"/>
                <w:b/>
                <w:bCs/>
                <w:color w:val="FFFFFF"/>
                <w:sz w:val="17"/>
                <w:szCs w:val="17"/>
              </w:rPr>
              <w:t>01</w:t>
            </w:r>
          </w:p>
        </w:tc>
        <w:tc>
          <w:tcPr>
            <w:tcW w:w="2798"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Generación de presupuestos por voz e imagen</w:t>
            </w:r>
          </w:p>
        </w:tc>
        <w:tc>
          <w:tcPr>
            <w:tcW w:w="6362"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El instalador dicta el trabajo desde el móvil. El motor de IA interpreta el encargo, identifica las partidas s, selecciona materiales del catalogo especializado y genera un presupuesto estructurado en menos de 60 segundos.</w:t>
            </w:r>
          </w:p>
        </w:tc>
      </w:tr>
      <w:tr>
        <w:trPr/>
        <w:tc>
          <w:tcPr>
            <w:tcW w:w="200" w:type="dxa"/>
            <w:tcBorders>
              <w:top w:val="single" w:sz="2" w:space="0" w:color="CBD5E1"/>
              <w:left w:val="single" w:sz="2" w:space="0" w:color="CBD5E1"/>
              <w:bottom w:val="single" w:sz="2" w:space="0" w:color="CBD5E1"/>
              <w:right w:val="single" w:sz="2" w:space="0" w:color="CBD5E1"/>
            </w:tcBorders>
            <w:shd w:fill="2563A8" w:val="clear"/>
            <w:tcMar>
              <w:top w:w="90" w:type="dxa"/>
              <w:left w:w="80" w:type="dxa"/>
              <w:bottom w:w="90" w:type="dxa"/>
              <w:right w:w="80" w:type="dxa"/>
            </w:tcMar>
          </w:tcPr>
          <w:p>
            <w:pPr>
              <w:pStyle w:val="Normal"/>
              <w:widowControl w:val="false"/>
              <w:jc w:val="center"/>
              <w:rPr/>
            </w:pPr>
            <w:r>
              <w:rPr>
                <w:rFonts w:eastAsia="Arial" w:cs="Arial"/>
                <w:b/>
                <w:bCs/>
                <w:color w:val="FFFFFF"/>
                <w:sz w:val="17"/>
                <w:szCs w:val="17"/>
              </w:rPr>
              <w:t>02</w:t>
            </w:r>
          </w:p>
        </w:tc>
        <w:tc>
          <w:tcPr>
            <w:tcW w:w="2798"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Catalogo técnico inteligente</w:t>
            </w:r>
          </w:p>
        </w:tc>
        <w:tc>
          <w:tcPr>
            <w:tcW w:w="6362"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Base de datos de mas de 2.200 referencias de materiales, mano de obra y servicios, organizada por oficio y categoría , con precios actualizados y margenes sugeridos por región.</w:t>
            </w:r>
          </w:p>
        </w:tc>
      </w:tr>
      <w:tr>
        <w:trPr/>
        <w:tc>
          <w:tcPr>
            <w:tcW w:w="200" w:type="dxa"/>
            <w:tcBorders>
              <w:top w:val="single" w:sz="2" w:space="0" w:color="CBD5E1"/>
              <w:left w:val="single" w:sz="2" w:space="0" w:color="CBD5E1"/>
              <w:bottom w:val="single" w:sz="2" w:space="0" w:color="CBD5E1"/>
              <w:right w:val="single" w:sz="2" w:space="0" w:color="CBD5E1"/>
            </w:tcBorders>
            <w:shd w:fill="2563A8" w:val="clear"/>
            <w:tcMar>
              <w:top w:w="90" w:type="dxa"/>
              <w:left w:w="80" w:type="dxa"/>
              <w:bottom w:w="90" w:type="dxa"/>
              <w:right w:w="80" w:type="dxa"/>
            </w:tcMar>
          </w:tcPr>
          <w:p>
            <w:pPr>
              <w:pStyle w:val="Normal"/>
              <w:widowControl w:val="false"/>
              <w:jc w:val="center"/>
              <w:rPr/>
            </w:pPr>
            <w:r>
              <w:rPr>
                <w:rFonts w:eastAsia="Arial" w:cs="Arial"/>
                <w:b/>
                <w:bCs/>
                <w:color w:val="FFFFFF"/>
                <w:sz w:val="17"/>
                <w:szCs w:val="17"/>
              </w:rPr>
              <w:t>03</w:t>
            </w:r>
          </w:p>
        </w:tc>
        <w:tc>
          <w:tcPr>
            <w:tcW w:w="2798"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Conversión presupuesto-factura</w:t>
            </w:r>
          </w:p>
        </w:tc>
        <w:tc>
          <w:tcPr>
            <w:tcW w:w="6362"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Un presupuesto aceptado se convierte automáticamente en factura con todos los datos fiscales requeridos, sin re-introducción de información.</w:t>
            </w:r>
          </w:p>
        </w:tc>
      </w:tr>
      <w:tr>
        <w:trPr/>
        <w:tc>
          <w:tcPr>
            <w:tcW w:w="200" w:type="dxa"/>
            <w:tcBorders>
              <w:top w:val="single" w:sz="2" w:space="0" w:color="CBD5E1"/>
              <w:left w:val="single" w:sz="2" w:space="0" w:color="CBD5E1"/>
              <w:bottom w:val="single" w:sz="2" w:space="0" w:color="CBD5E1"/>
              <w:right w:val="single" w:sz="2" w:space="0" w:color="CBD5E1"/>
            </w:tcBorders>
            <w:shd w:fill="2563A8" w:val="clear"/>
            <w:tcMar>
              <w:top w:w="90" w:type="dxa"/>
              <w:left w:w="80" w:type="dxa"/>
              <w:bottom w:w="90" w:type="dxa"/>
              <w:right w:w="80" w:type="dxa"/>
            </w:tcMar>
          </w:tcPr>
          <w:p>
            <w:pPr>
              <w:pStyle w:val="Normal"/>
              <w:widowControl w:val="false"/>
              <w:jc w:val="center"/>
              <w:rPr/>
            </w:pPr>
            <w:r>
              <w:rPr>
                <w:rFonts w:eastAsia="Arial" w:cs="Arial"/>
                <w:b/>
                <w:bCs/>
                <w:color w:val="FFFFFF"/>
                <w:sz w:val="17"/>
                <w:szCs w:val="17"/>
              </w:rPr>
              <w:t>04</w:t>
            </w:r>
          </w:p>
        </w:tc>
        <w:tc>
          <w:tcPr>
            <w:tcW w:w="2798"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Envío por WhatsApp y email</w:t>
            </w:r>
          </w:p>
        </w:tc>
        <w:tc>
          <w:tcPr>
            <w:tcW w:w="6362"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Documentación generada y enviada directamente al cliente desde la plataforma, con seguimiento de apertura y aceptación.</w:t>
            </w:r>
          </w:p>
        </w:tc>
      </w:tr>
      <w:tr>
        <w:trPr/>
        <w:tc>
          <w:tcPr>
            <w:tcW w:w="200" w:type="dxa"/>
            <w:tcBorders>
              <w:top w:val="single" w:sz="2" w:space="0" w:color="CBD5E1"/>
              <w:left w:val="single" w:sz="2" w:space="0" w:color="CBD5E1"/>
              <w:bottom w:val="single" w:sz="2" w:space="0" w:color="CBD5E1"/>
              <w:right w:val="single" w:sz="2" w:space="0" w:color="CBD5E1"/>
            </w:tcBorders>
            <w:shd w:fill="2563A8" w:val="clear"/>
            <w:tcMar>
              <w:top w:w="90" w:type="dxa"/>
              <w:left w:w="80" w:type="dxa"/>
              <w:bottom w:w="90" w:type="dxa"/>
              <w:right w:w="80" w:type="dxa"/>
            </w:tcMar>
          </w:tcPr>
          <w:p>
            <w:pPr>
              <w:pStyle w:val="Normal"/>
              <w:widowControl w:val="false"/>
              <w:jc w:val="center"/>
              <w:rPr/>
            </w:pPr>
            <w:r>
              <w:rPr>
                <w:rFonts w:eastAsia="Arial" w:cs="Arial"/>
                <w:b/>
                <w:bCs/>
                <w:color w:val="FFFFFF"/>
                <w:sz w:val="17"/>
                <w:szCs w:val="17"/>
              </w:rPr>
              <w:t>05</w:t>
            </w:r>
          </w:p>
        </w:tc>
        <w:tc>
          <w:tcPr>
            <w:tcW w:w="2798"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Contratos de mantenimiento (IA)</w:t>
            </w:r>
          </w:p>
        </w:tc>
        <w:tc>
          <w:tcPr>
            <w:tcW w:w="6362"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Generación automática de contratos SLA, con preventivos, guardias, exclusiones y precio mensual sugerido por tipo de instalación y cliente.</w:t>
            </w:r>
          </w:p>
        </w:tc>
      </w:tr>
      <w:tr>
        <w:trPr/>
        <w:tc>
          <w:tcPr>
            <w:tcW w:w="200" w:type="dxa"/>
            <w:tcBorders>
              <w:top w:val="single" w:sz="2" w:space="0" w:color="CBD5E1"/>
              <w:left w:val="single" w:sz="2" w:space="0" w:color="CBD5E1"/>
              <w:bottom w:val="single" w:sz="2" w:space="0" w:color="CBD5E1"/>
              <w:right w:val="single" w:sz="2" w:space="0" w:color="CBD5E1"/>
            </w:tcBorders>
            <w:shd w:fill="2563A8" w:val="clear"/>
            <w:tcMar>
              <w:top w:w="90" w:type="dxa"/>
              <w:left w:w="80" w:type="dxa"/>
              <w:bottom w:w="90" w:type="dxa"/>
              <w:right w:w="80" w:type="dxa"/>
            </w:tcMar>
          </w:tcPr>
          <w:p>
            <w:pPr>
              <w:pStyle w:val="Normal"/>
              <w:widowControl w:val="false"/>
              <w:jc w:val="center"/>
              <w:rPr/>
            </w:pPr>
            <w:r>
              <w:rPr>
                <w:rFonts w:eastAsia="Arial" w:cs="Arial"/>
                <w:b/>
                <w:bCs/>
                <w:color w:val="FFFFFF"/>
                <w:sz w:val="17"/>
                <w:szCs w:val="17"/>
              </w:rPr>
              <w:t>06</w:t>
            </w:r>
          </w:p>
        </w:tc>
        <w:tc>
          <w:tcPr>
            <w:tcW w:w="2798"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Facturación recurrente automatizada</w:t>
            </w:r>
          </w:p>
        </w:tc>
        <w:tc>
          <w:tcPr>
            <w:tcW w:w="6362"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Los contratos de mantenimiento activos generan facturas automáticamente según la periodicidad configurada, sin intervención manual.</w:t>
            </w:r>
          </w:p>
        </w:tc>
      </w:tr>
      <w:tr>
        <w:trPr/>
        <w:tc>
          <w:tcPr>
            <w:tcW w:w="200" w:type="dxa"/>
            <w:tcBorders>
              <w:top w:val="single" w:sz="2" w:space="0" w:color="CBD5E1"/>
              <w:left w:val="single" w:sz="2" w:space="0" w:color="CBD5E1"/>
              <w:bottom w:val="single" w:sz="2" w:space="0" w:color="CBD5E1"/>
              <w:right w:val="single" w:sz="2" w:space="0" w:color="CBD5E1"/>
            </w:tcBorders>
            <w:shd w:fill="2563A8" w:val="clear"/>
            <w:tcMar>
              <w:top w:w="90" w:type="dxa"/>
              <w:left w:w="80" w:type="dxa"/>
              <w:bottom w:w="90" w:type="dxa"/>
              <w:right w:w="80" w:type="dxa"/>
            </w:tcMar>
          </w:tcPr>
          <w:p>
            <w:pPr>
              <w:pStyle w:val="Normal"/>
              <w:widowControl w:val="false"/>
              <w:jc w:val="center"/>
              <w:rPr/>
            </w:pPr>
            <w:r>
              <w:rPr>
                <w:rFonts w:eastAsia="Arial" w:cs="Arial"/>
                <w:b/>
                <w:bCs/>
                <w:color w:val="FFFFFF"/>
                <w:sz w:val="17"/>
                <w:szCs w:val="17"/>
              </w:rPr>
              <w:t>07</w:t>
            </w:r>
          </w:p>
        </w:tc>
        <w:tc>
          <w:tcPr>
            <w:tcW w:w="2798"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Gestión de trabajos y calendario</w:t>
            </w:r>
          </w:p>
        </w:tc>
        <w:tc>
          <w:tcPr>
            <w:tcW w:w="6362"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Planificación visual de trabajos, estados (pendiente / en curso / completado / facturado), ruta del día y gestión de equipo para PYMES.(conexión con maps para ver y planificar la ruta en el coche o furgoneta).</w:t>
            </w:r>
          </w:p>
        </w:tc>
      </w:tr>
      <w:tr>
        <w:trPr/>
        <w:tc>
          <w:tcPr>
            <w:tcW w:w="200" w:type="dxa"/>
            <w:tcBorders>
              <w:top w:val="single" w:sz="2" w:space="0" w:color="CBD5E1"/>
              <w:left w:val="single" w:sz="2" w:space="0" w:color="CBD5E1"/>
              <w:bottom w:val="single" w:sz="2" w:space="0" w:color="CBD5E1"/>
              <w:right w:val="single" w:sz="2" w:space="0" w:color="CBD5E1"/>
            </w:tcBorders>
            <w:shd w:fill="2563A8" w:val="clear"/>
            <w:tcMar>
              <w:top w:w="90" w:type="dxa"/>
              <w:left w:w="80" w:type="dxa"/>
              <w:bottom w:w="90" w:type="dxa"/>
              <w:right w:w="80" w:type="dxa"/>
            </w:tcMar>
          </w:tcPr>
          <w:p>
            <w:pPr>
              <w:pStyle w:val="Normal"/>
              <w:widowControl w:val="false"/>
              <w:jc w:val="center"/>
              <w:rPr/>
            </w:pPr>
            <w:r>
              <w:rPr>
                <w:rFonts w:eastAsia="Arial" w:cs="Arial"/>
                <w:b/>
                <w:bCs/>
                <w:color w:val="FFFFFF"/>
                <w:sz w:val="17"/>
                <w:szCs w:val="17"/>
              </w:rPr>
              <w:t>08</w:t>
            </w:r>
          </w:p>
        </w:tc>
        <w:tc>
          <w:tcPr>
            <w:tcW w:w="2798"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Analítica de rentabilidad</w:t>
            </w:r>
          </w:p>
        </w:tc>
        <w:tc>
          <w:tcPr>
            <w:tcW w:w="6362"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Dashboard de indicadores: MRR por cliente, rentabilidad por tipo de trabajo, evolución de cobros, trabajos mas frecuentes.</w:t>
            </w:r>
          </w:p>
        </w:tc>
      </w:tr>
    </w:tbl>
    <w:p>
      <w:pPr>
        <w:pStyle w:val="Normal"/>
        <w:spacing w:before="80" w:after="80"/>
        <w:rPr/>
      </w:pPr>
      <w:r>
        <w:rPr/>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4. </w:t>
      </w:r>
      <w:r>
        <w:rPr>
          <w:rFonts w:eastAsia="Arial" w:cs="Arial"/>
          <w:b/>
          <w:bCs/>
          <w:color w:val="FFFFFF"/>
          <w:sz w:val="32"/>
          <w:szCs w:val="32"/>
        </w:rPr>
        <w:t>TECNOLOGIA E INNOVACION: EL MOTOR DE IA</w:t>
      </w:r>
    </w:p>
    <w:p>
      <w:pPr>
        <w:pStyle w:val="Normal"/>
        <w:pBdr>
          <w:left w:val="single" w:sz="20" w:space="6" w:color="2563A8"/>
        </w:pBdr>
        <w:shd w:val="clear" w:fill="DBEAFE"/>
        <w:spacing w:before="180" w:after="180"/>
        <w:ind w:left="440" w:hanging="0"/>
        <w:jc w:val="both"/>
        <w:rPr/>
      </w:pPr>
      <w:r>
        <w:rPr>
          <w:rFonts w:eastAsia="Arial" w:cs="Arial"/>
          <w:b/>
          <w:bCs/>
          <w:color w:val="0B1F3A"/>
          <w:sz w:val="21"/>
          <w:szCs w:val="21"/>
        </w:rPr>
        <w:t>TrabFlow no es un consumidor pasivo de servicios de inteligencia artificial genérica. La empresa desarrolla capas propias de inteligencia especializada sobre arquitecturas modernas de modelos de lenguaje, construyendo un sistema cuyo valor diferencial reside en los datos del sector, los pipelines de automatización y el conocimiento contextual del gremio acumulado con cada transacción.</w:t>
      </w:r>
    </w:p>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4.1 Arquitectura tecnologica del motor de IA</w:t>
      </w:r>
    </w:p>
    <w:p>
      <w:pPr>
        <w:pStyle w:val="Normal"/>
        <w:spacing w:before="80" w:after="80"/>
        <w:jc w:val="both"/>
        <w:rPr/>
      </w:pPr>
      <w:r>
        <w:rPr>
          <w:rFonts w:eastAsia="Arial" w:cs="Arial"/>
          <w:b w:val="false"/>
          <w:bCs w:val="false"/>
          <w:color w:val="1E293B"/>
          <w:sz w:val="21"/>
          <w:szCs w:val="21"/>
        </w:rPr>
        <w:t>El motor de inteligencia artificial de TrabFlow esta diseñado sobre una arquitectura modular que combina:</w:t>
      </w:r>
    </w:p>
    <w:p>
      <w:pPr>
        <w:pStyle w:val="Normal"/>
        <w:spacing w:before="60" w:after="60"/>
        <w:rPr/>
      </w:pPr>
      <w:r>
        <w:rPr/>
      </w:r>
    </w:p>
    <w:p>
      <w:pPr>
        <w:pStyle w:val="Normal"/>
        <w:pBdr>
          <w:left w:val="single" w:sz="20" w:space="6" w:color="2563A8"/>
        </w:pBdr>
        <w:spacing w:before="140" w:after="60"/>
        <w:ind w:left="300" w:hanging="0"/>
        <w:rPr/>
      </w:pPr>
      <w:r>
        <w:rPr>
          <w:rFonts w:eastAsia="Arial" w:cs="Arial"/>
          <w:b/>
          <w:bCs/>
          <w:color w:val="2563A8"/>
          <w:sz w:val="22"/>
          <w:szCs w:val="22"/>
        </w:rPr>
        <w:t>Capa 1 — Modelos de Lenguaje Especializados (Vertical LLM Layer)</w:t>
      </w:r>
    </w:p>
    <w:p>
      <w:pPr>
        <w:pStyle w:val="ListParagraph"/>
        <w:numPr>
          <w:ilvl w:val="0"/>
          <w:numId w:val="4"/>
        </w:numPr>
        <w:spacing w:before="40" w:after="40"/>
        <w:jc w:val="both"/>
        <w:rPr/>
      </w:pPr>
      <w:r>
        <w:rPr>
          <w:rFonts w:eastAsia="Arial" w:cs="Arial"/>
          <w:color w:val="1E293B"/>
          <w:sz w:val="20"/>
          <w:szCs w:val="20"/>
        </w:rPr>
        <w:t>Adaptacion y ajuste fino (fine-tuning) de modelos de lenguaje de ultima generacion sobre corpus de presupuestos tecnicos reales del sector de instalaciones.</w:t>
      </w:r>
    </w:p>
    <w:p>
      <w:pPr>
        <w:pStyle w:val="ListParagraph"/>
        <w:numPr>
          <w:ilvl w:val="0"/>
          <w:numId w:val="5"/>
        </w:numPr>
        <w:spacing w:before="40" w:after="40"/>
        <w:jc w:val="both"/>
        <w:rPr/>
      </w:pPr>
      <w:r>
        <w:rPr>
          <w:rFonts w:eastAsia="Arial" w:cs="Arial"/>
          <w:color w:val="1E293B"/>
          <w:sz w:val="20"/>
          <w:szCs w:val="20"/>
        </w:rPr>
        <w:t>Comprension contextual profunda de terminologia : materiales, partidas de instalacion, codigos de trabajo, normativas s (REBT, RITE, CTE).</w:t>
      </w:r>
    </w:p>
    <w:p>
      <w:pPr>
        <w:pStyle w:val="ListParagraph"/>
        <w:numPr>
          <w:ilvl w:val="0"/>
          <w:numId w:val="6"/>
        </w:numPr>
        <w:spacing w:before="40" w:after="40"/>
        <w:jc w:val="both"/>
        <w:rPr/>
      </w:pPr>
      <w:r>
        <w:rPr>
          <w:rFonts w:eastAsia="Arial" w:cs="Arial"/>
          <w:color w:val="1E293B"/>
          <w:sz w:val="20"/>
          <w:szCs w:val="20"/>
        </w:rPr>
        <w:t>Interpretacion semantica de encargos en lenguaje natural ambiguo y coloquial ('hay una gotera en el bano del segundo piso, mira que hace falta') y conversion en partidas s estructuradas.</w:t>
      </w:r>
    </w:p>
    <w:p>
      <w:pPr>
        <w:pStyle w:val="ListParagraph"/>
        <w:numPr>
          <w:ilvl w:val="0"/>
          <w:numId w:val="7"/>
        </w:numPr>
        <w:spacing w:before="40" w:after="40"/>
        <w:jc w:val="both"/>
        <w:rPr/>
      </w:pPr>
      <w:r>
        <w:rPr>
          <w:rFonts w:eastAsia="Arial" w:cs="Arial"/>
          <w:color w:val="1E293B"/>
          <w:sz w:val="20"/>
          <w:szCs w:val="20"/>
        </w:rPr>
        <w:t>Generacion de texto tecnico estructurado: presupuestos, contratos, albaranes, notas de visita, informes de incidencia.</w:t>
      </w:r>
    </w:p>
    <w:p>
      <w:pPr>
        <w:pStyle w:val="Normal"/>
        <w:spacing w:before="60" w:after="60"/>
        <w:rPr/>
      </w:pPr>
      <w:r>
        <w:rPr/>
      </w:r>
    </w:p>
    <w:p>
      <w:pPr>
        <w:pStyle w:val="Normal"/>
        <w:pBdr>
          <w:left w:val="single" w:sz="20" w:space="6" w:color="2563A8"/>
        </w:pBdr>
        <w:spacing w:before="140" w:after="60"/>
        <w:ind w:left="300" w:hanging="0"/>
        <w:rPr/>
      </w:pPr>
      <w:r>
        <w:rPr>
          <w:rFonts w:eastAsia="Arial" w:cs="Arial"/>
          <w:b/>
          <w:bCs/>
          <w:color w:val="2563A8"/>
          <w:sz w:val="22"/>
          <w:szCs w:val="22"/>
        </w:rPr>
        <w:t>Capa 2 — Procesamiento de Voz  (Speech-to-Structure)</w:t>
      </w:r>
    </w:p>
    <w:p>
      <w:pPr>
        <w:pStyle w:val="ListParagraph"/>
        <w:numPr>
          <w:ilvl w:val="0"/>
          <w:numId w:val="8"/>
        </w:numPr>
        <w:spacing w:before="40" w:after="40"/>
        <w:jc w:val="both"/>
        <w:rPr/>
      </w:pPr>
      <w:r>
        <w:rPr>
          <w:rFonts w:eastAsia="Arial" w:cs="Arial"/>
          <w:color w:val="1E293B"/>
          <w:sz w:val="20"/>
          <w:szCs w:val="20"/>
        </w:rPr>
        <w:t>Pipeline de transcripci</w:t>
      </w:r>
      <w:r>
        <w:rPr>
          <w:rFonts w:eastAsia="Arial" w:cs="Arial"/>
          <w:color w:val="1E293B"/>
          <w:sz w:val="20"/>
          <w:szCs w:val="20"/>
        </w:rPr>
        <w:t>ó</w:t>
      </w:r>
      <w:r>
        <w:rPr>
          <w:rFonts w:eastAsia="Arial" w:cs="Arial"/>
          <w:color w:val="1E293B"/>
          <w:sz w:val="20"/>
          <w:szCs w:val="20"/>
        </w:rPr>
        <w:t>n autom</w:t>
      </w:r>
      <w:r>
        <w:rPr>
          <w:rFonts w:eastAsia="Arial" w:cs="Arial"/>
          <w:color w:val="1E293B"/>
          <w:sz w:val="20"/>
          <w:szCs w:val="20"/>
        </w:rPr>
        <w:t>á</w:t>
      </w:r>
      <w:r>
        <w:rPr>
          <w:rFonts w:eastAsia="Arial" w:cs="Arial"/>
          <w:color w:val="1E293B"/>
          <w:sz w:val="20"/>
          <w:szCs w:val="20"/>
        </w:rPr>
        <w:t>tica de voz optimizado para el vocabulario tecnico del sector instalaciones.</w:t>
      </w:r>
    </w:p>
    <w:p>
      <w:pPr>
        <w:pStyle w:val="ListParagraph"/>
        <w:numPr>
          <w:ilvl w:val="0"/>
          <w:numId w:val="9"/>
        </w:numPr>
        <w:spacing w:before="40" w:after="40"/>
        <w:jc w:val="both"/>
        <w:rPr/>
      </w:pPr>
      <w:r>
        <w:rPr>
          <w:rFonts w:eastAsia="Arial" w:cs="Arial"/>
          <w:color w:val="1E293B"/>
          <w:sz w:val="20"/>
          <w:szCs w:val="20"/>
        </w:rPr>
        <w:t>Normalizaci</w:t>
      </w:r>
      <w:r>
        <w:rPr>
          <w:rFonts w:eastAsia="Arial" w:cs="Arial"/>
          <w:color w:val="1E293B"/>
          <w:sz w:val="20"/>
          <w:szCs w:val="20"/>
        </w:rPr>
        <w:t>ó</w:t>
      </w:r>
      <w:r>
        <w:rPr>
          <w:rFonts w:eastAsia="Arial" w:cs="Arial"/>
          <w:color w:val="1E293B"/>
          <w:sz w:val="20"/>
          <w:szCs w:val="20"/>
        </w:rPr>
        <w:t>n de variantes lexicas y regionalismos tecnicos (distintas denominaciónes de materiales y trabajos segun zona geogr</w:t>
      </w:r>
      <w:r>
        <w:rPr>
          <w:rFonts w:eastAsia="Arial" w:cs="Arial"/>
          <w:color w:val="1E293B"/>
          <w:sz w:val="20"/>
          <w:szCs w:val="20"/>
        </w:rPr>
        <w:t>á</w:t>
      </w:r>
      <w:r>
        <w:rPr>
          <w:rFonts w:eastAsia="Arial" w:cs="Arial"/>
          <w:color w:val="1E293B"/>
          <w:sz w:val="20"/>
          <w:szCs w:val="20"/>
        </w:rPr>
        <w:t>fica).</w:t>
      </w:r>
    </w:p>
    <w:p>
      <w:pPr>
        <w:pStyle w:val="ListParagraph"/>
        <w:numPr>
          <w:ilvl w:val="0"/>
          <w:numId w:val="10"/>
        </w:numPr>
        <w:spacing w:before="40" w:after="40"/>
        <w:jc w:val="both"/>
        <w:rPr/>
      </w:pPr>
      <w:r>
        <w:rPr>
          <w:rFonts w:eastAsia="Arial" w:cs="Arial"/>
          <w:color w:val="1E293B"/>
          <w:sz w:val="20"/>
          <w:szCs w:val="20"/>
        </w:rPr>
        <w:t>Procesamiento de dictados desde entornos ruidosos (obra, taller, veh</w:t>
      </w:r>
      <w:r>
        <w:rPr>
          <w:rFonts w:eastAsia="Arial" w:cs="Arial"/>
          <w:color w:val="1E293B"/>
          <w:sz w:val="20"/>
          <w:szCs w:val="20"/>
        </w:rPr>
        <w:t>í</w:t>
      </w:r>
      <w:r>
        <w:rPr>
          <w:rFonts w:eastAsia="Arial" w:cs="Arial"/>
          <w:color w:val="1E293B"/>
          <w:sz w:val="20"/>
          <w:szCs w:val="20"/>
        </w:rPr>
        <w:t>culo): modelos robustos al ruido ambiental.</w:t>
      </w:r>
    </w:p>
    <w:p>
      <w:pPr>
        <w:pStyle w:val="ListParagraph"/>
        <w:numPr>
          <w:ilvl w:val="0"/>
          <w:numId w:val="11"/>
        </w:numPr>
        <w:spacing w:before="40" w:after="40"/>
        <w:jc w:val="both"/>
        <w:rPr/>
      </w:pPr>
      <w:r>
        <w:rPr>
          <w:rFonts w:eastAsia="Arial" w:cs="Arial"/>
          <w:color w:val="1E293B"/>
          <w:sz w:val="20"/>
          <w:szCs w:val="20"/>
        </w:rPr>
        <w:t>Captura de incidencias y partes de trabajo por voz desde dispositivo m</w:t>
      </w:r>
      <w:r>
        <w:rPr>
          <w:rFonts w:eastAsia="Arial" w:cs="Arial"/>
          <w:color w:val="1E293B"/>
          <w:sz w:val="20"/>
          <w:szCs w:val="20"/>
        </w:rPr>
        <w:t>ó</w:t>
      </w:r>
      <w:r>
        <w:rPr>
          <w:rFonts w:eastAsia="Arial" w:cs="Arial"/>
          <w:color w:val="1E293B"/>
          <w:sz w:val="20"/>
          <w:szCs w:val="20"/>
        </w:rPr>
        <w:t>vil sin necesidad de teclado.</w:t>
      </w:r>
    </w:p>
    <w:p>
      <w:pPr>
        <w:pStyle w:val="Normal"/>
        <w:spacing w:before="60" w:after="60"/>
        <w:rPr/>
      </w:pPr>
      <w:r>
        <w:rPr/>
      </w:r>
    </w:p>
    <w:p>
      <w:pPr>
        <w:pStyle w:val="Normal"/>
        <w:pBdr>
          <w:left w:val="single" w:sz="20" w:space="6" w:color="0F5132"/>
        </w:pBdr>
        <w:spacing w:before="140" w:after="60"/>
        <w:ind w:left="300" w:hanging="0"/>
        <w:rPr/>
      </w:pPr>
      <w:r>
        <w:rPr>
          <w:rFonts w:eastAsia="Arial" w:cs="Arial"/>
          <w:b/>
          <w:bCs/>
          <w:color w:val="0F5132"/>
          <w:sz w:val="22"/>
          <w:szCs w:val="22"/>
        </w:rPr>
        <w:t>Capa 3 — Extraccion Estructurada de Informacion (Structured Data Extraction)</w:t>
      </w:r>
    </w:p>
    <w:p>
      <w:pPr>
        <w:pStyle w:val="ListParagraph"/>
        <w:numPr>
          <w:ilvl w:val="0"/>
          <w:numId w:val="12"/>
        </w:numPr>
        <w:spacing w:before="40" w:after="40"/>
        <w:jc w:val="both"/>
        <w:rPr/>
      </w:pPr>
      <w:r>
        <w:rPr>
          <w:rFonts w:eastAsia="Arial" w:cs="Arial"/>
          <w:color w:val="1E293B"/>
          <w:sz w:val="20"/>
          <w:szCs w:val="20"/>
        </w:rPr>
        <w:t>Identificaci</w:t>
      </w:r>
      <w:r>
        <w:rPr>
          <w:rFonts w:eastAsia="Arial" w:cs="Arial"/>
          <w:color w:val="1E293B"/>
          <w:sz w:val="20"/>
          <w:szCs w:val="20"/>
        </w:rPr>
        <w:t>ó</w:t>
      </w:r>
      <w:r>
        <w:rPr>
          <w:rFonts w:eastAsia="Arial" w:cs="Arial"/>
          <w:color w:val="1E293B"/>
          <w:sz w:val="20"/>
          <w:szCs w:val="20"/>
        </w:rPr>
        <w:t>n y extracci</w:t>
      </w:r>
      <w:r>
        <w:rPr>
          <w:rFonts w:eastAsia="Arial" w:cs="Arial"/>
          <w:color w:val="1E293B"/>
          <w:sz w:val="20"/>
          <w:szCs w:val="20"/>
        </w:rPr>
        <w:t>ó</w:t>
      </w:r>
      <w:r>
        <w:rPr>
          <w:rFonts w:eastAsia="Arial" w:cs="Arial"/>
          <w:color w:val="1E293B"/>
          <w:sz w:val="20"/>
          <w:szCs w:val="20"/>
        </w:rPr>
        <w:t>n autom</w:t>
      </w:r>
      <w:r>
        <w:rPr>
          <w:rFonts w:eastAsia="Arial" w:cs="Arial"/>
          <w:color w:val="1E293B"/>
          <w:sz w:val="20"/>
          <w:szCs w:val="20"/>
        </w:rPr>
        <w:t>á</w:t>
      </w:r>
      <w:r>
        <w:rPr>
          <w:rFonts w:eastAsia="Arial" w:cs="Arial"/>
          <w:color w:val="1E293B"/>
          <w:sz w:val="20"/>
          <w:szCs w:val="20"/>
        </w:rPr>
        <w:t>tica de entidades s desde texto libre: materiales, cantidades, unidades, tiempos de mano de obra, referencias de producto.</w:t>
      </w:r>
    </w:p>
    <w:p>
      <w:pPr>
        <w:pStyle w:val="ListParagraph"/>
        <w:numPr>
          <w:ilvl w:val="0"/>
          <w:numId w:val="13"/>
        </w:numPr>
        <w:spacing w:before="40" w:after="40"/>
        <w:jc w:val="both"/>
        <w:rPr/>
      </w:pPr>
      <w:r>
        <w:rPr>
          <w:rFonts w:eastAsia="Arial" w:cs="Arial"/>
          <w:color w:val="1E293B"/>
          <w:sz w:val="20"/>
          <w:szCs w:val="20"/>
        </w:rPr>
        <w:t>Normalizaci</w:t>
      </w:r>
      <w:r>
        <w:rPr>
          <w:rFonts w:eastAsia="Arial" w:cs="Arial"/>
          <w:color w:val="1E293B"/>
          <w:sz w:val="20"/>
          <w:szCs w:val="20"/>
        </w:rPr>
        <w:t>ó</w:t>
      </w:r>
      <w:r>
        <w:rPr>
          <w:rFonts w:eastAsia="Arial" w:cs="Arial"/>
          <w:color w:val="1E293B"/>
          <w:sz w:val="20"/>
          <w:szCs w:val="20"/>
        </w:rPr>
        <w:t>n de unidades y cantidades (metros lineales, puntos de luz, tomas, circuitos, m2, kW, litros/hora).</w:t>
      </w:r>
    </w:p>
    <w:p>
      <w:pPr>
        <w:pStyle w:val="ListParagraph"/>
        <w:numPr>
          <w:ilvl w:val="0"/>
          <w:numId w:val="14"/>
        </w:numPr>
        <w:spacing w:before="40" w:after="40"/>
        <w:jc w:val="both"/>
        <w:rPr/>
      </w:pPr>
      <w:r>
        <w:rPr>
          <w:rFonts w:eastAsia="Arial" w:cs="Arial"/>
          <w:color w:val="1E293B"/>
          <w:sz w:val="20"/>
          <w:szCs w:val="20"/>
        </w:rPr>
        <w:t>Mapeo autom</w:t>
      </w:r>
      <w:r>
        <w:rPr>
          <w:rFonts w:eastAsia="Arial" w:cs="Arial"/>
          <w:color w:val="1E293B"/>
          <w:sz w:val="20"/>
          <w:szCs w:val="20"/>
        </w:rPr>
        <w:t>á</w:t>
      </w:r>
      <w:r>
        <w:rPr>
          <w:rFonts w:eastAsia="Arial" w:cs="Arial"/>
          <w:color w:val="1E293B"/>
          <w:sz w:val="20"/>
          <w:szCs w:val="20"/>
        </w:rPr>
        <w:t>tico a catalogo t</w:t>
      </w:r>
      <w:r>
        <w:rPr>
          <w:rFonts w:eastAsia="Arial" w:cs="Arial"/>
          <w:color w:val="1E293B"/>
          <w:sz w:val="20"/>
          <w:szCs w:val="20"/>
        </w:rPr>
        <w:t>é</w:t>
      </w:r>
      <w:r>
        <w:rPr>
          <w:rFonts w:eastAsia="Arial" w:cs="Arial"/>
          <w:color w:val="1E293B"/>
          <w:sz w:val="20"/>
          <w:szCs w:val="20"/>
        </w:rPr>
        <w:t>cnico propio: selecci</w:t>
      </w:r>
      <w:r>
        <w:rPr>
          <w:rFonts w:eastAsia="Arial" w:cs="Arial"/>
          <w:color w:val="1E293B"/>
          <w:sz w:val="20"/>
          <w:szCs w:val="20"/>
        </w:rPr>
        <w:t>ó</w:t>
      </w:r>
      <w:r>
        <w:rPr>
          <w:rFonts w:eastAsia="Arial" w:cs="Arial"/>
          <w:color w:val="1E293B"/>
          <w:sz w:val="20"/>
          <w:szCs w:val="20"/>
        </w:rPr>
        <w:t>n del material adecuado seg</w:t>
      </w:r>
      <w:r>
        <w:rPr>
          <w:rFonts w:eastAsia="Arial" w:cs="Arial"/>
          <w:color w:val="1E293B"/>
          <w:sz w:val="20"/>
          <w:szCs w:val="20"/>
        </w:rPr>
        <w:t>ú</w:t>
      </w:r>
      <w:r>
        <w:rPr>
          <w:rFonts w:eastAsia="Arial" w:cs="Arial"/>
          <w:color w:val="1E293B"/>
          <w:sz w:val="20"/>
          <w:szCs w:val="20"/>
        </w:rPr>
        <w:t>n contexto, rango de precio, disponibilidad y oficio.</w:t>
      </w:r>
    </w:p>
    <w:p>
      <w:pPr>
        <w:pStyle w:val="ListParagraph"/>
        <w:numPr>
          <w:ilvl w:val="0"/>
          <w:numId w:val="15"/>
        </w:numPr>
        <w:spacing w:before="40" w:after="40"/>
        <w:jc w:val="both"/>
        <w:rPr/>
      </w:pPr>
      <w:r>
        <w:rPr>
          <w:rFonts w:eastAsia="Arial" w:cs="Arial"/>
          <w:color w:val="1E293B"/>
          <w:sz w:val="20"/>
          <w:szCs w:val="20"/>
        </w:rPr>
        <w:t>Calculo autom</w:t>
      </w:r>
      <w:r>
        <w:rPr>
          <w:rFonts w:eastAsia="Arial" w:cs="Arial"/>
          <w:color w:val="1E293B"/>
          <w:sz w:val="20"/>
          <w:szCs w:val="20"/>
        </w:rPr>
        <w:t>á</w:t>
      </w:r>
      <w:r>
        <w:rPr>
          <w:rFonts w:eastAsia="Arial" w:cs="Arial"/>
          <w:color w:val="1E293B"/>
          <w:sz w:val="20"/>
          <w:szCs w:val="20"/>
        </w:rPr>
        <w:t>tico de IVA, margenes y precio final sugerido segun tipo de cliente y tipo de trabajo.</w:t>
      </w:r>
    </w:p>
    <w:p>
      <w:pPr>
        <w:pStyle w:val="Normal"/>
        <w:spacing w:before="60" w:after="60"/>
        <w:rPr/>
      </w:pPr>
      <w:r>
        <w:rPr/>
      </w:r>
    </w:p>
    <w:p>
      <w:pPr>
        <w:pStyle w:val="Normal"/>
        <w:pBdr>
          <w:left w:val="single" w:sz="20" w:space="6" w:color="B45309"/>
        </w:pBdr>
        <w:spacing w:before="140" w:after="60"/>
        <w:ind w:left="300" w:hanging="0"/>
        <w:rPr/>
      </w:pPr>
      <w:r>
        <w:rPr>
          <w:rFonts w:eastAsia="Arial" w:cs="Arial"/>
          <w:b/>
          <w:bCs/>
          <w:color w:val="B45309"/>
          <w:sz w:val="22"/>
          <w:szCs w:val="22"/>
        </w:rPr>
        <w:t>Capa 4 — Aprendizaje sobre Datos del Sector (Domain Learning Pipeline)</w:t>
      </w:r>
    </w:p>
    <w:p>
      <w:pPr>
        <w:pStyle w:val="ListParagraph"/>
        <w:numPr>
          <w:ilvl w:val="0"/>
          <w:numId w:val="16"/>
        </w:numPr>
        <w:spacing w:before="40" w:after="40"/>
        <w:jc w:val="both"/>
        <w:rPr/>
      </w:pPr>
      <w:r>
        <w:rPr>
          <w:rFonts w:eastAsia="Arial" w:cs="Arial"/>
          <w:color w:val="1E293B"/>
          <w:sz w:val="20"/>
          <w:szCs w:val="20"/>
        </w:rPr>
        <w:t>An</w:t>
      </w:r>
      <w:r>
        <w:rPr>
          <w:rFonts w:eastAsia="Arial" w:cs="Arial"/>
          <w:color w:val="1E293B"/>
          <w:sz w:val="20"/>
          <w:szCs w:val="20"/>
        </w:rPr>
        <w:t>á</w:t>
      </w:r>
      <w:r>
        <w:rPr>
          <w:rFonts w:eastAsia="Arial" w:cs="Arial"/>
          <w:color w:val="1E293B"/>
          <w:sz w:val="20"/>
          <w:szCs w:val="20"/>
        </w:rPr>
        <w:t>lisis continuo de patrones en presupuestos reales: precios habituales, combinaciones de materiales frecuentes, duraciones tipicas por tipo de trabajo.</w:t>
      </w:r>
    </w:p>
    <w:p>
      <w:pPr>
        <w:pStyle w:val="ListParagraph"/>
        <w:numPr>
          <w:ilvl w:val="0"/>
          <w:numId w:val="17"/>
        </w:numPr>
        <w:spacing w:before="40" w:after="40"/>
        <w:jc w:val="both"/>
        <w:rPr/>
      </w:pPr>
      <w:r>
        <w:rPr>
          <w:rFonts w:eastAsia="Arial" w:cs="Arial"/>
          <w:color w:val="1E293B"/>
          <w:sz w:val="20"/>
          <w:szCs w:val="20"/>
        </w:rPr>
        <w:t>Construcci</w:t>
      </w:r>
      <w:r>
        <w:rPr>
          <w:rFonts w:eastAsia="Arial" w:cs="Arial"/>
          <w:color w:val="1E293B"/>
          <w:sz w:val="20"/>
          <w:szCs w:val="20"/>
        </w:rPr>
        <w:t>ó</w:t>
      </w:r>
      <w:r>
        <w:rPr>
          <w:rFonts w:eastAsia="Arial" w:cs="Arial"/>
          <w:color w:val="1E293B"/>
          <w:sz w:val="20"/>
          <w:szCs w:val="20"/>
        </w:rPr>
        <w:t>n de modelos predictivos de precio por oficio, regi</w:t>
      </w:r>
      <w:r>
        <w:rPr>
          <w:rFonts w:eastAsia="Arial" w:cs="Arial"/>
          <w:color w:val="1E293B"/>
          <w:sz w:val="20"/>
          <w:szCs w:val="20"/>
        </w:rPr>
        <w:t>ó</w:t>
      </w:r>
      <w:r>
        <w:rPr>
          <w:rFonts w:eastAsia="Arial" w:cs="Arial"/>
          <w:color w:val="1E293B"/>
          <w:sz w:val="20"/>
          <w:szCs w:val="20"/>
        </w:rPr>
        <w:t>n, temporada y perfil de cliente.</w:t>
      </w:r>
    </w:p>
    <w:p>
      <w:pPr>
        <w:pStyle w:val="ListParagraph"/>
        <w:numPr>
          <w:ilvl w:val="0"/>
          <w:numId w:val="18"/>
        </w:numPr>
        <w:spacing w:before="40" w:after="40"/>
        <w:jc w:val="both"/>
        <w:rPr/>
      </w:pPr>
      <w:r>
        <w:rPr>
          <w:rFonts w:eastAsia="Arial" w:cs="Arial"/>
          <w:color w:val="1E293B"/>
          <w:sz w:val="20"/>
          <w:szCs w:val="20"/>
        </w:rPr>
        <w:t>Detecci</w:t>
      </w:r>
      <w:r>
        <w:rPr>
          <w:rFonts w:eastAsia="Arial" w:cs="Arial"/>
          <w:color w:val="1E293B"/>
          <w:sz w:val="20"/>
          <w:szCs w:val="20"/>
        </w:rPr>
        <w:t>ó</w:t>
      </w:r>
      <w:r>
        <w:rPr>
          <w:rFonts w:eastAsia="Arial" w:cs="Arial"/>
          <w:color w:val="1E293B"/>
          <w:sz w:val="20"/>
          <w:szCs w:val="20"/>
        </w:rPr>
        <w:t>n de anomal</w:t>
      </w:r>
      <w:r>
        <w:rPr>
          <w:rFonts w:eastAsia="Arial" w:cs="Arial"/>
          <w:color w:val="1E293B"/>
          <w:sz w:val="20"/>
          <w:szCs w:val="20"/>
        </w:rPr>
        <w:t>í</w:t>
      </w:r>
      <w:r>
        <w:rPr>
          <w:rFonts w:eastAsia="Arial" w:cs="Arial"/>
          <w:color w:val="1E293B"/>
          <w:sz w:val="20"/>
          <w:szCs w:val="20"/>
        </w:rPr>
        <w:t>as en presupuestos: precios fuera de rango, combinaciones incoherentes de materiales, tiempos de mano de obra at</w:t>
      </w:r>
      <w:r>
        <w:rPr>
          <w:rFonts w:eastAsia="Arial" w:cs="Arial"/>
          <w:color w:val="1E293B"/>
          <w:sz w:val="20"/>
          <w:szCs w:val="20"/>
        </w:rPr>
        <w:t>í</w:t>
      </w:r>
      <w:r>
        <w:rPr>
          <w:rFonts w:eastAsia="Arial" w:cs="Arial"/>
          <w:color w:val="1E293B"/>
          <w:sz w:val="20"/>
          <w:szCs w:val="20"/>
        </w:rPr>
        <w:t>picos.</w:t>
      </w:r>
    </w:p>
    <w:p>
      <w:pPr>
        <w:pStyle w:val="ListParagraph"/>
        <w:numPr>
          <w:ilvl w:val="0"/>
          <w:numId w:val="19"/>
        </w:numPr>
        <w:spacing w:before="40" w:after="40"/>
        <w:jc w:val="both"/>
        <w:rPr/>
      </w:pPr>
      <w:r>
        <w:rPr>
          <w:rFonts w:eastAsia="Arial" w:cs="Arial"/>
          <w:color w:val="1E293B"/>
          <w:sz w:val="20"/>
          <w:szCs w:val="20"/>
        </w:rPr>
        <w:t>Mejora continua de la precisi</w:t>
      </w:r>
      <w:r>
        <w:rPr>
          <w:rFonts w:eastAsia="Arial" w:cs="Arial"/>
          <w:color w:val="1E293B"/>
          <w:sz w:val="20"/>
          <w:szCs w:val="20"/>
        </w:rPr>
        <w:t>ó</w:t>
      </w:r>
      <w:r>
        <w:rPr>
          <w:rFonts w:eastAsia="Arial" w:cs="Arial"/>
          <w:color w:val="1E293B"/>
          <w:sz w:val="20"/>
          <w:szCs w:val="20"/>
        </w:rPr>
        <w:t>n del motor con cada presupuesto procesado: efecto de datos que refuerza la barrera de entrada competitiva.</w:t>
      </w:r>
    </w:p>
    <w:p>
      <w:pPr>
        <w:pStyle w:val="Normal"/>
        <w:spacing w:before="60" w:after="60"/>
        <w:rPr/>
      </w:pPr>
      <w:r>
        <w:rPr/>
      </w:r>
    </w:p>
    <w:p>
      <w:pPr>
        <w:pStyle w:val="Normal"/>
        <w:pBdr>
          <w:left w:val="single" w:sz="20" w:space="6" w:color="7C3AED"/>
        </w:pBdr>
        <w:spacing w:before="140" w:after="60"/>
        <w:ind w:left="300" w:hanging="0"/>
        <w:rPr/>
      </w:pPr>
      <w:r>
        <w:rPr>
          <w:rFonts w:eastAsia="Arial" w:cs="Arial"/>
          <w:b/>
          <w:bCs/>
          <w:color w:val="7C3AED"/>
          <w:sz w:val="22"/>
          <w:szCs w:val="22"/>
        </w:rPr>
        <w:t>Capa 5 — Automatizacion Documental (Document Automation Engine)</w:t>
      </w:r>
    </w:p>
    <w:p>
      <w:pPr>
        <w:pStyle w:val="ListParagraph"/>
        <w:numPr>
          <w:ilvl w:val="0"/>
          <w:numId w:val="20"/>
        </w:numPr>
        <w:spacing w:before="40" w:after="40"/>
        <w:jc w:val="both"/>
        <w:rPr/>
      </w:pPr>
      <w:r>
        <w:rPr>
          <w:rFonts w:eastAsia="Arial" w:cs="Arial"/>
          <w:color w:val="1E293B"/>
          <w:sz w:val="20"/>
          <w:szCs w:val="20"/>
        </w:rPr>
        <w:t>Generaci</w:t>
      </w:r>
      <w:r>
        <w:rPr>
          <w:rFonts w:eastAsia="Arial" w:cs="Arial"/>
          <w:color w:val="1E293B"/>
          <w:sz w:val="20"/>
          <w:szCs w:val="20"/>
        </w:rPr>
        <w:t>ó</w:t>
      </w:r>
      <w:r>
        <w:rPr>
          <w:rFonts w:eastAsia="Arial" w:cs="Arial"/>
          <w:color w:val="1E293B"/>
          <w:sz w:val="20"/>
          <w:szCs w:val="20"/>
        </w:rPr>
        <w:t>n autom</w:t>
      </w:r>
      <w:r>
        <w:rPr>
          <w:rFonts w:eastAsia="Arial" w:cs="Arial"/>
          <w:color w:val="1E293B"/>
          <w:sz w:val="20"/>
          <w:szCs w:val="20"/>
        </w:rPr>
        <w:t>át</w:t>
      </w:r>
      <w:r>
        <w:rPr>
          <w:rFonts w:eastAsia="Arial" w:cs="Arial"/>
          <w:color w:val="1E293B"/>
          <w:sz w:val="20"/>
          <w:szCs w:val="20"/>
        </w:rPr>
        <w:t>ica de documentaci</w:t>
      </w:r>
      <w:r>
        <w:rPr>
          <w:rFonts w:eastAsia="Arial" w:cs="Arial"/>
          <w:color w:val="1E293B"/>
          <w:sz w:val="20"/>
          <w:szCs w:val="20"/>
        </w:rPr>
        <w:t>ó</w:t>
      </w:r>
      <w:r>
        <w:rPr>
          <w:rFonts w:eastAsia="Arial" w:cs="Arial"/>
          <w:color w:val="1E293B"/>
          <w:sz w:val="20"/>
          <w:szCs w:val="20"/>
        </w:rPr>
        <w:t>n en PDF: presupuestos con membrete, facturas fiscal</w:t>
      </w:r>
      <w:r>
        <w:rPr>
          <w:rFonts w:eastAsia="Arial" w:cs="Arial"/>
          <w:color w:val="1E293B"/>
          <w:sz w:val="20"/>
          <w:szCs w:val="20"/>
        </w:rPr>
        <w:t>es</w:t>
      </w:r>
      <w:r>
        <w:rPr>
          <w:rFonts w:eastAsia="Arial" w:cs="Arial"/>
          <w:color w:val="1E293B"/>
          <w:sz w:val="20"/>
          <w:szCs w:val="20"/>
        </w:rPr>
        <w:t xml:space="preserve"> correctas, contratos de mantenimiento, partes de trabajo.</w:t>
      </w:r>
    </w:p>
    <w:p>
      <w:pPr>
        <w:pStyle w:val="ListParagraph"/>
        <w:numPr>
          <w:ilvl w:val="0"/>
          <w:numId w:val="21"/>
        </w:numPr>
        <w:spacing w:before="40" w:after="40"/>
        <w:jc w:val="both"/>
        <w:rPr/>
      </w:pPr>
      <w:r>
        <w:rPr>
          <w:rFonts w:eastAsia="Arial" w:cs="Arial"/>
          <w:color w:val="1E293B"/>
          <w:sz w:val="20"/>
          <w:szCs w:val="20"/>
        </w:rPr>
        <w:t>Plantillas especializadas por oficio, tipo de cliente y tipo de documento con cumplimiento de requisitos legales y fiscales espa</w:t>
      </w:r>
      <w:r>
        <w:rPr>
          <w:rFonts w:eastAsia="Arial" w:cs="Arial"/>
          <w:color w:val="1E293B"/>
          <w:sz w:val="20"/>
          <w:szCs w:val="20"/>
        </w:rPr>
        <w:t>ñ</w:t>
      </w:r>
      <w:r>
        <w:rPr>
          <w:rFonts w:eastAsia="Arial" w:cs="Arial"/>
          <w:color w:val="1E293B"/>
          <w:sz w:val="20"/>
          <w:szCs w:val="20"/>
        </w:rPr>
        <w:t>oles.</w:t>
      </w:r>
    </w:p>
    <w:p>
      <w:pPr>
        <w:pStyle w:val="ListParagraph"/>
        <w:numPr>
          <w:ilvl w:val="0"/>
          <w:numId w:val="22"/>
        </w:numPr>
        <w:spacing w:before="40" w:after="40"/>
        <w:jc w:val="both"/>
        <w:rPr/>
      </w:pPr>
      <w:r>
        <w:rPr>
          <w:rFonts w:eastAsia="Arial" w:cs="Arial"/>
          <w:color w:val="1E293B"/>
          <w:sz w:val="20"/>
          <w:szCs w:val="20"/>
        </w:rPr>
        <w:t>Integraci</w:t>
      </w:r>
      <w:r>
        <w:rPr>
          <w:rFonts w:eastAsia="Arial" w:cs="Arial"/>
          <w:color w:val="1E293B"/>
          <w:sz w:val="20"/>
          <w:szCs w:val="20"/>
        </w:rPr>
        <w:t>ó</w:t>
      </w:r>
      <w:r>
        <w:rPr>
          <w:rFonts w:eastAsia="Arial" w:cs="Arial"/>
          <w:color w:val="1E293B"/>
          <w:sz w:val="20"/>
          <w:szCs w:val="20"/>
        </w:rPr>
        <w:t>n nativa con canales de comunicacion del gremio: WhatsApp Business API, email, SMS.</w:t>
      </w:r>
    </w:p>
    <w:p>
      <w:pPr>
        <w:pStyle w:val="ListParagraph"/>
        <w:numPr>
          <w:ilvl w:val="0"/>
          <w:numId w:val="23"/>
        </w:numPr>
        <w:spacing w:before="40" w:after="40"/>
        <w:jc w:val="both"/>
        <w:rPr/>
      </w:pPr>
      <w:r>
        <w:rPr>
          <w:rFonts w:eastAsia="Arial" w:cs="Arial"/>
          <w:color w:val="1E293B"/>
          <w:sz w:val="20"/>
          <w:szCs w:val="20"/>
        </w:rPr>
        <w:t>Archivo y trazabilidad completa de todos los documentos generados por cliente y trabajo.</w:t>
      </w:r>
    </w:p>
    <w:p>
      <w:pPr>
        <w:pStyle w:val="Normal"/>
        <w:spacing w:before="60" w:after="60"/>
        <w:rPr/>
      </w:pPr>
      <w:r>
        <w:rPr/>
      </w:r>
    </w:p>
    <w:p>
      <w:pPr>
        <w:pStyle w:val="Normal"/>
        <w:pBdr>
          <w:left w:val="single" w:sz="20" w:space="6" w:color="0891B2"/>
        </w:pBdr>
        <w:spacing w:before="140" w:after="60"/>
        <w:ind w:left="300" w:hanging="0"/>
        <w:rPr/>
      </w:pPr>
      <w:r>
        <w:rPr>
          <w:rFonts w:eastAsia="Arial" w:cs="Arial"/>
          <w:b/>
          <w:bCs/>
          <w:color w:val="0891B2"/>
          <w:sz w:val="22"/>
          <w:szCs w:val="22"/>
        </w:rPr>
        <w:t>Capa 6 — Inteligencia Contextual del Gremio (Guild Intelligence Layer)</w:t>
      </w:r>
    </w:p>
    <w:p>
      <w:pPr>
        <w:pStyle w:val="ListParagraph"/>
        <w:numPr>
          <w:ilvl w:val="0"/>
          <w:numId w:val="24"/>
        </w:numPr>
        <w:spacing w:before="40" w:after="40"/>
        <w:jc w:val="both"/>
        <w:rPr/>
      </w:pPr>
      <w:r>
        <w:rPr>
          <w:rFonts w:eastAsia="Arial" w:cs="Arial"/>
          <w:color w:val="1E293B"/>
          <w:sz w:val="20"/>
          <w:szCs w:val="20"/>
        </w:rPr>
        <w:t>Comprensi</w:t>
      </w:r>
      <w:r>
        <w:rPr>
          <w:rFonts w:eastAsia="Arial" w:cs="Arial"/>
          <w:color w:val="1E293B"/>
          <w:sz w:val="20"/>
          <w:szCs w:val="20"/>
        </w:rPr>
        <w:t>ó</w:t>
      </w:r>
      <w:r>
        <w:rPr>
          <w:rFonts w:eastAsia="Arial" w:cs="Arial"/>
          <w:color w:val="1E293B"/>
          <w:sz w:val="20"/>
          <w:szCs w:val="20"/>
        </w:rPr>
        <w:t>n de los workflows reales del instalador: secuencia l</w:t>
      </w:r>
      <w:r>
        <w:rPr>
          <w:rFonts w:eastAsia="Arial" w:cs="Arial"/>
          <w:color w:val="1E293B"/>
          <w:sz w:val="20"/>
          <w:szCs w:val="20"/>
        </w:rPr>
        <w:t>ó</w:t>
      </w:r>
      <w:r>
        <w:rPr>
          <w:rFonts w:eastAsia="Arial" w:cs="Arial"/>
          <w:color w:val="1E293B"/>
          <w:sz w:val="20"/>
          <w:szCs w:val="20"/>
        </w:rPr>
        <w:t>gica de acciones desde la visita hasta el cobro.</w:t>
      </w:r>
    </w:p>
    <w:p>
      <w:pPr>
        <w:pStyle w:val="ListParagraph"/>
        <w:numPr>
          <w:ilvl w:val="0"/>
          <w:numId w:val="25"/>
        </w:numPr>
        <w:spacing w:before="40" w:after="40"/>
        <w:jc w:val="both"/>
        <w:rPr/>
      </w:pPr>
      <w:r>
        <w:rPr>
          <w:rFonts w:eastAsia="Arial" w:cs="Arial"/>
          <w:color w:val="1E293B"/>
          <w:sz w:val="20"/>
          <w:szCs w:val="20"/>
        </w:rPr>
        <w:t>Sugerencias inteligentes basadas en el historial del usuario: materiales frecuentes, precios habituales, clientes recurrentes.</w:t>
      </w:r>
    </w:p>
    <w:p>
      <w:pPr>
        <w:pStyle w:val="ListParagraph"/>
        <w:numPr>
          <w:ilvl w:val="0"/>
          <w:numId w:val="26"/>
        </w:numPr>
        <w:spacing w:before="40" w:after="40"/>
        <w:jc w:val="both"/>
        <w:rPr/>
      </w:pPr>
      <w:r>
        <w:rPr>
          <w:rFonts w:eastAsia="Arial" w:cs="Arial"/>
          <w:color w:val="1E293B"/>
          <w:sz w:val="20"/>
          <w:szCs w:val="20"/>
        </w:rPr>
        <w:t>Reutilizaci</w:t>
      </w:r>
      <w:r>
        <w:rPr>
          <w:rFonts w:eastAsia="Arial" w:cs="Arial"/>
          <w:color w:val="1E293B"/>
          <w:sz w:val="20"/>
          <w:szCs w:val="20"/>
        </w:rPr>
        <w:t>ó</w:t>
      </w:r>
      <w:r>
        <w:rPr>
          <w:rFonts w:eastAsia="Arial" w:cs="Arial"/>
          <w:color w:val="1E293B"/>
          <w:sz w:val="20"/>
          <w:szCs w:val="20"/>
        </w:rPr>
        <w:t>n autom</w:t>
      </w:r>
      <w:r>
        <w:rPr>
          <w:rFonts w:eastAsia="Arial" w:cs="Arial"/>
          <w:color w:val="1E293B"/>
          <w:sz w:val="20"/>
          <w:szCs w:val="20"/>
        </w:rPr>
        <w:t>á</w:t>
      </w:r>
      <w:r>
        <w:rPr>
          <w:rFonts w:eastAsia="Arial" w:cs="Arial"/>
          <w:color w:val="1E293B"/>
          <w:sz w:val="20"/>
          <w:szCs w:val="20"/>
        </w:rPr>
        <w:t>tica de presupuestos anteriores similares: eficiencia operativa creciente con el uso.</w:t>
      </w:r>
    </w:p>
    <w:p>
      <w:pPr>
        <w:pStyle w:val="ListParagraph"/>
        <w:numPr>
          <w:ilvl w:val="0"/>
          <w:numId w:val="27"/>
        </w:numPr>
        <w:spacing w:before="40" w:after="40"/>
        <w:jc w:val="both"/>
        <w:rPr/>
      </w:pPr>
      <w:r>
        <w:rPr>
          <w:rFonts w:eastAsia="Arial" w:cs="Arial"/>
          <w:color w:val="1E293B"/>
          <w:sz w:val="20"/>
          <w:szCs w:val="20"/>
        </w:rPr>
        <w:t>Alertas y recomendaciones proactivas: trabajos sin facturar, cobros pendientes, contratos de mantenimiento pr</w:t>
      </w:r>
      <w:r>
        <w:rPr>
          <w:rFonts w:eastAsia="Arial" w:cs="Arial"/>
          <w:color w:val="1E293B"/>
          <w:sz w:val="20"/>
          <w:szCs w:val="20"/>
        </w:rPr>
        <w:t>ó</w:t>
      </w:r>
      <w:r>
        <w:rPr>
          <w:rFonts w:eastAsia="Arial" w:cs="Arial"/>
          <w:color w:val="1E293B"/>
          <w:sz w:val="20"/>
          <w:szCs w:val="20"/>
        </w:rPr>
        <w:t>ximos a vencer.</w:t>
      </w:r>
    </w:p>
    <w:p>
      <w:pPr>
        <w:pStyle w:val="Normal"/>
        <w:spacing w:before="60" w:after="60"/>
        <w:rPr/>
      </w:pPr>
      <w:r>
        <w:rPr/>
      </w:r>
    </w:p>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4.2 Infraestructura tecnologica</w:t>
      </w:r>
    </w:p>
    <w:tbl>
      <w:tblPr>
        <w:tblW w:w="9360" w:type="dxa"/>
        <w:jc w:val="left"/>
        <w:tblInd w:w="0" w:type="dxa"/>
        <w:tblLayout w:type="fixed"/>
        <w:tblCellMar>
          <w:top w:w="110" w:type="dxa"/>
          <w:left w:w="180" w:type="dxa"/>
          <w:bottom w:w="110" w:type="dxa"/>
          <w:right w:w="180" w:type="dxa"/>
        </w:tblCellMar>
      </w:tblPr>
      <w:tblGrid>
        <w:gridCol w:w="3200"/>
        <w:gridCol w:w="6159"/>
      </w:tblGrid>
      <w:tr>
        <w:trPr/>
        <w:tc>
          <w:tcPr>
            <w:tcW w:w="320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COMPONENTE</w:t>
            </w:r>
          </w:p>
        </w:tc>
        <w:tc>
          <w:tcPr>
            <w:tcW w:w="6159"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TECNOLOGIA / DESCRIPCION</w:t>
            </w:r>
          </w:p>
        </w:tc>
      </w:tr>
      <w:tr>
        <w:trPr/>
        <w:tc>
          <w:tcPr>
            <w:tcW w:w="32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Backend y base de datos</w:t>
            </w:r>
          </w:p>
        </w:tc>
        <w:tc>
          <w:tcPr>
            <w:tcW w:w="61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Supabase (PostgreSQL) con Row Level Security (RLS) para arquitectura multi-tenant segura</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Frontend movil</w:t>
            </w:r>
          </w:p>
        </w:tc>
        <w:tc>
          <w:tcPr>
            <w:tcW w:w="61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React Native — aplicacion nativa iOS y Android con experiencia UX optimizada para uso en obra</w:t>
            </w:r>
          </w:p>
        </w:tc>
      </w:tr>
      <w:tr>
        <w:trPr/>
        <w:tc>
          <w:tcPr>
            <w:tcW w:w="32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Procesamiento IA</w:t>
            </w:r>
          </w:p>
        </w:tc>
        <w:tc>
          <w:tcPr>
            <w:tcW w:w="61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Arquitectura de agentes especializados con LLMs de ultima generacion, con capas propias de contextualizacion sectorial</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Canal de comunicacion</w:t>
            </w:r>
          </w:p>
        </w:tc>
        <w:tc>
          <w:tcPr>
            <w:tcW w:w="61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WhatsApp Business API + Resend (email) para envio de documentacion al cliente</w:t>
            </w:r>
          </w:p>
        </w:tc>
      </w:tr>
      <w:tr>
        <w:trPr/>
        <w:tc>
          <w:tcPr>
            <w:tcW w:w="32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Procesamiento de pagos</w:t>
            </w:r>
          </w:p>
        </w:tc>
        <w:tc>
          <w:tcPr>
            <w:tcW w:w="61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Stripe — gestion de suscripciones SaaS, facturacion recurrente y cobros con cumplimiento PCI-DSS</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Generacion de documentos</w:t>
            </w:r>
          </w:p>
        </w:tc>
        <w:tc>
          <w:tcPr>
            <w:tcW w:w="61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Motor propio de generacion de PDF con plantillas s especializadas por oficio</w:t>
            </w:r>
          </w:p>
        </w:tc>
      </w:tr>
      <w:tr>
        <w:trPr/>
        <w:tc>
          <w:tcPr>
            <w:tcW w:w="32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Infraestructura cloud</w:t>
            </w:r>
          </w:p>
        </w:tc>
        <w:tc>
          <w:tcPr>
            <w:tcW w:w="61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Arquitectura serverless escalable, alta disponibilidad, cifrado en reposo y transito</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Seguridad y compliance</w:t>
            </w:r>
          </w:p>
        </w:tc>
        <w:tc>
          <w:tcPr>
            <w:tcW w:w="61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RGPD, cifrado AES-256, logs de auditoria, politica de privacidad conforme a normativa espanola</w:t>
            </w:r>
          </w:p>
        </w:tc>
      </w:tr>
    </w:tbl>
    <w:p>
      <w:pPr>
        <w:pStyle w:val="Normal"/>
        <w:spacing w:before="80" w:after="80"/>
        <w:rPr/>
      </w:pPr>
      <w:r>
        <w:rPr/>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5. </w:t>
      </w:r>
      <w:r>
        <w:rPr>
          <w:rFonts w:eastAsia="Arial" w:cs="Arial"/>
          <w:b/>
          <w:bCs/>
          <w:color w:val="FFFFFF"/>
          <w:sz w:val="32"/>
          <w:szCs w:val="32"/>
        </w:rPr>
        <w:t>MERCADO OBJETIVO</w:t>
      </w:r>
    </w:p>
    <w:p>
      <w:pPr>
        <w:pStyle w:val="Normal"/>
        <w:pBdr>
          <w:bottom w:val="single" w:sz="6" w:space="2" w:color="2563A8"/>
        </w:pBdr>
        <w:spacing w:before="320" w:after="140"/>
        <w:rPr/>
      </w:pPr>
      <w:r>
        <w:rPr>
          <w:rFonts w:eastAsia="Arial" w:cs="Arial"/>
          <w:b/>
          <w:bCs/>
          <w:color w:val="1A4B8C"/>
          <w:sz w:val="24"/>
          <w:szCs w:val="24"/>
        </w:rPr>
        <w:t>5.1 Segmentacion del mercado espanol</w:t>
      </w:r>
    </w:p>
    <w:tbl>
      <w:tblPr>
        <w:tblW w:w="9360" w:type="dxa"/>
        <w:jc w:val="left"/>
        <w:tblInd w:w="0" w:type="dxa"/>
        <w:tblLayout w:type="fixed"/>
        <w:tblCellMar>
          <w:top w:w="110" w:type="dxa"/>
          <w:left w:w="180" w:type="dxa"/>
          <w:bottom w:w="110" w:type="dxa"/>
          <w:right w:w="180" w:type="dxa"/>
        </w:tblCellMar>
      </w:tblPr>
      <w:tblGrid>
        <w:gridCol w:w="2398"/>
        <w:gridCol w:w="2002"/>
        <w:gridCol w:w="2000"/>
        <w:gridCol w:w="2959"/>
      </w:tblGrid>
      <w:tr>
        <w:trPr/>
        <w:tc>
          <w:tcPr>
            <w:tcW w:w="2398"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SEGMENTO</w:t>
            </w:r>
          </w:p>
        </w:tc>
        <w:tc>
          <w:tcPr>
            <w:tcW w:w="2002"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PROFESIONALES EST.</w:t>
            </w:r>
          </w:p>
        </w:tc>
        <w:tc>
          <w:tcPr>
            <w:tcW w:w="200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ARR POTENCIAL (49EUR)</w:t>
            </w:r>
          </w:p>
        </w:tc>
        <w:tc>
          <w:tcPr>
            <w:tcW w:w="2959"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PERFIL DE CLIENTE</w:t>
            </w:r>
          </w:p>
        </w:tc>
      </w:tr>
      <w:tr>
        <w:trPr/>
        <w:tc>
          <w:tcPr>
            <w:tcW w:w="2398"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Electricistas autonomos</w:t>
            </w:r>
          </w:p>
        </w:tc>
        <w:tc>
          <w:tcPr>
            <w:tcW w:w="2002"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~85.000</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50M EUR</w:t>
            </w:r>
          </w:p>
        </w:tc>
        <w:tc>
          <w:tcPr>
            <w:tcW w:w="2959"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1 profesional, movil como herramienta principal</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Fontaneros autonomos</w:t>
            </w:r>
          </w:p>
        </w:tc>
        <w:tc>
          <w:tcPr>
            <w:tcW w:w="2002"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~65.000</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38M EUR</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1-3 personas, trabajos residenciales y comunidades</w:t>
            </w:r>
          </w:p>
        </w:tc>
      </w:tr>
      <w:tr>
        <w:trPr/>
        <w:tc>
          <w:tcPr>
            <w:tcW w:w="2398"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Climatizacion / HVAC</w:t>
            </w:r>
          </w:p>
        </w:tc>
        <w:tc>
          <w:tcPr>
            <w:tcW w:w="2002"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~45.000</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26M EUR</w:t>
            </w:r>
          </w:p>
        </w:tc>
        <w:tc>
          <w:tcPr>
            <w:tcW w:w="2959"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Mixto autonomo y PYME, contratos mantenimiento</w:t>
            </w:r>
          </w:p>
        </w:tc>
      </w:tr>
      <w:tr>
        <w:trPr/>
        <w:tc>
          <w:tcPr>
            <w:tcW w:w="2398"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Reformas y albañileria</w:t>
            </w:r>
          </w:p>
        </w:tc>
        <w:tc>
          <w:tcPr>
            <w:tcW w:w="2002"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~60.000</w:t>
            </w:r>
          </w:p>
        </w:tc>
        <w:tc>
          <w:tcPr>
            <w:tcW w:w="2000"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35M EUR</w:t>
            </w:r>
          </w:p>
        </w:tc>
        <w:tc>
          <w:tcPr>
            <w:tcW w:w="2959"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Proyectos de mayor duracion, mas partidas</w:t>
            </w:r>
          </w:p>
        </w:tc>
      </w:tr>
      <w:tr>
        <w:trPr/>
        <w:tc>
          <w:tcPr>
            <w:tcW w:w="2398"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Cerrajeria y otros oficios</w:t>
            </w:r>
          </w:p>
        </w:tc>
        <w:tc>
          <w:tcPr>
            <w:tcW w:w="2002"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~50.000</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29M EUR</w:t>
            </w:r>
          </w:p>
        </w:tc>
        <w:tc>
          <w:tcPr>
            <w:tcW w:w="2959"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Alta frecuencia, presupuestos rapidos</w:t>
            </w:r>
          </w:p>
        </w:tc>
      </w:tr>
      <w:tr>
        <w:trPr/>
        <w:tc>
          <w:tcPr>
            <w:tcW w:w="2398" w:type="dxa"/>
            <w:tcBorders>
              <w:top w:val="single" w:sz="2" w:space="0" w:color="CBD5E1"/>
              <w:left w:val="single" w:sz="2" w:space="0" w:color="CBD5E1"/>
              <w:bottom w:val="single" w:sz="2" w:space="0" w:color="CBD5E1"/>
              <w:right w:val="single" w:sz="2" w:space="0" w:color="CBD5E1"/>
            </w:tcBorders>
            <w:shd w:fill="0B1F3A" w:val="clear"/>
            <w:tcMar>
              <w:top w:w="90" w:type="dxa"/>
              <w:left w:w="160" w:type="dxa"/>
              <w:bottom w:w="90" w:type="dxa"/>
              <w:right w:w="160" w:type="dxa"/>
            </w:tcMar>
          </w:tcPr>
          <w:p>
            <w:pPr>
              <w:pStyle w:val="Normal"/>
              <w:widowControl w:val="false"/>
              <w:rPr/>
            </w:pPr>
            <w:r>
              <w:rPr>
                <w:rFonts w:eastAsia="Arial" w:cs="Arial"/>
                <w:b/>
                <w:bCs/>
                <w:color w:val="FFFFFF"/>
                <w:sz w:val="19"/>
                <w:szCs w:val="19"/>
              </w:rPr>
              <w:t>TOTAL ESPANA (TAM)</w:t>
            </w:r>
          </w:p>
        </w:tc>
        <w:tc>
          <w:tcPr>
            <w:tcW w:w="2002" w:type="dxa"/>
            <w:tcBorders>
              <w:top w:val="single" w:sz="2" w:space="0" w:color="CBD5E1"/>
              <w:left w:val="single" w:sz="2" w:space="0" w:color="CBD5E1"/>
              <w:bottom w:val="single" w:sz="2" w:space="0" w:color="CBD5E1"/>
              <w:right w:val="single" w:sz="2" w:space="0" w:color="CBD5E1"/>
            </w:tcBorders>
            <w:shd w:fill="0B1F3A" w:val="clear"/>
            <w:tcMar>
              <w:top w:w="90" w:type="dxa"/>
              <w:left w:w="160" w:type="dxa"/>
              <w:bottom w:w="90" w:type="dxa"/>
              <w:right w:w="160" w:type="dxa"/>
            </w:tcMar>
          </w:tcPr>
          <w:p>
            <w:pPr>
              <w:pStyle w:val="Normal"/>
              <w:widowControl w:val="false"/>
              <w:rPr/>
            </w:pPr>
            <w:r>
              <w:rPr>
                <w:rFonts w:eastAsia="Arial" w:cs="Arial"/>
                <w:b/>
                <w:bCs/>
                <w:color w:val="FFFFFF"/>
                <w:sz w:val="19"/>
                <w:szCs w:val="19"/>
              </w:rPr>
              <w:t>~305.000+</w:t>
            </w:r>
          </w:p>
        </w:tc>
        <w:tc>
          <w:tcPr>
            <w:tcW w:w="2000" w:type="dxa"/>
            <w:tcBorders>
              <w:top w:val="single" w:sz="2" w:space="0" w:color="CBD5E1"/>
              <w:left w:val="single" w:sz="2" w:space="0" w:color="CBD5E1"/>
              <w:bottom w:val="single" w:sz="2" w:space="0" w:color="CBD5E1"/>
              <w:right w:val="single" w:sz="2" w:space="0" w:color="CBD5E1"/>
            </w:tcBorders>
            <w:shd w:fill="0B1F3A" w:val="clear"/>
            <w:tcMar>
              <w:top w:w="90" w:type="dxa"/>
              <w:left w:w="160" w:type="dxa"/>
              <w:bottom w:w="90" w:type="dxa"/>
              <w:right w:w="160" w:type="dxa"/>
            </w:tcMar>
          </w:tcPr>
          <w:p>
            <w:pPr>
              <w:pStyle w:val="Normal"/>
              <w:widowControl w:val="false"/>
              <w:rPr/>
            </w:pPr>
            <w:r>
              <w:rPr>
                <w:rFonts w:eastAsia="Arial" w:cs="Arial"/>
                <w:b/>
                <w:bCs/>
                <w:color w:val="FFFFFF"/>
                <w:sz w:val="19"/>
                <w:szCs w:val="19"/>
              </w:rPr>
              <w:t>~178M EUR</w:t>
            </w:r>
          </w:p>
        </w:tc>
        <w:tc>
          <w:tcPr>
            <w:tcW w:w="2959" w:type="dxa"/>
            <w:tcBorders>
              <w:top w:val="single" w:sz="2" w:space="0" w:color="CBD5E1"/>
              <w:left w:val="single" w:sz="2" w:space="0" w:color="CBD5E1"/>
              <w:bottom w:val="single" w:sz="2" w:space="0" w:color="CBD5E1"/>
              <w:right w:val="single" w:sz="2" w:space="0" w:color="CBD5E1"/>
            </w:tcBorders>
            <w:shd w:fill="0B1F3A" w:val="clear"/>
            <w:tcMar>
              <w:top w:w="90" w:type="dxa"/>
              <w:left w:w="160" w:type="dxa"/>
              <w:bottom w:w="90" w:type="dxa"/>
              <w:right w:w="160" w:type="dxa"/>
            </w:tcMar>
          </w:tcPr>
          <w:p>
            <w:pPr>
              <w:pStyle w:val="Normal"/>
              <w:widowControl w:val="false"/>
              <w:rPr/>
            </w:pPr>
            <w:r>
              <w:rPr>
                <w:rFonts w:eastAsia="Arial" w:cs="Arial"/>
                <w:b/>
                <w:bCs/>
                <w:color w:val="FFFFFF"/>
                <w:sz w:val="19"/>
                <w:szCs w:val="19"/>
              </w:rPr>
              <w:t>Mercado inmediato espanol</w:t>
            </w:r>
          </w:p>
        </w:tc>
      </w:tr>
    </w:tbl>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5.2 Expansion a LATAM — Extension Natural del Modelo</w:t>
      </w:r>
    </w:p>
    <w:p>
      <w:pPr>
        <w:pStyle w:val="Normal"/>
        <w:spacing w:before="80" w:after="80"/>
        <w:jc w:val="both"/>
        <w:rPr/>
      </w:pPr>
      <w:r>
        <w:rPr>
          <w:rFonts w:eastAsia="Arial" w:cs="Arial"/>
          <w:b w:val="false"/>
          <w:bCs w:val="false"/>
          <w:color w:val="1E293B"/>
          <w:sz w:val="21"/>
          <w:szCs w:val="21"/>
        </w:rPr>
        <w:t>El mismo problema existe, con identica intensidad, en Mexico, Colombia, Argentina, Chile y Peru: mas de 2 millones de instaladores operando sin software especializado. La arquitectura multiidioma e idiomatica de la plataforma permite una adaptacion incremental al mercado latinoamericano desde el mes 15 del roadmap, con un TAM adicional estimado en varios cientos de millones de euros anuales.</w:t>
      </w:r>
    </w:p>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5.3 Mercado de field-service software — Referentes globales</w:t>
      </w:r>
    </w:p>
    <w:tbl>
      <w:tblPr>
        <w:tblW w:w="9360" w:type="dxa"/>
        <w:jc w:val="left"/>
        <w:tblInd w:w="0" w:type="dxa"/>
        <w:tblLayout w:type="fixed"/>
        <w:tblCellMar>
          <w:top w:w="110" w:type="dxa"/>
          <w:left w:w="180" w:type="dxa"/>
          <w:bottom w:w="110" w:type="dxa"/>
          <w:right w:w="180" w:type="dxa"/>
        </w:tblCellMar>
      </w:tblPr>
      <w:tblGrid>
        <w:gridCol w:w="3200"/>
        <w:gridCol w:w="2400"/>
        <w:gridCol w:w="3760"/>
      </w:tblGrid>
      <w:tr>
        <w:trPr/>
        <w:tc>
          <w:tcPr>
            <w:tcW w:w="320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EMPRESA</w:t>
            </w:r>
          </w:p>
        </w:tc>
        <w:tc>
          <w:tcPr>
            <w:tcW w:w="240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VALORACION</w:t>
            </w:r>
          </w:p>
        </w:tc>
        <w:tc>
          <w:tcPr>
            <w:tcW w:w="376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APRENDIZAJE PARA TRABFLOW</w:t>
            </w:r>
          </w:p>
        </w:tc>
      </w:tr>
      <w:tr>
        <w:trPr/>
        <w:tc>
          <w:tcPr>
            <w:tcW w:w="32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ServiceTitan (HVAC/Fontaneria, USA)</w:t>
            </w:r>
          </w:p>
        </w:tc>
        <w:tc>
          <w:tcPr>
            <w:tcW w:w="24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+7.500M USD</w:t>
            </w:r>
          </w:p>
        </w:tc>
        <w:tc>
          <w:tcPr>
            <w:tcW w:w="37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Dominio vertical con IA genera multiplos de 20-30x ARR</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Jobber (Home services, Canada/USA)</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+2.000M USD</w:t>
            </w:r>
          </w:p>
        </w:tc>
        <w:tc>
          <w:tcPr>
            <w:tcW w:w="37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SaaS vertical SMB es escalable y defensible</w:t>
            </w:r>
          </w:p>
        </w:tc>
      </w:tr>
      <w:tr>
        <w:trPr/>
        <w:tc>
          <w:tcPr>
            <w:tcW w:w="32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Housecall Pro (Home services, USA)</w:t>
            </w:r>
          </w:p>
        </w:tc>
        <w:tc>
          <w:tcPr>
            <w:tcW w:w="24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Unicornio</w:t>
            </w:r>
          </w:p>
        </w:tc>
        <w:tc>
          <w:tcPr>
            <w:tcW w:w="37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Comunidad + marketplace = moat de datos</w:t>
            </w:r>
          </w:p>
        </w:tc>
      </w:tr>
      <w:tr>
        <w:trPr/>
        <w:tc>
          <w:tcPr>
            <w:tcW w:w="32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Tradify (NZ/AU/UK/Canada)</w:t>
            </w:r>
          </w:p>
        </w:tc>
        <w:tc>
          <w:tcPr>
            <w:tcW w:w="24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Exit estrategico</w:t>
            </w:r>
          </w:p>
        </w:tc>
        <w:tc>
          <w:tcPr>
            <w:tcW w:w="37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El mismo modelo funciona fuera de EEUU</w:t>
            </w:r>
          </w:p>
        </w:tc>
      </w:tr>
    </w:tbl>
    <w:p>
      <w:pPr>
        <w:pStyle w:val="Normal"/>
        <w:spacing w:before="80" w:after="80"/>
        <w:rPr/>
      </w:pPr>
      <w:r>
        <w:rPr/>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6. </w:t>
      </w:r>
      <w:r>
        <w:rPr>
          <w:rFonts w:eastAsia="Arial" w:cs="Arial"/>
          <w:b/>
          <w:bCs/>
          <w:color w:val="FFFFFF"/>
          <w:sz w:val="32"/>
          <w:szCs w:val="32"/>
        </w:rPr>
        <w:t>MODELO DE NEGOCIO</w:t>
      </w:r>
    </w:p>
    <w:p>
      <w:pPr>
        <w:pStyle w:val="Normal"/>
        <w:pBdr>
          <w:bottom w:val="single" w:sz="6" w:space="2" w:color="2563A8"/>
        </w:pBdr>
        <w:spacing w:before="320" w:after="140"/>
        <w:rPr/>
      </w:pPr>
      <w:r>
        <w:rPr>
          <w:rFonts w:eastAsia="Arial" w:cs="Arial"/>
          <w:b/>
          <w:bCs/>
          <w:color w:val="1A4B8C"/>
          <w:sz w:val="24"/>
          <w:szCs w:val="24"/>
        </w:rPr>
        <w:t>6.1 Suscripcion SaaS — Estructura de precios</w:t>
      </w:r>
    </w:p>
    <w:tbl>
      <w:tblPr>
        <w:tblW w:w="9360" w:type="dxa"/>
        <w:jc w:val="left"/>
        <w:tblInd w:w="0" w:type="dxa"/>
        <w:tblLayout w:type="fixed"/>
        <w:tblCellMar>
          <w:top w:w="110" w:type="dxa"/>
          <w:left w:w="180" w:type="dxa"/>
          <w:bottom w:w="110" w:type="dxa"/>
          <w:right w:w="180" w:type="dxa"/>
        </w:tblCellMar>
      </w:tblPr>
      <w:tblGrid>
        <w:gridCol w:w="2000"/>
        <w:gridCol w:w="1558"/>
        <w:gridCol w:w="1762"/>
        <w:gridCol w:w="2280"/>
        <w:gridCol w:w="1760"/>
      </w:tblGrid>
      <w:tr>
        <w:trPr/>
        <w:tc>
          <w:tcPr>
            <w:tcW w:w="200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PLAN</w:t>
            </w:r>
          </w:p>
        </w:tc>
        <w:tc>
          <w:tcPr>
            <w:tcW w:w="1558"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PRECIO/MES</w:t>
            </w:r>
          </w:p>
        </w:tc>
        <w:tc>
          <w:tcPr>
            <w:tcW w:w="1762"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USUARIOS</w:t>
            </w:r>
          </w:p>
        </w:tc>
        <w:tc>
          <w:tcPr>
            <w:tcW w:w="228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FUNCIONALIDAD CLAVE EXCLUSIVA</w:t>
            </w:r>
          </w:p>
        </w:tc>
        <w:tc>
          <w:tcPr>
            <w:tcW w:w="176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TARGET</w:t>
            </w:r>
          </w:p>
        </w:tc>
      </w:tr>
      <w:tr>
        <w:trPr/>
        <w:tc>
          <w:tcPr>
            <w:tcW w:w="2000"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Autonomo</w:t>
            </w:r>
          </w:p>
        </w:tc>
        <w:tc>
          <w:tcPr>
            <w:tcW w:w="1558"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49 EUR</w:t>
            </w:r>
          </w:p>
        </w:tc>
        <w:tc>
          <w:tcPr>
            <w:tcW w:w="1762"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1</w:t>
            </w:r>
          </w:p>
        </w:tc>
        <w:tc>
          <w:tcPr>
            <w:tcW w:w="2280"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Presupuestos IA + catalogo + facturacion</w:t>
            </w:r>
          </w:p>
        </w:tc>
        <w:tc>
          <w:tcPr>
            <w:tcW w:w="1760"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Autonomo individual</w:t>
            </w:r>
          </w:p>
        </w:tc>
      </w:tr>
      <w:tr>
        <w:trPr/>
        <w:tc>
          <w:tcPr>
            <w:tcW w:w="2000"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Profesional</w:t>
            </w:r>
          </w:p>
        </w:tc>
        <w:tc>
          <w:tcPr>
            <w:tcW w:w="1558"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99 EUR</w:t>
            </w:r>
          </w:p>
        </w:tc>
        <w:tc>
          <w:tcPr>
            <w:tcW w:w="1762"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1</w:t>
            </w:r>
          </w:p>
        </w:tc>
        <w:tc>
          <w:tcPr>
            <w:tcW w:w="2280"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Gestion trabajos completa + analitica</w:t>
            </w:r>
          </w:p>
        </w:tc>
        <w:tc>
          <w:tcPr>
            <w:tcW w:w="1760"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Autonomo productivo</w:t>
            </w:r>
          </w:p>
        </w:tc>
      </w:tr>
      <w:tr>
        <w:trPr/>
        <w:tc>
          <w:tcPr>
            <w:tcW w:w="2000" w:type="dxa"/>
            <w:tcBorders>
              <w:top w:val="single" w:sz="2" w:space="0" w:color="CBD5E1"/>
              <w:left w:val="single" w:sz="2" w:space="0" w:color="CBD5E1"/>
              <w:bottom w:val="single" w:sz="2" w:space="0" w:color="CBD5E1"/>
              <w:right w:val="single" w:sz="2" w:space="0" w:color="CBD5E1"/>
            </w:tcBorders>
            <w:shd w:fill="FEF3C7" w:val="clear"/>
            <w:tcMar>
              <w:top w:w="90" w:type="dxa"/>
              <w:left w:w="160" w:type="dxa"/>
              <w:bottom w:w="90" w:type="dxa"/>
              <w:right w:w="160" w:type="dxa"/>
            </w:tcMar>
          </w:tcPr>
          <w:p>
            <w:pPr>
              <w:pStyle w:val="Normal"/>
              <w:widowControl w:val="false"/>
              <w:rPr/>
            </w:pPr>
            <w:r>
              <w:rPr>
                <w:rFonts w:eastAsia="Arial" w:cs="Arial"/>
                <w:b/>
                <w:bCs/>
                <w:color w:val="1E293B"/>
                <w:sz w:val="19"/>
                <w:szCs w:val="19"/>
              </w:rPr>
              <w:t>Empresa</w:t>
            </w:r>
          </w:p>
        </w:tc>
        <w:tc>
          <w:tcPr>
            <w:tcW w:w="1558" w:type="dxa"/>
            <w:tcBorders>
              <w:top w:val="single" w:sz="2" w:space="0" w:color="CBD5E1"/>
              <w:left w:val="single" w:sz="2" w:space="0" w:color="CBD5E1"/>
              <w:bottom w:val="single" w:sz="2" w:space="0" w:color="CBD5E1"/>
              <w:right w:val="single" w:sz="2" w:space="0" w:color="CBD5E1"/>
            </w:tcBorders>
            <w:shd w:fill="FEF3C7" w:val="clear"/>
            <w:tcMar>
              <w:top w:w="90" w:type="dxa"/>
              <w:left w:w="160" w:type="dxa"/>
              <w:bottom w:w="90" w:type="dxa"/>
              <w:right w:w="160" w:type="dxa"/>
            </w:tcMar>
          </w:tcPr>
          <w:p>
            <w:pPr>
              <w:pStyle w:val="Normal"/>
              <w:widowControl w:val="false"/>
              <w:rPr/>
            </w:pPr>
            <w:r>
              <w:rPr>
                <w:rFonts w:eastAsia="Arial" w:cs="Arial"/>
                <w:b/>
                <w:bCs/>
                <w:color w:val="1E293B"/>
                <w:sz w:val="19"/>
                <w:szCs w:val="19"/>
              </w:rPr>
              <w:t>179 EUR</w:t>
            </w:r>
          </w:p>
        </w:tc>
        <w:tc>
          <w:tcPr>
            <w:tcW w:w="1762" w:type="dxa"/>
            <w:tcBorders>
              <w:top w:val="single" w:sz="2" w:space="0" w:color="CBD5E1"/>
              <w:left w:val="single" w:sz="2" w:space="0" w:color="CBD5E1"/>
              <w:bottom w:val="single" w:sz="2" w:space="0" w:color="CBD5E1"/>
              <w:right w:val="single" w:sz="2" w:space="0" w:color="CBD5E1"/>
            </w:tcBorders>
            <w:shd w:fill="FEF3C7"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Hasta 10</w:t>
            </w:r>
          </w:p>
        </w:tc>
        <w:tc>
          <w:tcPr>
            <w:tcW w:w="2280" w:type="dxa"/>
            <w:tcBorders>
              <w:top w:val="single" w:sz="2" w:space="0" w:color="CBD5E1"/>
              <w:left w:val="single" w:sz="2" w:space="0" w:color="CBD5E1"/>
              <w:bottom w:val="single" w:sz="2" w:space="0" w:color="CBD5E1"/>
              <w:right w:val="single" w:sz="2" w:space="0" w:color="CBD5E1"/>
            </w:tcBorders>
            <w:shd w:fill="FEF3C7"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Contratos mantenimiento IA + facturacion recurrente auto.</w:t>
            </w:r>
          </w:p>
        </w:tc>
        <w:tc>
          <w:tcPr>
            <w:tcW w:w="1760" w:type="dxa"/>
            <w:tcBorders>
              <w:top w:val="single" w:sz="2" w:space="0" w:color="CBD5E1"/>
              <w:left w:val="single" w:sz="2" w:space="0" w:color="CBD5E1"/>
              <w:bottom w:val="single" w:sz="2" w:space="0" w:color="CBD5E1"/>
              <w:right w:val="single" w:sz="2" w:space="0" w:color="CBD5E1"/>
            </w:tcBorders>
            <w:shd w:fill="FEF3C7" w:val="clear"/>
            <w:tcMar>
              <w:top w:w="90" w:type="dxa"/>
              <w:left w:w="160" w:type="dxa"/>
              <w:bottom w:w="90" w:type="dxa"/>
              <w:right w:w="160" w:type="dxa"/>
            </w:tcMar>
          </w:tcPr>
          <w:p>
            <w:pPr>
              <w:pStyle w:val="Normal"/>
              <w:widowControl w:val="false"/>
              <w:rPr/>
            </w:pPr>
            <w:r>
              <w:rPr>
                <w:rFonts w:eastAsia="Arial" w:cs="Arial"/>
                <w:b w:val="false"/>
                <w:bCs w:val="false"/>
                <w:color w:val="1E293B"/>
                <w:sz w:val="19"/>
                <w:szCs w:val="19"/>
              </w:rPr>
              <w:t>PYME 2-10 personas</w:t>
            </w:r>
          </w:p>
        </w:tc>
      </w:tr>
    </w:tbl>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6.2 Unit Economics del modelo SaaS</w:t>
      </w:r>
    </w:p>
    <w:tbl>
      <w:tblPr>
        <w:tblW w:w="9360" w:type="dxa"/>
        <w:jc w:val="left"/>
        <w:tblInd w:w="0" w:type="dxa"/>
        <w:tblLayout w:type="fixed"/>
        <w:tblCellMar>
          <w:top w:w="110" w:type="dxa"/>
          <w:left w:w="180" w:type="dxa"/>
          <w:bottom w:w="110" w:type="dxa"/>
          <w:right w:w="180" w:type="dxa"/>
        </w:tblCellMar>
      </w:tblPr>
      <w:tblGrid>
        <w:gridCol w:w="4000"/>
        <w:gridCol w:w="5359"/>
      </w:tblGrid>
      <w:tr>
        <w:trPr/>
        <w:tc>
          <w:tcPr>
            <w:tcW w:w="400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METRICA</w:t>
            </w:r>
          </w:p>
        </w:tc>
        <w:tc>
          <w:tcPr>
            <w:tcW w:w="5359"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VALOR OBJETIVO (POST-PMF)</w:t>
            </w:r>
          </w:p>
        </w:tc>
      </w:tr>
      <w:tr>
        <w:trPr/>
        <w:tc>
          <w:tcPr>
            <w:tcW w:w="40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ARPU mix (todos los planes)</w:t>
            </w:r>
          </w:p>
        </w:tc>
        <w:tc>
          <w:tcPr>
            <w:tcW w:w="53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75–90 EUR/mes</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Churn mensual (Plan Empresa)</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2–3% (mayor retencion por contratos activos)</w:t>
            </w:r>
          </w:p>
        </w:tc>
      </w:tr>
      <w:tr>
        <w:trPr/>
        <w:tc>
          <w:tcPr>
            <w:tcW w:w="40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LTV estimado Plan Empresa (churn 2.5%)</w:t>
            </w:r>
          </w:p>
        </w:tc>
        <w:tc>
          <w:tcPr>
            <w:tcW w:w="53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7.160 EUR</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CAC objetivo canal organico + referral</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40–80 EUR</w:t>
            </w:r>
          </w:p>
        </w:tc>
      </w:tr>
      <w:tr>
        <w:trPr/>
        <w:tc>
          <w:tcPr>
            <w:tcW w:w="40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LTV:CAC ratio objetivo</w:t>
            </w:r>
          </w:p>
        </w:tc>
        <w:tc>
          <w:tcPr>
            <w:tcW w:w="53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15:1 a 90:1 segun canal</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Payback period objetivo</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1–2 meses</w:t>
            </w:r>
          </w:p>
        </w:tc>
      </w:tr>
      <w:tr>
        <w:trPr/>
        <w:tc>
          <w:tcPr>
            <w:tcW w:w="40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Margen bruto SaaS estimado</w:t>
            </w:r>
          </w:p>
        </w:tc>
        <w:tc>
          <w:tcPr>
            <w:tcW w:w="53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72–78%</w:t>
            </w:r>
          </w:p>
        </w:tc>
      </w:tr>
      <w:tr>
        <w:trPr/>
        <w:tc>
          <w:tcPr>
            <w:tcW w:w="40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Net Revenue Retention objetivo (expansion)</w:t>
            </w:r>
          </w:p>
        </w:tc>
        <w:tc>
          <w:tcPr>
            <w:tcW w:w="53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&gt;105% (usuarios extra, add-ons)</w:t>
            </w:r>
          </w:p>
        </w:tc>
      </w:tr>
    </w:tbl>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6.3 Lineas de expansion de ingresos</w:t>
      </w:r>
    </w:p>
    <w:p>
      <w:pPr>
        <w:pStyle w:val="ListParagraph"/>
        <w:numPr>
          <w:ilvl w:val="0"/>
          <w:numId w:val="28"/>
        </w:numPr>
        <w:spacing w:before="60" w:after="60"/>
        <w:jc w:val="both"/>
        <w:rPr/>
      </w:pPr>
      <w:r>
        <w:rPr>
          <w:rFonts w:eastAsia="Arial" w:cs="Arial"/>
          <w:color w:val="1E293B"/>
          <w:sz w:val="21"/>
          <w:szCs w:val="21"/>
        </w:rPr>
        <w:t>Usuarios adicionales mas alla de los incluidos en cada plan (15 EUR/usuario/mes)</w:t>
      </w:r>
    </w:p>
    <w:p>
      <w:pPr>
        <w:pStyle w:val="ListParagraph"/>
        <w:numPr>
          <w:ilvl w:val="0"/>
          <w:numId w:val="29"/>
        </w:numPr>
        <w:spacing w:before="60" w:after="60"/>
        <w:jc w:val="both"/>
        <w:rPr/>
      </w:pPr>
      <w:r>
        <w:rPr>
          <w:rFonts w:eastAsia="Arial" w:cs="Arial"/>
          <w:color w:val="1E293B"/>
          <w:sz w:val="21"/>
          <w:szCs w:val="21"/>
        </w:rPr>
        <w:t>WhatsApp Automation Premium: respuestas automaticas y seguimiento de presupuestos (29 EUR/mes adicional)</w:t>
      </w:r>
    </w:p>
    <w:p>
      <w:pPr>
        <w:pStyle w:val="ListParagraph"/>
        <w:numPr>
          <w:ilvl w:val="0"/>
          <w:numId w:val="30"/>
        </w:numPr>
        <w:spacing w:before="60" w:after="60"/>
        <w:jc w:val="both"/>
        <w:rPr/>
      </w:pPr>
      <w:r>
        <w:rPr>
          <w:rFonts w:eastAsia="Arial" w:cs="Arial"/>
          <w:color w:val="1E293B"/>
          <w:sz w:val="21"/>
          <w:szCs w:val="21"/>
        </w:rPr>
        <w:t>Plantillas premium especializadas por sector/oficio (9-39 EUR)</w:t>
      </w:r>
    </w:p>
    <w:p>
      <w:pPr>
        <w:pStyle w:val="ListParagraph"/>
        <w:numPr>
          <w:ilvl w:val="0"/>
          <w:numId w:val="31"/>
        </w:numPr>
        <w:spacing w:before="60" w:after="60"/>
        <w:jc w:val="both"/>
        <w:rPr/>
      </w:pPr>
      <w:r>
        <w:rPr>
          <w:rFonts w:eastAsia="Arial" w:cs="Arial"/>
          <w:color w:val="1E293B"/>
          <w:sz w:val="21"/>
          <w:szCs w:val="21"/>
        </w:rPr>
        <w:t>Marketplace de materiales con comision sobre pedidos (3-5% sobre volumen)</w:t>
      </w:r>
    </w:p>
    <w:p>
      <w:pPr>
        <w:pStyle w:val="ListParagraph"/>
        <w:numPr>
          <w:ilvl w:val="0"/>
          <w:numId w:val="32"/>
        </w:numPr>
        <w:spacing w:before="60" w:after="60"/>
        <w:jc w:val="both"/>
        <w:rPr/>
      </w:pPr>
      <w:r>
        <w:rPr>
          <w:rFonts w:eastAsia="Arial" w:cs="Arial"/>
          <w:color w:val="1E293B"/>
          <w:sz w:val="21"/>
          <w:szCs w:val="21"/>
        </w:rPr>
        <w:t>Embedded insurance: seguro de impago y responsabilidad civil para contratos activos</w:t>
      </w:r>
    </w:p>
    <w:p>
      <w:pPr>
        <w:pStyle w:val="ListParagraph"/>
        <w:numPr>
          <w:ilvl w:val="0"/>
          <w:numId w:val="33"/>
        </w:numPr>
        <w:spacing w:before="60" w:after="60"/>
        <w:jc w:val="both"/>
        <w:rPr/>
      </w:pPr>
      <w:r>
        <w:rPr>
          <w:rFonts w:eastAsia="Arial" w:cs="Arial"/>
          <w:color w:val="1E293B"/>
          <w:sz w:val="21"/>
          <w:szCs w:val="21"/>
        </w:rPr>
        <w:t>Integraciones con ERPs y software contable espanol (Holded, Sage, A3): 49 EUR/mes adicional</w:t>
      </w:r>
    </w:p>
    <w:p>
      <w:pPr>
        <w:pStyle w:val="Normal"/>
        <w:spacing w:before="80" w:after="80"/>
        <w:rPr/>
      </w:pPr>
      <w:r>
        <w:rPr/>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7. </w:t>
      </w:r>
      <w:r>
        <w:rPr>
          <w:rFonts w:eastAsia="Arial" w:cs="Arial"/>
          <w:b/>
          <w:bCs/>
          <w:color w:val="FFFFFF"/>
          <w:sz w:val="32"/>
          <w:szCs w:val="32"/>
        </w:rPr>
        <w:t>VENTAJA COMPETITIVA Y BARRERAS DE ENTRADA</w:t>
      </w:r>
    </w:p>
    <w:p>
      <w:pPr>
        <w:pStyle w:val="Normal"/>
        <w:pBdr>
          <w:bottom w:val="single" w:sz="6" w:space="2" w:color="2563A8"/>
        </w:pBdr>
        <w:spacing w:before="320" w:after="140"/>
        <w:rPr/>
      </w:pPr>
      <w:r>
        <w:rPr>
          <w:rFonts w:eastAsia="Arial" w:cs="Arial"/>
          <w:b/>
          <w:bCs/>
          <w:color w:val="1A4B8C"/>
          <w:sz w:val="24"/>
          <w:szCs w:val="24"/>
        </w:rPr>
        <w:t>7.1 Por que las soluciones genericas no resuelven el problema</w:t>
      </w:r>
    </w:p>
    <w:tbl>
      <w:tblPr>
        <w:tblW w:w="9360" w:type="dxa"/>
        <w:jc w:val="left"/>
        <w:tblInd w:w="0" w:type="dxa"/>
        <w:tblLayout w:type="fixed"/>
        <w:tblCellMar>
          <w:top w:w="110" w:type="dxa"/>
          <w:left w:w="180" w:type="dxa"/>
          <w:bottom w:w="110" w:type="dxa"/>
          <w:right w:w="180" w:type="dxa"/>
        </w:tblCellMar>
      </w:tblPr>
      <w:tblGrid>
        <w:gridCol w:w="2998"/>
        <w:gridCol w:w="3000"/>
        <w:gridCol w:w="3362"/>
      </w:tblGrid>
      <w:tr>
        <w:trPr/>
        <w:tc>
          <w:tcPr>
            <w:tcW w:w="2998"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CAPACIDAD REQUERIDA</w:t>
            </w:r>
          </w:p>
        </w:tc>
        <w:tc>
          <w:tcPr>
            <w:tcW w:w="300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SOFTWARE GENERICO</w:t>
            </w:r>
          </w:p>
        </w:tc>
        <w:tc>
          <w:tcPr>
            <w:tcW w:w="3362"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TRABFLOW</w:t>
            </w:r>
          </w:p>
        </w:tc>
      </w:tr>
      <w:tr>
        <w:trPr/>
        <w:tc>
          <w:tcPr>
            <w:tcW w:w="2998"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bCs/>
                <w:color w:val="1E293B"/>
                <w:sz w:val="18"/>
                <w:szCs w:val="18"/>
              </w:rPr>
              <w:t>Entender 'cambio de caldera Baxi 24kW'</w:t>
            </w:r>
          </w:p>
        </w:tc>
        <w:tc>
          <w:tcPr>
            <w:tcW w:w="3000"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8"/>
                <w:szCs w:val="18"/>
              </w:rPr>
              <w:t>No — texto libre sin contexto tecnico</w:t>
            </w:r>
          </w:p>
        </w:tc>
        <w:tc>
          <w:tcPr>
            <w:tcW w:w="3362" w:type="dxa"/>
            <w:tcBorders>
              <w:top w:val="single" w:sz="2" w:space="0" w:color="CBD5E1"/>
              <w:left w:val="single" w:sz="2" w:space="0" w:color="CBD5E1"/>
              <w:bottom w:val="single" w:sz="2" w:space="0" w:color="CBD5E1"/>
              <w:right w:val="single" w:sz="2" w:space="0" w:color="CBD5E1"/>
            </w:tcBorders>
            <w:shd w:fill="D1FAE5" w:val="clear"/>
            <w:tcMar>
              <w:top w:w="90" w:type="dxa"/>
              <w:left w:w="160" w:type="dxa"/>
              <w:bottom w:w="90" w:type="dxa"/>
              <w:right w:w="160" w:type="dxa"/>
            </w:tcMar>
          </w:tcPr>
          <w:p>
            <w:pPr>
              <w:pStyle w:val="Normal"/>
              <w:widowControl w:val="false"/>
              <w:rPr/>
            </w:pPr>
            <w:r>
              <w:rPr>
                <w:rFonts w:eastAsia="Arial" w:cs="Arial"/>
                <w:b w:val="false"/>
                <w:bCs w:val="false"/>
                <w:color w:val="0F5132"/>
                <w:sz w:val="18"/>
                <w:szCs w:val="18"/>
              </w:rPr>
              <w:t>Si — LLM especializado mapea al material exacto</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bCs/>
                <w:color w:val="1E293B"/>
                <w:sz w:val="18"/>
                <w:szCs w:val="18"/>
              </w:rPr>
              <w:t>Conocer precios de materiales de instalacion</w:t>
            </w:r>
          </w:p>
        </w:tc>
        <w:tc>
          <w:tcPr>
            <w:tcW w:w="3000"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8"/>
                <w:szCs w:val="18"/>
              </w:rPr>
              <w:t>No — catalogo generico o vacio</w:t>
            </w:r>
          </w:p>
        </w:tc>
        <w:tc>
          <w:tcPr>
            <w:tcW w:w="3362" w:type="dxa"/>
            <w:tcBorders>
              <w:top w:val="single" w:sz="2" w:space="0" w:color="CBD5E1"/>
              <w:left w:val="single" w:sz="2" w:space="0" w:color="CBD5E1"/>
              <w:bottom w:val="single" w:sz="2" w:space="0" w:color="CBD5E1"/>
              <w:right w:val="single" w:sz="2" w:space="0" w:color="CBD5E1"/>
            </w:tcBorders>
            <w:shd w:fill="B7F5D8" w:val="clear"/>
            <w:tcMar>
              <w:top w:w="90" w:type="dxa"/>
              <w:left w:w="160" w:type="dxa"/>
              <w:bottom w:w="90" w:type="dxa"/>
              <w:right w:w="160" w:type="dxa"/>
            </w:tcMar>
          </w:tcPr>
          <w:p>
            <w:pPr>
              <w:pStyle w:val="Normal"/>
              <w:widowControl w:val="false"/>
              <w:rPr/>
            </w:pPr>
            <w:r>
              <w:rPr>
                <w:rFonts w:eastAsia="Arial" w:cs="Arial"/>
                <w:b w:val="false"/>
                <w:bCs w:val="false"/>
                <w:color w:val="0F5132"/>
                <w:sz w:val="18"/>
                <w:szCs w:val="18"/>
              </w:rPr>
              <w:t>Si — 2.200+ referencias actualizadas por oficio</w:t>
            </w:r>
          </w:p>
        </w:tc>
      </w:tr>
      <w:tr>
        <w:trPr/>
        <w:tc>
          <w:tcPr>
            <w:tcW w:w="2998"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bCs/>
                <w:color w:val="1E293B"/>
                <w:sz w:val="18"/>
                <w:szCs w:val="18"/>
              </w:rPr>
              <w:t>Calcular mano de obra por tipo de trabajo</w:t>
            </w:r>
          </w:p>
        </w:tc>
        <w:tc>
          <w:tcPr>
            <w:tcW w:w="3000"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8"/>
                <w:szCs w:val="18"/>
              </w:rPr>
              <w:t>No — campo libre sin sugerencia</w:t>
            </w:r>
          </w:p>
        </w:tc>
        <w:tc>
          <w:tcPr>
            <w:tcW w:w="3362" w:type="dxa"/>
            <w:tcBorders>
              <w:top w:val="single" w:sz="2" w:space="0" w:color="CBD5E1"/>
              <w:left w:val="single" w:sz="2" w:space="0" w:color="CBD5E1"/>
              <w:bottom w:val="single" w:sz="2" w:space="0" w:color="CBD5E1"/>
              <w:right w:val="single" w:sz="2" w:space="0" w:color="CBD5E1"/>
            </w:tcBorders>
            <w:shd w:fill="D1FAE5" w:val="clear"/>
            <w:tcMar>
              <w:top w:w="90" w:type="dxa"/>
              <w:left w:w="160" w:type="dxa"/>
              <w:bottom w:w="90" w:type="dxa"/>
              <w:right w:w="160" w:type="dxa"/>
            </w:tcMar>
          </w:tcPr>
          <w:p>
            <w:pPr>
              <w:pStyle w:val="Normal"/>
              <w:widowControl w:val="false"/>
              <w:rPr/>
            </w:pPr>
            <w:r>
              <w:rPr>
                <w:rFonts w:eastAsia="Arial" w:cs="Arial"/>
                <w:b w:val="false"/>
                <w:bCs w:val="false"/>
                <w:color w:val="0F5132"/>
                <w:sz w:val="18"/>
                <w:szCs w:val="18"/>
              </w:rPr>
              <w:t xml:space="preserve">Si — tiempos estimados por partida </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bCs/>
                <w:color w:val="1E293B"/>
                <w:sz w:val="18"/>
                <w:szCs w:val="18"/>
              </w:rPr>
              <w:t>Generar SLA de mantenimiento por voz</w:t>
            </w:r>
          </w:p>
        </w:tc>
        <w:tc>
          <w:tcPr>
            <w:tcW w:w="3000"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8"/>
                <w:szCs w:val="18"/>
              </w:rPr>
              <w:t>No — formularios complejos</w:t>
            </w:r>
          </w:p>
        </w:tc>
        <w:tc>
          <w:tcPr>
            <w:tcW w:w="3362" w:type="dxa"/>
            <w:tcBorders>
              <w:top w:val="single" w:sz="2" w:space="0" w:color="CBD5E1"/>
              <w:left w:val="single" w:sz="2" w:space="0" w:color="CBD5E1"/>
              <w:bottom w:val="single" w:sz="2" w:space="0" w:color="CBD5E1"/>
              <w:right w:val="single" w:sz="2" w:space="0" w:color="CBD5E1"/>
            </w:tcBorders>
            <w:shd w:fill="B7F5D8" w:val="clear"/>
            <w:tcMar>
              <w:top w:w="90" w:type="dxa"/>
              <w:left w:w="160" w:type="dxa"/>
              <w:bottom w:w="90" w:type="dxa"/>
              <w:right w:w="160" w:type="dxa"/>
            </w:tcMar>
          </w:tcPr>
          <w:p>
            <w:pPr>
              <w:pStyle w:val="Normal"/>
              <w:widowControl w:val="false"/>
              <w:rPr/>
            </w:pPr>
            <w:r>
              <w:rPr>
                <w:rFonts w:eastAsia="Arial" w:cs="Arial"/>
                <w:b w:val="false"/>
                <w:bCs w:val="false"/>
                <w:color w:val="0F5132"/>
                <w:sz w:val="18"/>
                <w:szCs w:val="18"/>
              </w:rPr>
              <w:t>Si — IA genera el contrato completo en 60s</w:t>
            </w:r>
          </w:p>
        </w:tc>
      </w:tr>
      <w:tr>
        <w:trPr/>
        <w:tc>
          <w:tcPr>
            <w:tcW w:w="2998"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bCs/>
                <w:color w:val="1E293B"/>
                <w:sz w:val="18"/>
                <w:szCs w:val="18"/>
              </w:rPr>
              <w:t>Integrar con WhatsApp del instalador</w:t>
            </w:r>
          </w:p>
        </w:tc>
        <w:tc>
          <w:tcPr>
            <w:tcW w:w="3000" w:type="dxa"/>
            <w:tcBorders>
              <w:top w:val="single" w:sz="2" w:space="0" w:color="CBD5E1"/>
              <w:left w:val="single" w:sz="2" w:space="0" w:color="CBD5E1"/>
              <w:bottom w:val="single" w:sz="2" w:space="0" w:color="CBD5E1"/>
              <w:right w:val="single" w:sz="2" w:space="0" w:color="CBD5E1"/>
            </w:tcBorders>
            <w:shd w:fill="FFFFFF" w:val="clear"/>
            <w:tcMar>
              <w:top w:w="90" w:type="dxa"/>
              <w:left w:w="160" w:type="dxa"/>
              <w:bottom w:w="90" w:type="dxa"/>
              <w:right w:w="160" w:type="dxa"/>
            </w:tcMar>
          </w:tcPr>
          <w:p>
            <w:pPr>
              <w:pStyle w:val="Normal"/>
              <w:widowControl w:val="false"/>
              <w:rPr/>
            </w:pPr>
            <w:r>
              <w:rPr>
                <w:rFonts w:eastAsia="Arial" w:cs="Arial"/>
                <w:b w:val="false"/>
                <w:bCs w:val="false"/>
                <w:color w:val="1E293B"/>
                <w:sz w:val="18"/>
                <w:szCs w:val="18"/>
              </w:rPr>
              <w:t>No — email como canal principal</w:t>
            </w:r>
          </w:p>
        </w:tc>
        <w:tc>
          <w:tcPr>
            <w:tcW w:w="3362" w:type="dxa"/>
            <w:tcBorders>
              <w:top w:val="single" w:sz="2" w:space="0" w:color="CBD5E1"/>
              <w:left w:val="single" w:sz="2" w:space="0" w:color="CBD5E1"/>
              <w:bottom w:val="single" w:sz="2" w:space="0" w:color="CBD5E1"/>
              <w:right w:val="single" w:sz="2" w:space="0" w:color="CBD5E1"/>
            </w:tcBorders>
            <w:shd w:fill="D1FAE5" w:val="clear"/>
            <w:tcMar>
              <w:top w:w="90" w:type="dxa"/>
              <w:left w:w="160" w:type="dxa"/>
              <w:bottom w:w="90" w:type="dxa"/>
              <w:right w:w="160" w:type="dxa"/>
            </w:tcMar>
          </w:tcPr>
          <w:p>
            <w:pPr>
              <w:pStyle w:val="Normal"/>
              <w:widowControl w:val="false"/>
              <w:rPr/>
            </w:pPr>
            <w:r>
              <w:rPr>
                <w:rFonts w:eastAsia="Arial" w:cs="Arial"/>
                <w:b w:val="false"/>
                <w:bCs w:val="false"/>
                <w:color w:val="0F5132"/>
                <w:sz w:val="18"/>
                <w:szCs w:val="18"/>
              </w:rPr>
              <w:t>Si — canal nativo del gremio</w:t>
            </w:r>
          </w:p>
        </w:tc>
      </w:tr>
      <w:tr>
        <w:trPr/>
        <w:tc>
          <w:tcPr>
            <w:tcW w:w="2998"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bCs/>
                <w:color w:val="1E293B"/>
                <w:sz w:val="18"/>
                <w:szCs w:val="18"/>
              </w:rPr>
              <w:t>Funcionar desde el movil en obra sin friccion</w:t>
            </w:r>
          </w:p>
        </w:tc>
        <w:tc>
          <w:tcPr>
            <w:tcW w:w="3000" w:type="dxa"/>
            <w:tcBorders>
              <w:top w:val="single" w:sz="2" w:space="0" w:color="CBD5E1"/>
              <w:left w:val="single" w:sz="2" w:space="0" w:color="CBD5E1"/>
              <w:bottom w:val="single" w:sz="2" w:space="0" w:color="CBD5E1"/>
              <w:right w:val="single" w:sz="2" w:space="0" w:color="CBD5E1"/>
            </w:tcBorders>
            <w:shd w:fill="F1F5F9" w:val="clear"/>
            <w:tcMar>
              <w:top w:w="90" w:type="dxa"/>
              <w:left w:w="160" w:type="dxa"/>
              <w:bottom w:w="90" w:type="dxa"/>
              <w:right w:w="160" w:type="dxa"/>
            </w:tcMar>
          </w:tcPr>
          <w:p>
            <w:pPr>
              <w:pStyle w:val="Normal"/>
              <w:widowControl w:val="false"/>
              <w:rPr/>
            </w:pPr>
            <w:r>
              <w:rPr>
                <w:rFonts w:eastAsia="Arial" w:cs="Arial"/>
                <w:b w:val="false"/>
                <w:bCs w:val="false"/>
                <w:color w:val="1E293B"/>
                <w:sz w:val="18"/>
                <w:szCs w:val="18"/>
              </w:rPr>
              <w:t>No — diseñado para escritorio</w:t>
            </w:r>
          </w:p>
        </w:tc>
        <w:tc>
          <w:tcPr>
            <w:tcW w:w="3362" w:type="dxa"/>
            <w:tcBorders>
              <w:top w:val="single" w:sz="2" w:space="0" w:color="CBD5E1"/>
              <w:left w:val="single" w:sz="2" w:space="0" w:color="CBD5E1"/>
              <w:bottom w:val="single" w:sz="2" w:space="0" w:color="CBD5E1"/>
              <w:right w:val="single" w:sz="2" w:space="0" w:color="CBD5E1"/>
            </w:tcBorders>
            <w:shd w:fill="B7F5D8" w:val="clear"/>
            <w:tcMar>
              <w:top w:w="90" w:type="dxa"/>
              <w:left w:w="160" w:type="dxa"/>
              <w:bottom w:w="90" w:type="dxa"/>
              <w:right w:w="160" w:type="dxa"/>
            </w:tcMar>
          </w:tcPr>
          <w:p>
            <w:pPr>
              <w:pStyle w:val="Normal"/>
              <w:widowControl w:val="false"/>
              <w:rPr/>
            </w:pPr>
            <w:r>
              <w:rPr>
                <w:rFonts w:eastAsia="Arial" w:cs="Arial"/>
                <w:b w:val="false"/>
                <w:bCs w:val="false"/>
                <w:color w:val="0F5132"/>
                <w:sz w:val="18"/>
                <w:szCs w:val="18"/>
              </w:rPr>
              <w:t>Si — mobile-first, sin configuracion previa</w:t>
            </w:r>
          </w:p>
        </w:tc>
      </w:tr>
    </w:tbl>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7.2 Las 6 barreras de entrada de TrabFlow</w:t>
      </w:r>
    </w:p>
    <w:tbl>
      <w:tblPr>
        <w:tblW w:w="9360" w:type="dxa"/>
        <w:jc w:val="left"/>
        <w:tblInd w:w="0" w:type="dxa"/>
        <w:tblLayout w:type="fixed"/>
        <w:tblCellMar>
          <w:top w:w="110" w:type="dxa"/>
          <w:left w:w="180" w:type="dxa"/>
          <w:bottom w:w="110" w:type="dxa"/>
          <w:right w:w="180" w:type="dxa"/>
        </w:tblCellMar>
      </w:tblPr>
      <w:tblGrid>
        <w:gridCol w:w="3399"/>
        <w:gridCol w:w="5960"/>
      </w:tblGrid>
      <w:tr>
        <w:trPr/>
        <w:tc>
          <w:tcPr>
            <w:tcW w:w="3399"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BARRERA DE ENTRADA</w:t>
            </w:r>
          </w:p>
        </w:tc>
        <w:tc>
          <w:tcPr>
            <w:tcW w:w="596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MECANISMO DE PROTECCION</w:t>
            </w:r>
          </w:p>
        </w:tc>
      </w:tr>
      <w:tr>
        <w:trPr/>
        <w:tc>
          <w:tcPr>
            <w:tcW w:w="33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Datos del sector (Data Moat)</w:t>
            </w:r>
          </w:p>
        </w:tc>
        <w:tc>
          <w:tcPr>
            <w:tcW w:w="59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Cada presupuesto procesado mejora los modelos. El competidor tardaria años en replicar el volumen de datos del sector.</w:t>
            </w:r>
          </w:p>
        </w:tc>
      </w:tr>
      <w:tr>
        <w:trPr/>
        <w:tc>
          <w:tcPr>
            <w:tcW w:w="339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Conocimiento tecnico especializado</w:t>
            </w:r>
          </w:p>
        </w:tc>
        <w:tc>
          <w:tcPr>
            <w:tcW w:w="59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Las plantillas, catálogos y pipelines requieren años de conocimiento sectorial. No se replica copiando features.</w:t>
            </w:r>
          </w:p>
        </w:tc>
      </w:tr>
      <w:tr>
        <w:trPr/>
        <w:tc>
          <w:tcPr>
            <w:tcW w:w="33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Switching cost operativo</w:t>
            </w:r>
          </w:p>
        </w:tc>
        <w:tc>
          <w:tcPr>
            <w:tcW w:w="59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Un instalador con 200+ presupuestos, historial de clientes y contratos activos en TrabFlow no cambia de plataforma.</w:t>
            </w:r>
          </w:p>
        </w:tc>
      </w:tr>
      <w:tr>
        <w:trPr/>
        <w:tc>
          <w:tcPr>
            <w:tcW w:w="339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Comunidad de gremio</w:t>
            </w:r>
          </w:p>
        </w:tc>
        <w:tc>
          <w:tcPr>
            <w:tcW w:w="59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El efecto red entre instaladores del mismo oficio genera recomendaciones virales. El CAC disminuye con la masa critica.</w:t>
            </w:r>
          </w:p>
        </w:tc>
      </w:tr>
      <w:tr>
        <w:trPr/>
        <w:tc>
          <w:tcPr>
            <w:tcW w:w="33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Canal WhatsApp nativo</w:t>
            </w:r>
          </w:p>
        </w:tc>
        <w:tc>
          <w:tcPr>
            <w:tcW w:w="59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La integracion profunda con WhatsApp Business no es replicable por soluciones de escritorio o ERP horizontal.</w:t>
            </w:r>
          </w:p>
        </w:tc>
      </w:tr>
      <w:tr>
        <w:trPr/>
        <w:tc>
          <w:tcPr>
            <w:tcW w:w="339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Propiedad intelectual registrada</w:t>
            </w:r>
          </w:p>
        </w:tc>
        <w:tc>
          <w:tcPr>
            <w:tcW w:w="59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Marca M4383580 OEPM (Clases 09 + 42), dominios activos, código fuente protegido por Ley de Propiedad Intelectual.</w:t>
            </w:r>
          </w:p>
        </w:tc>
      </w:tr>
    </w:tbl>
    <w:p>
      <w:pPr>
        <w:pStyle w:val="Normal"/>
        <w:spacing w:before="80" w:after="80"/>
        <w:rPr/>
      </w:pPr>
      <w:r>
        <w:rPr/>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8. </w:t>
      </w:r>
      <w:r>
        <w:rPr>
          <w:rFonts w:eastAsia="Arial" w:cs="Arial"/>
          <w:b/>
          <w:bCs/>
          <w:color w:val="FFFFFF"/>
          <w:sz w:val="32"/>
          <w:szCs w:val="32"/>
        </w:rPr>
        <w:t>ESCALABILIDAD</w:t>
      </w:r>
    </w:p>
    <w:p>
      <w:pPr>
        <w:pStyle w:val="Normal"/>
        <w:pBdr>
          <w:bottom w:val="single" w:sz="6" w:space="2" w:color="2563A8"/>
        </w:pBdr>
        <w:spacing w:before="320" w:after="140"/>
        <w:rPr/>
      </w:pPr>
      <w:r>
        <w:rPr>
          <w:rFonts w:eastAsia="Arial" w:cs="Arial"/>
          <w:b/>
          <w:bCs/>
          <w:color w:val="1A4B8C"/>
          <w:sz w:val="24"/>
          <w:szCs w:val="24"/>
        </w:rPr>
        <w:t xml:space="preserve">8.1 Escalabilidad </w:t>
      </w:r>
    </w:p>
    <w:p>
      <w:pPr>
        <w:pStyle w:val="Normal"/>
        <w:spacing w:before="80" w:after="80"/>
        <w:jc w:val="both"/>
        <w:rPr/>
      </w:pPr>
      <w:r>
        <w:rPr>
          <w:rFonts w:eastAsia="Arial" w:cs="Arial"/>
          <w:b w:val="false"/>
          <w:bCs w:val="false"/>
          <w:color w:val="1E293B"/>
          <w:sz w:val="21"/>
          <w:szCs w:val="21"/>
        </w:rPr>
        <w:t>La arquitectura serverless de TrabFlow esta diseñada para soportar crecimiento de usuarios sin degradación de prestaciones ni incremento lineal de costes. Los componentes clave (base de datos PostgreSQL con RLS, APIs de IA, generación de documentos, procesamiento de pagos) se escalan de forma elástica según demanda. El coste marginal por nuevo cliente decrece con el volumen, lo que se traduce en expansión del margen bruto a medida que la base de clientes crece.</w:t>
      </w:r>
    </w:p>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8.2 Escalabilidad de mercado</w:t>
      </w:r>
    </w:p>
    <w:p>
      <w:pPr>
        <w:pStyle w:val="ListParagraph"/>
        <w:numPr>
          <w:ilvl w:val="0"/>
          <w:numId w:val="34"/>
        </w:numPr>
        <w:spacing w:before="60" w:after="60"/>
        <w:jc w:val="both"/>
        <w:rPr/>
      </w:pPr>
      <w:r>
        <w:rPr>
          <w:rFonts w:eastAsia="Arial" w:cs="Arial"/>
          <w:color w:val="1E293B"/>
          <w:sz w:val="21"/>
          <w:szCs w:val="21"/>
        </w:rPr>
        <w:t>España (TAM inmediato): 300.000+ instaladores, penetración objetivo 5.000-15.000 clientes en 3 años.</w:t>
      </w:r>
    </w:p>
    <w:p>
      <w:pPr>
        <w:pStyle w:val="ListParagraph"/>
        <w:numPr>
          <w:ilvl w:val="0"/>
          <w:numId w:val="35"/>
        </w:numPr>
        <w:spacing w:before="60" w:after="60"/>
        <w:jc w:val="both"/>
        <w:rPr/>
      </w:pPr>
      <w:r>
        <w:rPr>
          <w:rFonts w:eastAsia="Arial" w:cs="Arial"/>
          <w:color w:val="1E293B"/>
          <w:sz w:val="21"/>
          <w:szCs w:val="21"/>
        </w:rPr>
        <w:t>LATAM (expansion natural): México, Colombia, Argentina, Chile — 2M+ profesionales del sector, menor competencia, mismo idioma.</w:t>
      </w:r>
    </w:p>
    <w:p>
      <w:pPr>
        <w:pStyle w:val="ListParagraph"/>
        <w:numPr>
          <w:ilvl w:val="0"/>
          <w:numId w:val="36"/>
        </w:numPr>
        <w:spacing w:before="60" w:after="60"/>
        <w:jc w:val="both"/>
        <w:rPr/>
      </w:pPr>
      <w:r>
        <w:rPr>
          <w:rFonts w:eastAsia="Arial" w:cs="Arial"/>
          <w:color w:val="1E293B"/>
          <w:sz w:val="21"/>
          <w:szCs w:val="21"/>
        </w:rPr>
        <w:t>Europa (fase 4): adaptación a normativas s locales (NFPA, CE, normativas nacionales de electricidad y fontanería).</w:t>
      </w:r>
    </w:p>
    <w:p>
      <w:pPr>
        <w:pStyle w:val="ListParagraph"/>
        <w:numPr>
          <w:ilvl w:val="0"/>
          <w:numId w:val="37"/>
        </w:numPr>
        <w:spacing w:before="60" w:after="60"/>
        <w:jc w:val="both"/>
        <w:rPr/>
      </w:pPr>
      <w:r>
        <w:rPr>
          <w:rFonts w:eastAsia="Arial" w:cs="Arial"/>
          <w:color w:val="1E293B"/>
          <w:sz w:val="21"/>
          <w:szCs w:val="21"/>
        </w:rPr>
        <w:t>Verticalización adicional: el motor de IA es adaptable a otros gremios con lógica similar (impermeabilizacioón, pintura, telecomunicaciones, ascensores, extintores).</w:t>
      </w:r>
    </w:p>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8.3 Escalabilidad del modelo de ingresos</w:t>
      </w:r>
    </w:p>
    <w:p>
      <w:pPr>
        <w:pStyle w:val="Normal"/>
        <w:spacing w:before="80" w:after="80"/>
        <w:jc w:val="both"/>
        <w:rPr/>
      </w:pPr>
      <w:r>
        <w:rPr>
          <w:rFonts w:eastAsia="Arial" w:cs="Arial"/>
          <w:b w:val="false"/>
          <w:bCs w:val="false"/>
          <w:color w:val="1E293B"/>
          <w:sz w:val="21"/>
          <w:szCs w:val="21"/>
        </w:rPr>
        <w:t>El modelo SaaS garantiza ingresos recurrentes predecibles (MRR) con margenes crecientes. La expansión del ingreso por cuenta (Net Revenue Retention &gt; 105%) permite crecer el revenue sin crecer linealmente el numero de nuevos clientes. Los módulos de expansión (embedded insurance, marketplace de materiales, integraciones ERP) ofrecen palancas adicionales de ARPU sin incremento de CAC.</w:t>
      </w:r>
    </w:p>
    <w:p>
      <w:pPr>
        <w:pStyle w:val="Normal"/>
        <w:spacing w:before="80" w:after="80"/>
        <w:rPr/>
      </w:pPr>
      <w:r>
        <w:rPr/>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9. </w:t>
      </w:r>
      <w:r>
        <w:rPr>
          <w:rFonts w:eastAsia="Arial" w:cs="Arial"/>
          <w:b/>
          <w:bCs/>
          <w:color w:val="FFFFFF"/>
          <w:sz w:val="32"/>
          <w:szCs w:val="32"/>
        </w:rPr>
        <w:t>IMPACTO ECONOMICO Y DIGITALIZACION SECTORIAL</w:t>
      </w:r>
    </w:p>
    <w:p>
      <w:pPr>
        <w:pStyle w:val="Normal"/>
        <w:pBdr>
          <w:bottom w:val="single" w:sz="6" w:space="2" w:color="2563A8"/>
        </w:pBdr>
        <w:spacing w:before="320" w:after="140"/>
        <w:rPr/>
      </w:pPr>
      <w:r>
        <w:rPr>
          <w:rFonts w:eastAsia="Arial" w:cs="Arial"/>
          <w:b/>
          <w:bCs/>
          <w:color w:val="1A4B8C"/>
          <w:sz w:val="24"/>
          <w:szCs w:val="24"/>
        </w:rPr>
        <w:t>9.1 Impacto sobre el profesional instalador</w:t>
      </w:r>
    </w:p>
    <w:tbl>
      <w:tblPr>
        <w:tblW w:w="9360" w:type="dxa"/>
        <w:jc w:val="left"/>
        <w:tblInd w:w="0" w:type="dxa"/>
        <w:tblLayout w:type="fixed"/>
        <w:tblCellMar>
          <w:top w:w="110" w:type="dxa"/>
          <w:left w:w="180" w:type="dxa"/>
          <w:bottom w:w="110" w:type="dxa"/>
          <w:right w:w="180" w:type="dxa"/>
        </w:tblCellMar>
      </w:tblPr>
      <w:tblGrid>
        <w:gridCol w:w="4400"/>
        <w:gridCol w:w="4959"/>
      </w:tblGrid>
      <w:tr>
        <w:trPr/>
        <w:tc>
          <w:tcPr>
            <w:tcW w:w="440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MEJORA GENERADA POR TRABFLOW</w:t>
            </w:r>
          </w:p>
        </w:tc>
        <w:tc>
          <w:tcPr>
            <w:tcW w:w="4959"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CUANTIFICACION ESTIMADA</w:t>
            </w:r>
          </w:p>
        </w:tc>
      </w:tr>
      <w:tr>
        <w:trPr/>
        <w:tc>
          <w:tcPr>
            <w:tcW w:w="44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Reducción del tiempo de presupuestación</w:t>
            </w:r>
          </w:p>
        </w:tc>
        <w:tc>
          <w:tcPr>
            <w:tcW w:w="49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De 60-90 min a 3-5 min por presupuesto (reducción &gt;90%)</w:t>
            </w:r>
          </w:p>
        </w:tc>
      </w:tr>
      <w:tr>
        <w:trPr/>
        <w:tc>
          <w:tcPr>
            <w:tcW w:w="44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Eliminación de errores en facturas</w:t>
            </w:r>
          </w:p>
        </w:tc>
        <w:tc>
          <w:tcPr>
            <w:tcW w:w="49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Facturación automática: 0 errores de calculo o datos fiscales</w:t>
            </w:r>
          </w:p>
        </w:tc>
      </w:tr>
      <w:tr>
        <w:trPr/>
        <w:tc>
          <w:tcPr>
            <w:tcW w:w="44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Reducción de impagos</w:t>
            </w:r>
          </w:p>
        </w:tc>
        <w:tc>
          <w:tcPr>
            <w:tcW w:w="49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Contrato generado automáticamente en cada trabajo: reducción estimada 40-60%</w:t>
            </w:r>
          </w:p>
        </w:tc>
      </w:tr>
      <w:tr>
        <w:trPr/>
        <w:tc>
          <w:tcPr>
            <w:tcW w:w="44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Incremento de presupuestos enviados</w:t>
            </w:r>
          </w:p>
        </w:tc>
        <w:tc>
          <w:tcPr>
            <w:tcW w:w="49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Mas velocidad = mas trabajos ofertados = mas facturación potencial</w:t>
            </w:r>
          </w:p>
        </w:tc>
      </w:tr>
      <w:tr>
        <w:trPr/>
        <w:tc>
          <w:tcPr>
            <w:tcW w:w="440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Tiempo liberado para trabajo técnico</w:t>
            </w:r>
          </w:p>
        </w:tc>
        <w:tc>
          <w:tcPr>
            <w:tcW w:w="495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1,5-2 horas diarias recuperadas por instalador</w:t>
            </w:r>
          </w:p>
        </w:tc>
      </w:tr>
      <w:tr>
        <w:trPr/>
        <w:tc>
          <w:tcPr>
            <w:tcW w:w="440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Capacidad de delegación</w:t>
            </w:r>
          </w:p>
        </w:tc>
        <w:tc>
          <w:tcPr>
            <w:tcW w:w="495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Con procesos documentados, el negocio puede escalar sin depender del fundador</w:t>
            </w:r>
          </w:p>
        </w:tc>
      </w:tr>
    </w:tbl>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9.2 Impacto macroeconomico y de digitalizacion</w:t>
      </w:r>
    </w:p>
    <w:p>
      <w:pPr>
        <w:pStyle w:val="Normal"/>
        <w:spacing w:before="80" w:after="80"/>
        <w:jc w:val="both"/>
        <w:rPr/>
      </w:pPr>
      <w:r>
        <w:rPr>
          <w:rFonts w:eastAsia="Arial" w:cs="Arial"/>
          <w:b w:val="false"/>
          <w:bCs w:val="false"/>
          <w:color w:val="1E293B"/>
          <w:sz w:val="21"/>
          <w:szCs w:val="21"/>
        </w:rPr>
        <w:t>El sector de instalaciones en España contribuye de forma significativa al PIB y al empleo. La digitalización masiva de este segmento — hoy prácticamente inexistente — tiene impacto directo en:</w:t>
      </w:r>
    </w:p>
    <w:p>
      <w:pPr>
        <w:pStyle w:val="Normal"/>
        <w:spacing w:before="60" w:after="60"/>
        <w:rPr/>
      </w:pPr>
      <w:r>
        <w:rPr/>
      </w:r>
    </w:p>
    <w:p>
      <w:pPr>
        <w:pStyle w:val="ListParagraph"/>
        <w:numPr>
          <w:ilvl w:val="0"/>
          <w:numId w:val="38"/>
        </w:numPr>
        <w:spacing w:before="60" w:after="60"/>
        <w:jc w:val="both"/>
        <w:rPr/>
      </w:pPr>
      <w:r>
        <w:rPr>
          <w:rFonts w:eastAsia="Arial" w:cs="Arial"/>
          <w:color w:val="1E293B"/>
          <w:sz w:val="21"/>
          <w:szCs w:val="21"/>
        </w:rPr>
        <w:t>Incremento de la productividad del gremio autónomo y micro-empresa.</w:t>
      </w:r>
    </w:p>
    <w:p>
      <w:pPr>
        <w:pStyle w:val="ListParagraph"/>
        <w:numPr>
          <w:ilvl w:val="0"/>
          <w:numId w:val="39"/>
        </w:numPr>
        <w:spacing w:before="60" w:after="60"/>
        <w:jc w:val="both"/>
        <w:rPr/>
      </w:pPr>
      <w:r>
        <w:rPr>
          <w:rFonts w:eastAsia="Arial" w:cs="Arial"/>
          <w:color w:val="1E293B"/>
          <w:sz w:val="21"/>
          <w:szCs w:val="21"/>
        </w:rPr>
        <w:t>Mejora del cumplimiento fiscal (menos errores en IVA, IRPF, emisión de facturas).</w:t>
      </w:r>
    </w:p>
    <w:p>
      <w:pPr>
        <w:pStyle w:val="ListParagraph"/>
        <w:numPr>
          <w:ilvl w:val="0"/>
          <w:numId w:val="40"/>
        </w:numPr>
        <w:spacing w:before="60" w:after="60"/>
        <w:jc w:val="both"/>
        <w:rPr/>
      </w:pPr>
      <w:r>
        <w:rPr>
          <w:rFonts w:eastAsia="Arial" w:cs="Arial"/>
          <w:color w:val="1E293B"/>
          <w:sz w:val="21"/>
          <w:szCs w:val="21"/>
        </w:rPr>
        <w:t>Formalización de relaciones contractuales (reducción de economía informal).</w:t>
      </w:r>
    </w:p>
    <w:p>
      <w:pPr>
        <w:pStyle w:val="ListParagraph"/>
        <w:numPr>
          <w:ilvl w:val="0"/>
          <w:numId w:val="41"/>
        </w:numPr>
        <w:spacing w:before="60" w:after="60"/>
        <w:jc w:val="both"/>
        <w:rPr/>
      </w:pPr>
      <w:r>
        <w:rPr>
          <w:rFonts w:eastAsia="Arial" w:cs="Arial"/>
          <w:color w:val="1E293B"/>
          <w:sz w:val="21"/>
          <w:szCs w:val="21"/>
        </w:rPr>
        <w:t>Generación de datos económicos del sector con valor estadístico y regulatorio.</w:t>
      </w:r>
    </w:p>
    <w:p>
      <w:pPr>
        <w:pStyle w:val="ListParagraph"/>
        <w:numPr>
          <w:ilvl w:val="0"/>
          <w:numId w:val="42"/>
        </w:numPr>
        <w:spacing w:before="60" w:after="60"/>
        <w:jc w:val="both"/>
        <w:rPr/>
      </w:pPr>
      <w:r>
        <w:rPr>
          <w:rFonts w:eastAsia="Arial" w:cs="Arial"/>
          <w:color w:val="1E293B"/>
          <w:sz w:val="21"/>
          <w:szCs w:val="21"/>
        </w:rPr>
        <w:t>Posicionamiento de Espana como referente en innovacion SaaS para oficios técnicos.</w:t>
      </w:r>
    </w:p>
    <w:p>
      <w:pPr>
        <w:pStyle w:val="Normal"/>
        <w:spacing w:before="80" w:after="80"/>
        <w:rPr/>
      </w:pPr>
      <w:r>
        <w:rPr/>
      </w:r>
    </w:p>
    <w:p>
      <w:pPr>
        <w:pStyle w:val="Normal"/>
        <w:pBdr>
          <w:left w:val="single" w:sz="20" w:space="6" w:color="0F5132"/>
        </w:pBdr>
        <w:shd w:val="clear" w:fill="D1FAE5"/>
        <w:spacing w:before="180" w:after="180"/>
        <w:ind w:left="440" w:hanging="0"/>
        <w:jc w:val="both"/>
        <w:rPr/>
      </w:pPr>
      <w:r>
        <w:rPr>
          <w:rFonts w:eastAsia="Arial" w:cs="Arial"/>
          <w:b/>
          <w:bCs/>
          <w:color w:val="0F5132"/>
          <w:sz w:val="21"/>
          <w:szCs w:val="21"/>
        </w:rPr>
        <w:t>TrabFlow se alinea directamente con los objetivos de digitalización del Plan de Recuperación, Transformacion y Resiliencia (PRTR) español, el programa Kit Digital y las prioridades del Horizonte Europa en digitalización de PYMES y autónomos.</w:t>
      </w:r>
    </w:p>
    <w:p>
      <w:pPr>
        <w:pStyle w:val="Normal"/>
        <w:spacing w:before="80" w:after="80"/>
        <w:rPr/>
      </w:pPr>
      <w:r>
        <w:rPr/>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10. </w:t>
      </w:r>
      <w:r>
        <w:rPr>
          <w:rFonts w:eastAsia="Arial" w:cs="Arial"/>
          <w:b/>
          <w:bCs/>
          <w:color w:val="FFFFFF"/>
          <w:sz w:val="32"/>
          <w:szCs w:val="32"/>
        </w:rPr>
        <w:t>ROADMAP TECNOLOGICO</w:t>
      </w:r>
    </w:p>
    <w:tbl>
      <w:tblPr>
        <w:tblW w:w="9360" w:type="dxa"/>
        <w:jc w:val="left"/>
        <w:tblInd w:w="0" w:type="dxa"/>
        <w:tblLayout w:type="fixed"/>
        <w:tblCellMar>
          <w:top w:w="110" w:type="dxa"/>
          <w:left w:w="180" w:type="dxa"/>
          <w:bottom w:w="110" w:type="dxa"/>
          <w:right w:w="180" w:type="dxa"/>
        </w:tblCellMar>
      </w:tblPr>
      <w:tblGrid>
        <w:gridCol w:w="1598"/>
        <w:gridCol w:w="2402"/>
        <w:gridCol w:w="5360"/>
      </w:tblGrid>
      <w:tr>
        <w:trPr/>
        <w:tc>
          <w:tcPr>
            <w:tcW w:w="1598"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FASE</w:t>
            </w:r>
          </w:p>
        </w:tc>
        <w:tc>
          <w:tcPr>
            <w:tcW w:w="2402"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HORIZONTE</w:t>
            </w:r>
          </w:p>
        </w:tc>
        <w:tc>
          <w:tcPr>
            <w:tcW w:w="536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HITOS TECNOLOGICOS Y DE NEGOCIO</w:t>
            </w:r>
          </w:p>
        </w:tc>
      </w:tr>
      <w:tr>
        <w:trPr/>
        <w:tc>
          <w:tcPr>
            <w:tcW w:w="1598" w:type="dxa"/>
            <w:tcBorders>
              <w:top w:val="single" w:sz="2" w:space="0" w:color="CBD5E1"/>
              <w:left w:val="single" w:sz="2" w:space="0" w:color="CBD5E1"/>
              <w:bottom w:val="single" w:sz="2" w:space="0" w:color="CBD5E1"/>
              <w:right w:val="single" w:sz="2" w:space="0" w:color="CBD5E1"/>
            </w:tcBorders>
            <w:shd w:fill="2563A8" w:val="clear"/>
            <w:tcMar>
              <w:top w:w="120" w:type="dxa"/>
              <w:left w:w="160" w:type="dxa"/>
              <w:bottom w:w="120" w:type="dxa"/>
              <w:right w:w="160" w:type="dxa"/>
            </w:tcMar>
            <w:vAlign w:val="center"/>
          </w:tcPr>
          <w:p>
            <w:pPr>
              <w:pStyle w:val="Normal"/>
              <w:widowControl w:val="false"/>
              <w:jc w:val="center"/>
              <w:rPr/>
            </w:pPr>
            <w:r>
              <w:rPr>
                <w:rFonts w:eastAsia="Arial" w:cs="Arial"/>
                <w:b/>
                <w:bCs/>
                <w:color w:val="FFFFFF"/>
                <w:sz w:val="19"/>
                <w:szCs w:val="19"/>
              </w:rPr>
              <w:t>FASE 1 PMF</w:t>
            </w:r>
          </w:p>
        </w:tc>
        <w:tc>
          <w:tcPr>
            <w:tcW w:w="2402" w:type="dxa"/>
            <w:tcBorders>
              <w:top w:val="single" w:sz="2" w:space="0" w:color="CBD5E1"/>
              <w:left w:val="single" w:sz="2" w:space="0" w:color="CBD5E1"/>
              <w:bottom w:val="single" w:sz="2" w:space="0" w:color="CBD5E1"/>
              <w:right w:val="single" w:sz="2" w:space="0" w:color="CBD5E1"/>
            </w:tcBorders>
            <w:shd w:fill="FFFFFF" w:val="clear"/>
            <w:tcMar>
              <w:top w:w="120" w:type="dxa"/>
              <w:left w:w="160" w:type="dxa"/>
              <w:bottom w:w="120" w:type="dxa"/>
              <w:right w:w="160" w:type="dxa"/>
            </w:tcMar>
          </w:tcPr>
          <w:p>
            <w:pPr>
              <w:pStyle w:val="Normal"/>
              <w:widowControl w:val="false"/>
              <w:rPr/>
            </w:pPr>
            <w:r>
              <w:rPr>
                <w:rFonts w:eastAsia="Arial" w:cs="Arial"/>
                <w:b/>
                <w:bCs/>
                <w:color w:val="0B1F3A"/>
                <w:sz w:val="18"/>
                <w:szCs w:val="18"/>
              </w:rPr>
              <w:t>Q3 2026 (Meses 1–6)</w:t>
            </w:r>
          </w:p>
        </w:tc>
        <w:tc>
          <w:tcPr>
            <w:tcW w:w="5360" w:type="dxa"/>
            <w:tcBorders>
              <w:top w:val="single" w:sz="2" w:space="0" w:color="CBD5E1"/>
              <w:left w:val="single" w:sz="2" w:space="0" w:color="CBD5E1"/>
              <w:bottom w:val="single" w:sz="2" w:space="0" w:color="CBD5E1"/>
              <w:right w:val="single" w:sz="2" w:space="0" w:color="CBD5E1"/>
            </w:tcBorders>
            <w:shd w:fill="FFFFFF" w:val="clear"/>
            <w:tcMar>
              <w:top w:w="120" w:type="dxa"/>
              <w:left w:w="160" w:type="dxa"/>
              <w:bottom w:w="120" w:type="dxa"/>
              <w:right w:w="160" w:type="dxa"/>
            </w:tcMar>
          </w:tcPr>
          <w:p>
            <w:pPr>
              <w:pStyle w:val="Normal"/>
              <w:widowControl w:val="false"/>
              <w:rPr/>
            </w:pPr>
            <w:r>
              <w:rPr>
                <w:rFonts w:eastAsia="Arial" w:cs="Arial"/>
                <w:color w:val="1E293B"/>
                <w:sz w:val="18"/>
                <w:szCs w:val="18"/>
              </w:rPr>
              <w:t>Lanzamiento beta cerrada (20-50 usuarios). Onboarding &lt; 3 min al primer presupuesto. Motor IA v1 en produccion: voz + catalogo + facturacion. Validacion de retencion semana 4 &gt; 60%. Primeros 100 clientes de pago.</w:t>
            </w:r>
          </w:p>
        </w:tc>
      </w:tr>
      <w:tr>
        <w:trPr/>
        <w:tc>
          <w:tcPr>
            <w:tcW w:w="1598" w:type="dxa"/>
            <w:tcBorders>
              <w:top w:val="single" w:sz="2" w:space="0" w:color="CBD5E1"/>
              <w:left w:val="single" w:sz="2" w:space="0" w:color="CBD5E1"/>
              <w:bottom w:val="single" w:sz="2" w:space="0" w:color="CBD5E1"/>
              <w:right w:val="single" w:sz="2" w:space="0" w:color="CBD5E1"/>
            </w:tcBorders>
            <w:shd w:fill="0F5132" w:val="clear"/>
            <w:tcMar>
              <w:top w:w="120" w:type="dxa"/>
              <w:left w:w="160" w:type="dxa"/>
              <w:bottom w:w="120" w:type="dxa"/>
              <w:right w:w="160" w:type="dxa"/>
            </w:tcMar>
            <w:vAlign w:val="center"/>
          </w:tcPr>
          <w:p>
            <w:pPr>
              <w:pStyle w:val="Normal"/>
              <w:widowControl w:val="false"/>
              <w:jc w:val="center"/>
              <w:rPr/>
            </w:pPr>
            <w:r>
              <w:rPr>
                <w:rFonts w:eastAsia="Arial" w:cs="Arial"/>
                <w:b/>
                <w:bCs/>
                <w:color w:val="FFFFFF"/>
                <w:sz w:val="19"/>
                <w:szCs w:val="19"/>
              </w:rPr>
              <w:t>FASE 2 Growth</w:t>
            </w:r>
          </w:p>
        </w:tc>
        <w:tc>
          <w:tcPr>
            <w:tcW w:w="2402" w:type="dxa"/>
            <w:tcBorders>
              <w:top w:val="single" w:sz="2" w:space="0" w:color="CBD5E1"/>
              <w:left w:val="single" w:sz="2" w:space="0" w:color="CBD5E1"/>
              <w:bottom w:val="single" w:sz="2" w:space="0" w:color="CBD5E1"/>
              <w:right w:val="single" w:sz="2" w:space="0" w:color="CBD5E1"/>
            </w:tcBorders>
            <w:shd w:fill="F1F5F9" w:val="clear"/>
            <w:tcMar>
              <w:top w:w="120" w:type="dxa"/>
              <w:left w:w="160" w:type="dxa"/>
              <w:bottom w:w="120" w:type="dxa"/>
              <w:right w:w="160" w:type="dxa"/>
            </w:tcMar>
          </w:tcPr>
          <w:p>
            <w:pPr>
              <w:pStyle w:val="Normal"/>
              <w:widowControl w:val="false"/>
              <w:rPr/>
            </w:pPr>
            <w:r>
              <w:rPr>
                <w:rFonts w:eastAsia="Arial" w:cs="Arial"/>
                <w:b/>
                <w:bCs/>
                <w:color w:val="0B1F3A"/>
                <w:sz w:val="18"/>
                <w:szCs w:val="18"/>
              </w:rPr>
              <w:t>Q4 2026 – Q2 2027 (Meses 7–15)</w:t>
            </w:r>
          </w:p>
        </w:tc>
        <w:tc>
          <w:tcPr>
            <w:tcW w:w="5360" w:type="dxa"/>
            <w:tcBorders>
              <w:top w:val="single" w:sz="2" w:space="0" w:color="CBD5E1"/>
              <w:left w:val="single" w:sz="2" w:space="0" w:color="CBD5E1"/>
              <w:bottom w:val="single" w:sz="2" w:space="0" w:color="CBD5E1"/>
              <w:right w:val="single" w:sz="2" w:space="0" w:color="CBD5E1"/>
            </w:tcBorders>
            <w:shd w:fill="F1F5F9" w:val="clear"/>
            <w:tcMar>
              <w:top w:w="120" w:type="dxa"/>
              <w:left w:w="160" w:type="dxa"/>
              <w:bottom w:w="120" w:type="dxa"/>
              <w:right w:w="160" w:type="dxa"/>
            </w:tcMar>
          </w:tcPr>
          <w:p>
            <w:pPr>
              <w:pStyle w:val="Normal"/>
              <w:widowControl w:val="false"/>
              <w:rPr/>
            </w:pPr>
            <w:r>
              <w:rPr>
                <w:rFonts w:eastAsia="Arial" w:cs="Arial"/>
                <w:color w:val="1E293B"/>
                <w:sz w:val="18"/>
                <w:szCs w:val="18"/>
              </w:rPr>
              <w:t>Motor IA v2: aprendizaje sobre datos reales del sector. Modulo de contratos mantenimiento IA completo. Canal de contenido organico activo (150+ piezas). Primer partnership sectorial (asociacion de instaladores). 500 clientes activos. MRR &gt; 37.500 EUR. Solicitud marca EUIPO.</w:t>
            </w:r>
          </w:p>
        </w:tc>
      </w:tr>
      <w:tr>
        <w:trPr/>
        <w:tc>
          <w:tcPr>
            <w:tcW w:w="1598" w:type="dxa"/>
            <w:tcBorders>
              <w:top w:val="single" w:sz="2" w:space="0" w:color="CBD5E1"/>
              <w:left w:val="single" w:sz="2" w:space="0" w:color="CBD5E1"/>
              <w:bottom w:val="single" w:sz="2" w:space="0" w:color="CBD5E1"/>
              <w:right w:val="single" w:sz="2" w:space="0" w:color="CBD5E1"/>
            </w:tcBorders>
            <w:shd w:fill="B45309" w:val="clear"/>
            <w:tcMar>
              <w:top w:w="120" w:type="dxa"/>
              <w:left w:w="160" w:type="dxa"/>
              <w:bottom w:w="120" w:type="dxa"/>
              <w:right w:w="160" w:type="dxa"/>
            </w:tcMar>
            <w:vAlign w:val="center"/>
          </w:tcPr>
          <w:p>
            <w:pPr>
              <w:pStyle w:val="Normal"/>
              <w:widowControl w:val="false"/>
              <w:jc w:val="center"/>
              <w:rPr/>
            </w:pPr>
            <w:r>
              <w:rPr>
                <w:rFonts w:eastAsia="Arial" w:cs="Arial"/>
                <w:b/>
                <w:bCs/>
                <w:color w:val="FFFFFF"/>
                <w:sz w:val="19"/>
                <w:szCs w:val="19"/>
              </w:rPr>
              <w:t>FASE 3 Escala</w:t>
            </w:r>
          </w:p>
        </w:tc>
        <w:tc>
          <w:tcPr>
            <w:tcW w:w="2402" w:type="dxa"/>
            <w:tcBorders>
              <w:top w:val="single" w:sz="2" w:space="0" w:color="CBD5E1"/>
              <w:left w:val="single" w:sz="2" w:space="0" w:color="CBD5E1"/>
              <w:bottom w:val="single" w:sz="2" w:space="0" w:color="CBD5E1"/>
              <w:right w:val="single" w:sz="2" w:space="0" w:color="CBD5E1"/>
            </w:tcBorders>
            <w:shd w:fill="FFFFFF" w:val="clear"/>
            <w:tcMar>
              <w:top w:w="120" w:type="dxa"/>
              <w:left w:w="160" w:type="dxa"/>
              <w:bottom w:w="120" w:type="dxa"/>
              <w:right w:w="160" w:type="dxa"/>
            </w:tcMar>
          </w:tcPr>
          <w:p>
            <w:pPr>
              <w:pStyle w:val="Normal"/>
              <w:widowControl w:val="false"/>
              <w:rPr/>
            </w:pPr>
            <w:r>
              <w:rPr>
                <w:rFonts w:eastAsia="Arial" w:cs="Arial"/>
                <w:b/>
                <w:bCs/>
                <w:color w:val="0B1F3A"/>
                <w:sz w:val="18"/>
                <w:szCs w:val="18"/>
              </w:rPr>
              <w:t>Q3 2027 – Q1 2028 (Meses 16–24)</w:t>
            </w:r>
          </w:p>
        </w:tc>
        <w:tc>
          <w:tcPr>
            <w:tcW w:w="5360" w:type="dxa"/>
            <w:tcBorders>
              <w:top w:val="single" w:sz="2" w:space="0" w:color="CBD5E1"/>
              <w:left w:val="single" w:sz="2" w:space="0" w:color="CBD5E1"/>
              <w:bottom w:val="single" w:sz="2" w:space="0" w:color="CBD5E1"/>
              <w:right w:val="single" w:sz="2" w:space="0" w:color="CBD5E1"/>
            </w:tcBorders>
            <w:shd w:fill="FFFFFF" w:val="clear"/>
            <w:tcMar>
              <w:top w:w="120" w:type="dxa"/>
              <w:left w:w="160" w:type="dxa"/>
              <w:bottom w:w="120" w:type="dxa"/>
              <w:right w:w="160" w:type="dxa"/>
            </w:tcMar>
          </w:tcPr>
          <w:p>
            <w:pPr>
              <w:pStyle w:val="Normal"/>
              <w:widowControl w:val="false"/>
              <w:rPr/>
            </w:pPr>
            <w:r>
              <w:rPr>
                <w:rFonts w:eastAsia="Arial" w:cs="Arial"/>
                <w:color w:val="1E293B"/>
                <w:sz w:val="18"/>
                <w:szCs w:val="18"/>
              </w:rPr>
              <w:t>Motor IA v3: modelos predictivos de precio por oficio/region. Piloto LATAM (Mexico + Colombia). Integraciones ERP espanol (Holded, Sage). Marketplace de materiales beta. 1.000+ clientes activos. ARR &gt; 900K EUR. Equipo 5-7 personas.</w:t>
            </w:r>
          </w:p>
        </w:tc>
      </w:tr>
      <w:tr>
        <w:trPr/>
        <w:tc>
          <w:tcPr>
            <w:tcW w:w="1598" w:type="dxa"/>
            <w:tcBorders>
              <w:top w:val="single" w:sz="2" w:space="0" w:color="CBD5E1"/>
              <w:left w:val="single" w:sz="2" w:space="0" w:color="CBD5E1"/>
              <w:bottom w:val="single" w:sz="2" w:space="0" w:color="CBD5E1"/>
              <w:right w:val="single" w:sz="2" w:space="0" w:color="CBD5E1"/>
            </w:tcBorders>
            <w:shd w:fill="7C3AED" w:val="clear"/>
            <w:tcMar>
              <w:top w:w="120" w:type="dxa"/>
              <w:left w:w="160" w:type="dxa"/>
              <w:bottom w:w="120" w:type="dxa"/>
              <w:right w:w="160" w:type="dxa"/>
            </w:tcMar>
            <w:vAlign w:val="center"/>
          </w:tcPr>
          <w:p>
            <w:pPr>
              <w:pStyle w:val="Normal"/>
              <w:widowControl w:val="false"/>
              <w:jc w:val="center"/>
              <w:rPr/>
            </w:pPr>
            <w:r>
              <w:rPr>
                <w:rFonts w:eastAsia="Arial" w:cs="Arial"/>
                <w:b/>
                <w:bCs/>
                <w:color w:val="FFFFFF"/>
                <w:sz w:val="19"/>
                <w:szCs w:val="19"/>
              </w:rPr>
              <w:t>FASE 4 Dominio</w:t>
            </w:r>
          </w:p>
        </w:tc>
        <w:tc>
          <w:tcPr>
            <w:tcW w:w="2402" w:type="dxa"/>
            <w:tcBorders>
              <w:top w:val="single" w:sz="2" w:space="0" w:color="CBD5E1"/>
              <w:left w:val="single" w:sz="2" w:space="0" w:color="CBD5E1"/>
              <w:bottom w:val="single" w:sz="2" w:space="0" w:color="CBD5E1"/>
              <w:right w:val="single" w:sz="2" w:space="0" w:color="CBD5E1"/>
            </w:tcBorders>
            <w:shd w:fill="F1F5F9" w:val="clear"/>
            <w:tcMar>
              <w:top w:w="120" w:type="dxa"/>
              <w:left w:w="160" w:type="dxa"/>
              <w:bottom w:w="120" w:type="dxa"/>
              <w:right w:w="160" w:type="dxa"/>
            </w:tcMar>
          </w:tcPr>
          <w:p>
            <w:pPr>
              <w:pStyle w:val="Normal"/>
              <w:widowControl w:val="false"/>
              <w:rPr/>
            </w:pPr>
            <w:r>
              <w:rPr>
                <w:rFonts w:eastAsia="Arial" w:cs="Arial"/>
                <w:b/>
                <w:bCs/>
                <w:color w:val="0B1F3A"/>
                <w:sz w:val="18"/>
                <w:szCs w:val="18"/>
              </w:rPr>
              <w:t>2028 en adelante (Mes 25+)</w:t>
            </w:r>
          </w:p>
        </w:tc>
        <w:tc>
          <w:tcPr>
            <w:tcW w:w="5360" w:type="dxa"/>
            <w:tcBorders>
              <w:top w:val="single" w:sz="2" w:space="0" w:color="CBD5E1"/>
              <w:left w:val="single" w:sz="2" w:space="0" w:color="CBD5E1"/>
              <w:bottom w:val="single" w:sz="2" w:space="0" w:color="CBD5E1"/>
              <w:right w:val="single" w:sz="2" w:space="0" w:color="CBD5E1"/>
            </w:tcBorders>
            <w:shd w:fill="F1F5F9" w:val="clear"/>
            <w:tcMar>
              <w:top w:w="120" w:type="dxa"/>
              <w:left w:w="160" w:type="dxa"/>
              <w:bottom w:w="120" w:type="dxa"/>
              <w:right w:w="160" w:type="dxa"/>
            </w:tcMar>
          </w:tcPr>
          <w:p>
            <w:pPr>
              <w:pStyle w:val="Normal"/>
              <w:widowControl w:val="false"/>
              <w:rPr/>
            </w:pPr>
            <w:r>
              <w:rPr>
                <w:rFonts w:eastAsia="Arial" w:cs="Arial"/>
                <w:color w:val="1E293B"/>
                <w:sz w:val="18"/>
                <w:szCs w:val="18"/>
              </w:rPr>
              <w:t>Motor IA v4: deteccion de anomalias, scoring de rentabilidad, recomendaciones proactivas. Embedded insurance y fintech. Expansion Europa. 5.000+ clientes. ARR &gt; 3M EUR. Posicionamiento como lider europeo SaaS vertical instalaciones.</w:t>
            </w:r>
          </w:p>
        </w:tc>
      </w:tr>
    </w:tbl>
    <w:p>
      <w:pPr>
        <w:pStyle w:val="Normal"/>
        <w:spacing w:before="80" w:after="80"/>
        <w:rPr/>
      </w:pPr>
      <w:r>
        <w:rPr/>
      </w:r>
    </w:p>
    <w:p>
      <w:pPr>
        <w:pStyle w:val="Normal"/>
        <w:rPr/>
      </w:pPr>
      <w:r>
        <w:rPr/>
      </w:r>
      <w:r>
        <w:br w:type="page"/>
      </w:r>
    </w:p>
    <w:p>
      <w:pPr>
        <w:pStyle w:val="Normal"/>
        <w:shd w:val="clear" w:fill="0B1F3A"/>
        <w:spacing w:before="480" w:after="200"/>
        <w:ind w:left="240" w:hanging="0"/>
        <w:rPr/>
      </w:pPr>
      <w:r>
        <w:rPr>
          <w:rFonts w:eastAsia="Arial" w:cs="Arial"/>
          <w:b/>
          <w:bCs/>
          <w:color w:val="AECBF7"/>
          <w:sz w:val="32"/>
          <w:szCs w:val="32"/>
        </w:rPr>
        <w:t xml:space="preserve">11. </w:t>
      </w:r>
      <w:r>
        <w:rPr>
          <w:rFonts w:eastAsia="Arial" w:cs="Arial"/>
          <w:b/>
          <w:bCs/>
          <w:color w:val="FFFFFF"/>
          <w:sz w:val="32"/>
          <w:szCs w:val="32"/>
        </w:rPr>
        <w:t>CONCLUSION</w:t>
      </w:r>
    </w:p>
    <w:p>
      <w:pPr>
        <w:pStyle w:val="Normal"/>
        <w:spacing w:before="80" w:after="80"/>
        <w:jc w:val="both"/>
        <w:rPr/>
      </w:pPr>
      <w:r>
        <w:rPr>
          <w:rFonts w:eastAsia="Arial" w:cs="Arial"/>
          <w:b w:val="false"/>
          <w:bCs w:val="false"/>
          <w:color w:val="1E293B"/>
          <w:sz w:val="21"/>
          <w:szCs w:val="21"/>
        </w:rPr>
        <w:t>TrabFlow Technologies SL representa una oportunidad de innovacion tecnologica de primer orden en un segmento de mercado de gran escala, baja digitalizacion y alta resistencia estructural al cambio. La empresa desarrolla tecnologia propia especializada — no un consumo de APIs genericas — con un motor de IA contextualizado en el sector instalaciones que genera ventajas competitivas crecientes con cada transaccion procesada.</w:t>
      </w:r>
    </w:p>
    <w:p>
      <w:pPr>
        <w:pStyle w:val="Normal"/>
        <w:spacing w:before="80" w:after="80"/>
        <w:rPr/>
      </w:pPr>
      <w:r>
        <w:rPr/>
      </w:r>
    </w:p>
    <w:p>
      <w:pPr>
        <w:pStyle w:val="Normal"/>
        <w:spacing w:before="80" w:after="80"/>
        <w:jc w:val="both"/>
        <w:rPr/>
      </w:pPr>
      <w:r>
        <w:rPr>
          <w:rFonts w:eastAsia="Arial" w:cs="Arial"/>
          <w:b w:val="false"/>
          <w:bCs w:val="false"/>
          <w:color w:val="1E293B"/>
          <w:sz w:val="21"/>
          <w:szCs w:val="21"/>
        </w:rPr>
        <w:t>El modelo SaaS vertical garantiza ingresos recurrentes predecibles, margenes brutos elevados y un perfil de unit economics excepcional para la categoria. La proteccion de marca registrada ante la OEPM (M4383580), los dominios activos y la estructura societaria en tramite demuestran la seriedad y madurez del proyecto desde las fases mas tempranas.</w:t>
      </w:r>
    </w:p>
    <w:p>
      <w:pPr>
        <w:pStyle w:val="Normal"/>
        <w:spacing w:before="80" w:after="80"/>
        <w:rPr/>
      </w:pPr>
      <w:r>
        <w:rPr/>
      </w:r>
    </w:p>
    <w:p>
      <w:pPr>
        <w:pStyle w:val="Normal"/>
        <w:spacing w:before="80" w:after="80"/>
        <w:jc w:val="both"/>
        <w:rPr/>
      </w:pPr>
      <w:r>
        <w:rPr>
          <w:rFonts w:eastAsia="Arial" w:cs="Arial"/>
          <w:b w:val="false"/>
          <w:bCs w:val="false"/>
          <w:color w:val="1E293B"/>
          <w:sz w:val="21"/>
          <w:szCs w:val="21"/>
        </w:rPr>
        <w:t>La viabilidad del modelo esta probada a escala global: ServiceTitan ($7.500M), Jobber ($2.000M) y Housecall Pro (unicornio) son evidencia de que el SaaS vertical para oficios tecnicos genera empresas de gran valor. TrabFlow es la version europea de este modelo, construida con IA nativa desde el dia uno, en un mercado de 300.000 profesionales en España y mas de 2 millones en LATAM.</w:t>
      </w:r>
    </w:p>
    <w:p>
      <w:pPr>
        <w:pStyle w:val="Normal"/>
        <w:spacing w:before="80" w:after="80"/>
        <w:rPr/>
      </w:pPr>
      <w:r>
        <w:rPr/>
      </w:r>
    </w:p>
    <w:p>
      <w:pPr>
        <w:pStyle w:val="Normal"/>
        <w:pBdr>
          <w:left w:val="single" w:sz="20" w:space="6" w:color="B45309"/>
        </w:pBdr>
        <w:shd w:val="clear" w:fill="FEF3C7"/>
        <w:spacing w:before="180" w:after="180"/>
        <w:ind w:left="440" w:hanging="0"/>
        <w:jc w:val="both"/>
        <w:rPr/>
      </w:pPr>
      <w:r>
        <w:rPr>
          <w:rFonts w:eastAsia="Arial" w:cs="Arial"/>
          <w:b/>
          <w:bCs/>
          <w:color w:val="2C3E50"/>
          <w:sz w:val="21"/>
          <w:szCs w:val="21"/>
        </w:rPr>
        <w:t>TrabFlow es una empresa de base tecnológica que digitaliza un sector estratégico, genera impacto económico cuantificable, desarrolla tecnología propia con potencial de escalado internacional y presenta todas las características de innovación sectorial requeridas por los programas ENISA, CDTI, SODERCAN y fondos europeos de innovación.</w:t>
      </w:r>
    </w:p>
    <w:p>
      <w:pPr>
        <w:pStyle w:val="Normal"/>
        <w:spacing w:before="80" w:after="80"/>
        <w:rPr/>
      </w:pPr>
      <w:r>
        <w:rPr/>
      </w:r>
    </w:p>
    <w:p>
      <w:pPr>
        <w:pStyle w:val="Normal"/>
        <w:pBdr>
          <w:bottom w:val="single" w:sz="6" w:space="2" w:color="2563A8"/>
        </w:pBdr>
        <w:spacing w:before="320" w:after="140"/>
        <w:rPr/>
      </w:pPr>
      <w:r>
        <w:rPr>
          <w:rFonts w:eastAsia="Arial" w:cs="Arial"/>
          <w:b/>
          <w:bCs/>
          <w:color w:val="1A4B8C"/>
          <w:sz w:val="24"/>
          <w:szCs w:val="24"/>
        </w:rPr>
        <w:t>Contacto y documentacion adicional</w:t>
      </w:r>
    </w:p>
    <w:tbl>
      <w:tblPr>
        <w:tblW w:w="9360" w:type="dxa"/>
        <w:jc w:val="left"/>
        <w:tblInd w:w="0" w:type="dxa"/>
        <w:tblLayout w:type="fixed"/>
        <w:tblCellMar>
          <w:top w:w="110" w:type="dxa"/>
          <w:left w:w="180" w:type="dxa"/>
          <w:bottom w:w="110" w:type="dxa"/>
          <w:right w:w="180" w:type="dxa"/>
        </w:tblCellMar>
      </w:tblPr>
      <w:tblGrid>
        <w:gridCol w:w="2799"/>
        <w:gridCol w:w="6560"/>
      </w:tblGrid>
      <w:tr>
        <w:trPr/>
        <w:tc>
          <w:tcPr>
            <w:tcW w:w="2799"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DATO</w:t>
            </w:r>
          </w:p>
        </w:tc>
        <w:tc>
          <w:tcPr>
            <w:tcW w:w="6560" w:type="dxa"/>
            <w:tcBorders>
              <w:top w:val="single" w:sz="2" w:space="0" w:color="CBD5E1"/>
              <w:left w:val="single" w:sz="2" w:space="0" w:color="CBD5E1"/>
              <w:bottom w:val="single" w:sz="2" w:space="0" w:color="CBD5E1"/>
              <w:right w:val="single" w:sz="2" w:space="0" w:color="CBD5E1"/>
            </w:tcBorders>
            <w:shd w:fill="0B1F3A" w:val="clear"/>
          </w:tcPr>
          <w:p>
            <w:pPr>
              <w:pStyle w:val="Normal"/>
              <w:widowControl w:val="false"/>
              <w:jc w:val="center"/>
              <w:rPr/>
            </w:pPr>
            <w:r>
              <w:rPr>
                <w:rFonts w:eastAsia="Arial" w:cs="Arial"/>
                <w:b/>
                <w:bCs/>
                <w:color w:val="FFFFFF"/>
                <w:sz w:val="19"/>
                <w:szCs w:val="19"/>
              </w:rPr>
              <w:t>INFORMACION</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Empresa</w:t>
            </w:r>
          </w:p>
        </w:tc>
        <w:tc>
          <w:tcPr>
            <w:tcW w:w="65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TrabFlow Technologies SL</w:t>
            </w:r>
          </w:p>
        </w:tc>
      </w:tr>
      <w:tr>
        <w:trPr/>
        <w:tc>
          <w:tcPr>
            <w:tcW w:w="279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Promotor</w:t>
            </w:r>
          </w:p>
        </w:tc>
        <w:tc>
          <w:tcPr>
            <w:tcW w:w="65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Fernando Carbonell Cabo  |  NIF 11792515R</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Email de contacto</w:t>
            </w:r>
          </w:p>
        </w:tc>
        <w:tc>
          <w:tcPr>
            <w:tcW w:w="65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fercarboc@gmail.com  |  672 336 572</w:t>
            </w:r>
          </w:p>
        </w:tc>
      </w:tr>
      <w:tr>
        <w:trPr/>
        <w:tc>
          <w:tcPr>
            <w:tcW w:w="279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Web corporativa</w:t>
            </w:r>
          </w:p>
        </w:tc>
        <w:tc>
          <w:tcPr>
            <w:tcW w:w="65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trabflow.es  |  trabflow.com</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Marca registrada</w:t>
            </w:r>
          </w:p>
        </w:tc>
        <w:tc>
          <w:tcPr>
            <w:tcW w:w="65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OEPM M4383580 — Clases 09 y 42 — 29/05/2026</w:t>
            </w:r>
          </w:p>
        </w:tc>
      </w:tr>
      <w:tr>
        <w:trPr/>
        <w:tc>
          <w:tcPr>
            <w:tcW w:w="2799"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bCs/>
                <w:color w:val="0B1F3A"/>
                <w:sz w:val="19"/>
                <w:szCs w:val="19"/>
              </w:rPr>
              <w:t>Domicilio del promotor</w:t>
            </w:r>
          </w:p>
        </w:tc>
        <w:tc>
          <w:tcPr>
            <w:tcW w:w="6560" w:type="dxa"/>
            <w:tcBorders>
              <w:top w:val="single" w:sz="2" w:space="0" w:color="CBD5E1"/>
              <w:left w:val="single" w:sz="2" w:space="0" w:color="CBD5E1"/>
              <w:bottom w:val="single" w:sz="2" w:space="0" w:color="CBD5E1"/>
              <w:right w:val="single" w:sz="2" w:space="0" w:color="CBD5E1"/>
            </w:tcBorders>
            <w:shd w:fill="F1F5F9" w:val="clear"/>
            <w:tcMar>
              <w:top w:w="90" w:type="dxa"/>
              <w:bottom w:w="90" w:type="dxa"/>
            </w:tcMar>
          </w:tcPr>
          <w:p>
            <w:pPr>
              <w:pStyle w:val="Normal"/>
              <w:widowControl w:val="false"/>
              <w:jc w:val="left"/>
              <w:rPr/>
            </w:pPr>
            <w:r>
              <w:rPr>
                <w:rFonts w:eastAsia="Arial" w:cs="Arial"/>
                <w:b w:val="false"/>
                <w:bCs w:val="false"/>
                <w:color w:val="1E293B"/>
                <w:sz w:val="19"/>
                <w:szCs w:val="19"/>
              </w:rPr>
              <w:t>Barrio Castillo Pedroso, 69 — 39699 Corvera de Toranzo, Cantabria</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bCs/>
                <w:color w:val="0B1F3A"/>
                <w:sz w:val="19"/>
                <w:szCs w:val="19"/>
              </w:rPr>
              <w:t>Organismo gestion marca</w:t>
            </w:r>
          </w:p>
        </w:tc>
        <w:tc>
          <w:tcPr>
            <w:tcW w:w="6560" w:type="dxa"/>
            <w:tcBorders>
              <w:top w:val="single" w:sz="2" w:space="0" w:color="CBD5E1"/>
              <w:left w:val="single" w:sz="2" w:space="0" w:color="CBD5E1"/>
              <w:bottom w:val="single" w:sz="2" w:space="0" w:color="CBD5E1"/>
              <w:right w:val="single" w:sz="2" w:space="0" w:color="CBD5E1"/>
            </w:tcBorders>
            <w:shd w:fill="FFFFFF" w:val="clear"/>
            <w:tcMar>
              <w:top w:w="90" w:type="dxa"/>
              <w:bottom w:w="90" w:type="dxa"/>
            </w:tcMar>
          </w:tcPr>
          <w:p>
            <w:pPr>
              <w:pStyle w:val="Normal"/>
              <w:widowControl w:val="false"/>
              <w:jc w:val="left"/>
              <w:rPr/>
            </w:pPr>
            <w:r>
              <w:rPr>
                <w:rFonts w:eastAsia="Arial" w:cs="Arial"/>
                <w:b w:val="false"/>
                <w:bCs w:val="false"/>
                <w:color w:val="1E293B"/>
                <w:sz w:val="19"/>
                <w:szCs w:val="19"/>
              </w:rPr>
              <w:t>Oficina Española de Patentes y Marcas — www.oepm.es</w:t>
            </w:r>
          </w:p>
        </w:tc>
      </w:tr>
    </w:tbl>
    <w:p>
      <w:pPr>
        <w:pStyle w:val="Normal"/>
        <w:spacing w:before="80" w:after="80"/>
        <w:rPr/>
      </w:pPr>
      <w:r>
        <w:rPr/>
      </w:r>
    </w:p>
    <w:p>
      <w:pPr>
        <w:pStyle w:val="Normal"/>
        <w:spacing w:before="480" w:after="200"/>
        <w:jc w:val="center"/>
        <w:rPr/>
      </w:pPr>
      <w:r>
        <w:rPr>
          <w:rFonts w:eastAsia="Arial" w:cs="Arial"/>
          <w:color w:val="475569"/>
          <w:sz w:val="17"/>
          <w:szCs w:val="17"/>
        </w:rPr>
        <w:t>TrabFlow Technologies SL  |  Memorandum Ejecutivo  |  Mayo 2026  |  CONFIDENCIAL  |  Documento elaborado para organismos de financiacion publica e inversores privados</w:t>
      </w:r>
    </w:p>
    <w:sectPr>
      <w:headerReference w:type="default" r:id="rId3"/>
      <w:footerReference w:type="default" r:id="rId4"/>
      <w:type w:val="nextPage"/>
      <w:pgSz w:w="11906" w:h="16838"/>
      <w:pgMar w:left="1080" w:right="1080" w:gutter="0" w:header="708" w:top="960" w:footer="708" w:bottom="96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Wingdings 3">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2" w:color="E2E8F0"/>
      </w:pBdr>
      <w:jc w:val="right"/>
      <w:rPr/>
    </w:pPr>
    <w:r>
      <w:rPr>
        <w:rFonts w:eastAsia="Arial" w:cs="Arial"/>
        <w:color w:val="475569"/>
        <w:sz w:val="16"/>
        <w:szCs w:val="16"/>
      </w:rPr>
      <w:t xml:space="preserve">TrabFlow Technologies SL  |  CIF pendiente  |  fercarboc@gmail.com  |  trabflow.es / trabflow.com  |  Pag.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2563A8"/>
      </w:pBdr>
      <w:rPr/>
    </w:pPr>
    <w:r>
      <w:rPr>
        <w:rFonts w:eastAsia="Arial" w:cs="Arial"/>
        <w:color w:val="2563A8"/>
        <w:sz w:val="17"/>
        <w:szCs w:val="17"/>
      </w:rPr>
      <w:t>TRABFLOW TECHNOLOGIES SL  |  Memorandum Ejecutivo  |  Confidencial</w:t>
    </w:r>
    <w:r>
      <w:rPr>
        <w:rFonts w:eastAsia="Arial" w:cs="Arial"/>
        <w:color w:val="475569"/>
        <w:sz w:val="17"/>
        <w:szCs w:val="17"/>
      </w:rPr>
      <w:t xml:space="preserve">   Mayo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Wingdings 3" w:hAnsi="Wingdings 3" w:cs="Wingdings 3" w:hint="default"/>
      </w:rPr>
    </w:lvl>
    <w:lvl w:ilvl="1">
      <w:start w:val="1"/>
      <w:numFmt w:val="bullet"/>
      <w:lvlText w:val=""/>
      <w:lvlJc w:val="left"/>
      <w:pPr>
        <w:tabs>
          <w:tab w:val="num" w:pos="0"/>
        </w:tabs>
        <w:ind w:left="960" w:hanging="30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600" w:hanging="300"/>
      </w:pPr>
      <w:rPr>
        <w:rFonts w:ascii="Wingdings 3" w:hAnsi="Wingdings 3" w:cs="Wingdings 3" w:hint="default"/>
      </w:rPr>
    </w:lvl>
    <w:lvl w:ilvl="1">
      <w:start w:val="1"/>
      <w:numFmt w:val="bullet"/>
      <w:lvlText w:val=""/>
      <w:lvlJc w:val="left"/>
      <w:pPr>
        <w:tabs>
          <w:tab w:val="num" w:pos="0"/>
        </w:tabs>
        <w:ind w:left="960" w:hanging="30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1"/>
      <w:szCs w:val="21"/>
      <w:lang w:val="es-ES" w:eastAsia="zh-CN" w:bidi="hi-IN"/>
    </w:rPr>
  </w:style>
  <w:style w:type="paragraph" w:styleId="Ttulo1">
    <w:name w:val="Heading 1"/>
    <w:basedOn w:val="Ttulo"/>
    <w:qFormat/>
    <w:pPr>
      <w:spacing w:before="480" w:after="200"/>
      <w:outlineLvl w:val="0"/>
    </w:pPr>
    <w:rPr>
      <w:rFonts w:ascii="Arial" w:hAnsi="Arial" w:eastAsia="Arial" w:cs="Arial"/>
      <w:b/>
      <w:bCs/>
      <w:color w:val="FFFFFF"/>
      <w:sz w:val="32"/>
      <w:szCs w:val="32"/>
    </w:rPr>
  </w:style>
  <w:style w:type="paragraph" w:styleId="Ttulo2">
    <w:name w:val="Heading 2"/>
    <w:basedOn w:val="Ttulo"/>
    <w:qFormat/>
    <w:pPr>
      <w:spacing w:before="320" w:after="140"/>
      <w:outlineLvl w:val="1"/>
    </w:pPr>
    <w:rPr>
      <w:rFonts w:ascii="Arial" w:hAnsi="Arial" w:eastAsia="Arial" w:cs="Arial"/>
      <w:b/>
      <w:bCs/>
      <w:color w:val="1A4B8C"/>
      <w:sz w:val="24"/>
      <w:szCs w:val="24"/>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1"/>
      <w:szCs w:val="21"/>
      <w:lang w:val="es-E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1"/>
      <w:szCs w:val="21"/>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TotalTime>
  <Application>LibreOffice/7.4.3.2$Windows_X86_64 LibreOffice_project/1048a8393ae2eeec98dff31b5c133c5f1d08b890</Application>
  <AppVersion>15.0000</AppVersion>
  <Pages>13</Pages>
  <Words>3265</Words>
  <Characters>19525</Characters>
  <CharactersWithSpaces>22463</CharactersWithSpaces>
  <Paragraphs>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2026-05-30T06:57:31Z</dcterms:created>
  <dc:creator>Un-named</dc:creator>
  <dc:description/>
  <dc:language>es-ES</dc:language>
  <cp:lastModifiedBy/>
  <dcterms:modified xsi:type="dcterms:W3CDTF">2026-05-30T11:45:31Z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