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b/>
          <w:bCs/>
          <w:color w:val="0F172A"/>
          <w:sz w:val="36"/>
          <w:szCs w:val="36"/>
        </w:rPr>
        <w:t>angel ameteo</w:t>
      </w:r>
    </w:p>
    <w:p>
      <w:pPr>
        <w:pStyle w:val="Normal"/>
        <w:spacing w:before="0" w:after="240"/>
        <w:rPr/>
      </w:pPr>
      <w:r>
        <w:rPr>
          <w:color w:val="475569"/>
          <w:sz w:val="18"/>
          <w:szCs w:val="18"/>
        </w:rPr>
        <w:t>NIF: B-87654321  ·  Granadilla,45-2A, Majadahonda , 28220  ·  legal@inmostay.com  ·  Tel: 672336572</w:t>
      </w:r>
    </w:p>
    <w:p>
      <w:pPr>
        <w:pStyle w:val="Normal"/>
        <w:spacing w:before="0" w:after="80"/>
        <w:rPr/>
      </w:pPr>
      <w:r>
        <w:rPr>
          <w:b/>
          <w:bCs/>
          <w:color w:val="2563EB"/>
          <w:sz w:val="28"/>
          <w:szCs w:val="28"/>
        </w:rPr>
        <w:t xml:space="preserve">PRESUPUESTO  </w:t>
      </w:r>
      <w:r>
        <w:rPr>
          <w:rFonts w:eastAsia="Courier New" w:cs="Courier New" w:ascii="Courier New" w:hAnsi="Courier New"/>
          <w:b/>
          <w:bCs/>
          <w:color w:val="0F172A"/>
          <w:sz w:val="36"/>
          <w:szCs w:val="36"/>
        </w:rPr>
        <w:t>PRE-2026-032</w:t>
      </w:r>
    </w:p>
    <w:p>
      <w:pPr>
        <w:pStyle w:val="Normal"/>
        <w:spacing w:before="0" w:after="280"/>
        <w:rPr/>
      </w:pPr>
      <w:r>
        <w:rPr>
          <w:color w:val="475569"/>
          <w:sz w:val="19"/>
          <w:szCs w:val="19"/>
        </w:rPr>
        <w:t>Fecha: 2026-06-14   Estado: Borrador</w:t>
      </w:r>
    </w:p>
    <w:p>
      <w:pPr>
        <w:pStyle w:val="Normal"/>
        <w:pBdr>
          <w:bottom w:val="single" w:sz="6" w:space="0" w:color="E2E8F0"/>
        </w:pBdr>
        <w:spacing w:before="0" w:after="20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052"/>
        <w:gridCol w:w="5053"/>
      </w:tblGrid>
      <w:tr>
        <w:trPr/>
        <w:tc>
          <w:tcPr>
            <w:tcW w:w="5052" w:type="dxa"/>
            <w:tcBorders/>
            <w:shd w:color="F8FAFC" w:fill="F8FAFC" w:val="solid"/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b/>
                <w:bCs/>
                <w:caps/>
                <w:color w:val="94A3B8"/>
                <w:sz w:val="16"/>
                <w:szCs w:val="16"/>
              </w:rPr>
              <w:t>EMISOR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color w:val="0F172A"/>
                <w:sz w:val="19"/>
                <w:szCs w:val="19"/>
              </w:rPr>
              <w:t>angel ameteo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color w:val="0F172A"/>
                <w:sz w:val="19"/>
                <w:szCs w:val="19"/>
              </w:rPr>
              <w:t>NIF: B-87654321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color w:val="0F172A"/>
                <w:sz w:val="19"/>
                <w:szCs w:val="19"/>
              </w:rPr>
              <w:t>Granadilla,45-2A, Majadahonda , 28220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color w:val="0F172A"/>
                <w:sz w:val="19"/>
                <w:szCs w:val="19"/>
              </w:rPr>
              <w:t>legal@inmostay.com  ·  Tel: 672336572</w:t>
            </w:r>
          </w:p>
        </w:tc>
        <w:tc>
          <w:tcPr>
            <w:tcW w:w="5053" w:type="dxa"/>
            <w:tcBorders/>
            <w:shd w:color="F8FAFC" w:fill="F8FAFC" w:val="solid"/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b/>
                <w:bCs/>
                <w:caps/>
                <w:color w:val="94A3B8"/>
                <w:sz w:val="16"/>
                <w:szCs w:val="16"/>
              </w:rPr>
              <w:t>CLIENTE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color w:val="0F172A"/>
                <w:sz w:val="19"/>
                <w:szCs w:val="19"/>
              </w:rPr>
              <w:t>Antonio 690288707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color w:val="0F172A"/>
                <w:sz w:val="19"/>
                <w:szCs w:val="19"/>
              </w:rPr>
              <w:t>fercarboc@gmail.com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color w:val="0F172A"/>
                <w:sz w:val="19"/>
                <w:szCs w:val="19"/>
              </w:rPr>
              <w:t>Tel: 690288707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526"/>
        <w:gridCol w:w="2526"/>
        <w:gridCol w:w="2527"/>
        <w:gridCol w:w="2526"/>
      </w:tblGrid>
      <w:tr>
        <w:trPr>
          <w:tblHeader w:val="true"/>
        </w:trPr>
        <w:tc>
          <w:tcPr>
            <w:tcW w:w="2526" w:type="dxa"/>
            <w:tcBorders/>
            <w:shd w:color="2563EB" w:fill="2563EB" w:val="solid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2526" w:type="dxa"/>
            <w:tcBorders/>
            <w:shd w:color="2563EB" w:fill="2563EB" w:val="solid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>Cant.</w:t>
            </w:r>
          </w:p>
        </w:tc>
        <w:tc>
          <w:tcPr>
            <w:tcW w:w="2527" w:type="dxa"/>
            <w:tcBorders/>
            <w:shd w:color="2563EB" w:fill="2563EB" w:val="solid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>Precio unit.</w:t>
            </w:r>
          </w:p>
        </w:tc>
        <w:tc>
          <w:tcPr>
            <w:tcW w:w="2526" w:type="dxa"/>
            <w:tcBorders/>
            <w:shd w:color="2563EB" w:fill="2563EB" w:val="solid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>Subtotal</w:t>
            </w:r>
          </w:p>
        </w:tc>
      </w:tr>
      <w:tr>
        <w:trPr/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Demolición y preparación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2</w:t>
            </w:r>
          </w:p>
        </w:tc>
        <w:tc>
          <w:tcPr>
            <w:tcW w:w="2527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18.00 €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/>
                <w:bCs/>
                <w:color w:val="0F172A"/>
                <w:sz w:val="18"/>
                <w:szCs w:val="18"/>
              </w:rPr>
              <w:t>36.00 €</w:t>
            </w:r>
          </w:p>
        </w:tc>
      </w:tr>
      <w:tr>
        <w:trPr/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Alicatado de paredes y suelo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1</w:t>
            </w:r>
          </w:p>
        </w:tc>
        <w:tc>
          <w:tcPr>
            <w:tcW w:w="2527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3200.00 €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/>
                <w:bCs/>
                <w:color w:val="0F172A"/>
                <w:sz w:val="18"/>
                <w:szCs w:val="18"/>
              </w:rPr>
              <w:t>3200.00 €</w:t>
            </w:r>
          </w:p>
        </w:tc>
      </w:tr>
      <w:tr>
        <w:trPr/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Suministro de materiales (cerámica/azulejo)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9</w:t>
            </w:r>
          </w:p>
        </w:tc>
        <w:tc>
          <w:tcPr>
            <w:tcW w:w="2527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0.00 €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/>
                <w:bCs/>
                <w:color w:val="0F172A"/>
                <w:sz w:val="18"/>
                <w:szCs w:val="18"/>
              </w:rPr>
              <w:t>0.00 €</w:t>
            </w:r>
          </w:p>
        </w:tc>
      </w:tr>
      <w:tr>
        <w:trPr/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Instalación de inodoro, lavabo y bañera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3</w:t>
            </w:r>
          </w:p>
        </w:tc>
        <w:tc>
          <w:tcPr>
            <w:tcW w:w="2527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45.00 €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/>
                <w:bCs/>
                <w:color w:val="0F172A"/>
                <w:sz w:val="18"/>
                <w:szCs w:val="18"/>
              </w:rPr>
              <w:t>135.00 €</w:t>
            </w:r>
          </w:p>
        </w:tc>
      </w:tr>
      <w:tr>
        <w:trPr/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Suministro de sanitarios (inodoro, lavabo, bañera)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3</w:t>
            </w:r>
          </w:p>
        </w:tc>
        <w:tc>
          <w:tcPr>
            <w:tcW w:w="2527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0.00 €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/>
                <w:bCs/>
                <w:color w:val="0F172A"/>
                <w:sz w:val="18"/>
                <w:szCs w:val="18"/>
              </w:rPr>
              <w:t>0.00 €</w:t>
            </w:r>
          </w:p>
        </w:tc>
      </w:tr>
      <w:tr>
        <w:trPr/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Instalación de grifería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1</w:t>
            </w:r>
          </w:p>
        </w:tc>
        <w:tc>
          <w:tcPr>
            <w:tcW w:w="2527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680.00 €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/>
                <w:bCs/>
                <w:color w:val="0F172A"/>
                <w:sz w:val="18"/>
                <w:szCs w:val="18"/>
              </w:rPr>
              <w:t>680.00 €</w:t>
            </w:r>
          </w:p>
        </w:tc>
      </w:tr>
      <w:tr>
        <w:trPr/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Suministro de grifería y accesorios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1</w:t>
            </w:r>
          </w:p>
        </w:tc>
        <w:tc>
          <w:tcPr>
            <w:tcW w:w="2527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0.00 €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/>
                <w:bCs/>
                <w:color w:val="0F172A"/>
                <w:sz w:val="18"/>
                <w:szCs w:val="18"/>
              </w:rPr>
              <w:t>0.00 €</w:t>
            </w:r>
          </w:p>
        </w:tc>
      </w:tr>
      <w:tr>
        <w:trPr/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Instalación eléctrica (iluminación y ventilación)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1</w:t>
            </w:r>
          </w:p>
        </w:tc>
        <w:tc>
          <w:tcPr>
            <w:tcW w:w="2527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680.00 €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/>
                <w:bCs/>
                <w:color w:val="0F172A"/>
                <w:sz w:val="18"/>
                <w:szCs w:val="18"/>
              </w:rPr>
              <w:t>680.00 €</w:t>
            </w:r>
          </w:p>
        </w:tc>
      </w:tr>
      <w:tr>
        <w:trPr/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Suministro de 4 mosquiteras para ventanas (1,50 × 1,00 m) (Manual)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1</w:t>
            </w:r>
          </w:p>
        </w:tc>
        <w:tc>
          <w:tcPr>
            <w:tcW w:w="2527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64.40 €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/>
                <w:bCs/>
                <w:color w:val="0F172A"/>
                <w:sz w:val="18"/>
                <w:szCs w:val="18"/>
              </w:rPr>
              <w:t>64.40 €</w:t>
            </w:r>
          </w:p>
        </w:tc>
      </w:tr>
      <w:tr>
        <w:trPr/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Pintura de paredes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20</w:t>
            </w:r>
          </w:p>
        </w:tc>
        <w:tc>
          <w:tcPr>
            <w:tcW w:w="2527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7.50 €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/>
                <w:bCs/>
                <w:color w:val="0F172A"/>
                <w:sz w:val="18"/>
                <w:szCs w:val="18"/>
              </w:rPr>
              <w:t>150.00 €</w:t>
            </w:r>
          </w:p>
        </w:tc>
      </w:tr>
      <w:tr>
        <w:trPr/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Suministro de pintura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5</w:t>
            </w:r>
          </w:p>
        </w:tc>
        <w:tc>
          <w:tcPr>
            <w:tcW w:w="2527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0.00 €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FFFFF" w:fill="FFFFFF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/>
                <w:bCs/>
                <w:color w:val="0F172A"/>
                <w:sz w:val="18"/>
                <w:szCs w:val="18"/>
              </w:rPr>
              <w:t>0.00 €</w:t>
            </w:r>
          </w:p>
        </w:tc>
      </w:tr>
      <w:tr>
        <w:trPr/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Retirada y gestión de residuos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1</w:t>
            </w:r>
          </w:p>
        </w:tc>
        <w:tc>
          <w:tcPr>
            <w:tcW w:w="2527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>22.00 €</w:t>
            </w:r>
          </w:p>
        </w:tc>
        <w:tc>
          <w:tcPr>
            <w:tcW w:w="2526" w:type="dxa"/>
            <w:tcBorders>
              <w:bottom w:val="single" w:sz="4" w:space="0" w:color="F1F5F9"/>
            </w:tcBorders>
            <w:shd w:color="F8FAFC" w:fill="F8FAFC" w:val="solid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/>
                <w:bCs/>
                <w:color w:val="0F172A"/>
                <w:sz w:val="18"/>
                <w:szCs w:val="18"/>
              </w:rPr>
              <w:t>22.00 €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2"/>
        <w:gridCol w:w="5053"/>
      </w:tblGrid>
      <w:tr>
        <w:trPr/>
        <w:tc>
          <w:tcPr>
            <w:tcW w:w="505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053" w:type="dxa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80" w:type="dxa"/>
                <w:bottom w:w="0" w:type="dxa"/>
                <w:right w:w="40" w:type="dxa"/>
              </w:tblCellMar>
            </w:tblPr>
            <w:tblGrid>
              <w:gridCol w:w="2418"/>
              <w:gridCol w:w="2419"/>
            </w:tblGrid>
            <w:tr>
              <w:trPr/>
              <w:tc>
                <w:tcPr>
                  <w:tcW w:w="2418" w:type="dxa"/>
                  <w:tcBorders/>
                  <w:shd w:color="FFFFFF" w:fill="FFFFFF" w:val="solid"/>
                </w:tcPr>
                <w:p>
                  <w:pPr>
                    <w:pStyle w:val="Normal"/>
                    <w:widowControl w:val="false"/>
                    <w:spacing w:before="60" w:after="60"/>
                    <w:rPr/>
                  </w:pPr>
                  <w:r>
                    <w:rPr>
                      <w:b w:val="false"/>
                      <w:bCs w:val="false"/>
                      <w:color w:val="475569"/>
                      <w:sz w:val="19"/>
                      <w:szCs w:val="19"/>
                    </w:rPr>
                    <w:t>Base imponible</w:t>
                  </w:r>
                </w:p>
              </w:tc>
              <w:tc>
                <w:tcPr>
                  <w:tcW w:w="2419" w:type="dxa"/>
                  <w:tcBorders/>
                  <w:shd w:color="FFFFFF" w:fill="FFFFFF" w:val="solid"/>
                  <w:tcMar>
                    <w:left w:w="40" w:type="dxa"/>
                    <w:right w:w="80" w:type="dxa"/>
                  </w:tcMar>
                </w:tcPr>
                <w:p>
                  <w:pPr>
                    <w:pStyle w:val="Normal"/>
                    <w:widowControl w:val="false"/>
                    <w:spacing w:before="60" w:after="60"/>
                    <w:jc w:val="right"/>
                    <w:rPr/>
                  </w:pPr>
                  <w:r>
                    <w:rPr>
                      <w:b w:val="false"/>
                      <w:bCs w:val="false"/>
                      <w:color w:val="475569"/>
                      <w:sz w:val="19"/>
                      <w:szCs w:val="19"/>
                    </w:rPr>
                    <w:t>4967.40 €</w:t>
                  </w:r>
                </w:p>
              </w:tc>
            </w:tr>
            <w:tr>
              <w:trPr/>
              <w:tc>
                <w:tcPr>
                  <w:tcW w:w="2418" w:type="dxa"/>
                  <w:tcBorders/>
                  <w:shd w:color="FFFFFF" w:fill="FFFFFF" w:val="solid"/>
                </w:tcPr>
                <w:p>
                  <w:pPr>
                    <w:pStyle w:val="Normal"/>
                    <w:widowControl w:val="false"/>
                    <w:spacing w:before="60" w:after="60"/>
                    <w:rPr/>
                  </w:pPr>
                  <w:r>
                    <w:rPr>
                      <w:b w:val="false"/>
                      <w:bCs w:val="false"/>
                      <w:color w:val="475569"/>
                      <w:sz w:val="19"/>
                      <w:szCs w:val="19"/>
                    </w:rPr>
                    <w:t>IVA 21%</w:t>
                  </w:r>
                </w:p>
              </w:tc>
              <w:tc>
                <w:tcPr>
                  <w:tcW w:w="2419" w:type="dxa"/>
                  <w:tcBorders/>
                  <w:shd w:color="FFFFFF" w:fill="FFFFFF" w:val="solid"/>
                  <w:tcMar>
                    <w:left w:w="40" w:type="dxa"/>
                    <w:right w:w="80" w:type="dxa"/>
                  </w:tcMar>
                </w:tcPr>
                <w:p>
                  <w:pPr>
                    <w:pStyle w:val="Normal"/>
                    <w:widowControl w:val="false"/>
                    <w:spacing w:before="60" w:after="60"/>
                    <w:jc w:val="right"/>
                    <w:rPr/>
                  </w:pPr>
                  <w:r>
                    <w:rPr>
                      <w:b w:val="false"/>
                      <w:bCs w:val="false"/>
                      <w:color w:val="475569"/>
                      <w:sz w:val="19"/>
                      <w:szCs w:val="19"/>
                    </w:rPr>
                    <w:t>1043.15 €</w:t>
                  </w:r>
                </w:p>
              </w:tc>
            </w:tr>
            <w:tr>
              <w:trPr/>
              <w:tc>
                <w:tcPr>
                  <w:tcW w:w="2418" w:type="dxa"/>
                  <w:tcBorders/>
                  <w:shd w:color="EFF6FF" w:fill="EFF6FF" w:val="solid"/>
                </w:tcPr>
                <w:p>
                  <w:pPr>
                    <w:pStyle w:val="Normal"/>
                    <w:widowControl w:val="false"/>
                    <w:spacing w:before="60" w:after="60"/>
                    <w:rPr/>
                  </w:pPr>
                  <w:r>
                    <w:rPr>
                      <w:b/>
                      <w:bCs/>
                      <w:color w:val="0F172A"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2419" w:type="dxa"/>
                  <w:tcBorders/>
                  <w:shd w:color="EFF6FF" w:fill="EFF6FF" w:val="solid"/>
                  <w:tcMar>
                    <w:left w:w="40" w:type="dxa"/>
                    <w:right w:w="80" w:type="dxa"/>
                  </w:tcMar>
                </w:tcPr>
                <w:p>
                  <w:pPr>
                    <w:pStyle w:val="Normal"/>
                    <w:widowControl w:val="false"/>
                    <w:spacing w:before="60" w:after="60"/>
                    <w:jc w:val="right"/>
                    <w:rPr/>
                  </w:pPr>
                  <w:r>
                    <w:rPr>
                      <w:b/>
                      <w:bCs/>
                      <w:color w:val="2563EB"/>
                      <w:sz w:val="24"/>
                      <w:szCs w:val="24"/>
                    </w:rPr>
                    <w:t>6010.55 €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top w:val="single" w:sz="4" w:space="0" w:color="E2E8F0"/>
        </w:pBdr>
        <w:spacing w:before="200" w:after="0"/>
        <w:jc w:val="center"/>
        <w:rPr/>
      </w:pPr>
      <w:r>
        <w:rPr>
          <w:color w:val="94A3B8"/>
          <w:sz w:val="16"/>
          <w:szCs w:val="16"/>
        </w:rPr>
        <w:t>Generado con TradeFlow AI · angel ameteo</w:t>
      </w:r>
    </w:p>
    <w:sectPr>
      <w:type w:val="nextPage"/>
      <w:pgSz w:w="11906" w:h="16838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1</Pages>
  <Words>181</Words>
  <Characters>953</Characters>
  <CharactersWithSpaces>1073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2026-06-14T09:52:18Z</dcterms:created>
  <dc:creator>Un-named</dc:creator>
  <dc:description/>
  <dc:language>es-ES</dc:language>
  <cp:lastModifiedBy>Un-named</cp:lastModifiedBy>
  <dcterms:modified xsi:type="dcterms:W3CDTF">2026-06-14T09:52:18Z</dcterms:modified>
  <cp:revision>1</cp:revision>
  <dc:subject/>
  <dc:title/>
</cp:coreProperties>
</file>