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TrabFlow Technologies</w:t>
      </w:r>
    </w:p>
    <w:p>
      <w:pPr>
        <w:spacing w:after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Módulo: Central de Compras Digital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C2535"/>
          <w:sz w:val="52"/>
          <w:szCs w:val="52"/>
        </w:rPr>
        <w:t xml:space="preserve">Motor de Catálogos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5A96"/>
          <w:sz w:val="52"/>
          <w:szCs w:val="52"/>
        </w:rPr>
        <w:t xml:space="preserve">de Proveedores</w:t>
      </w:r>
    </w:p>
    <w:p>
      <w:pPr>
        <w:spacing w:after="30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Análisis de Implementación · Fase 1 de 3</w:t>
      </w:r>
    </w:p>
    <w:p>
      <w:pPr>
        <w:pBdr>
          <w:left w:val="thick" w:color="1A5A96" w:sz="12"/>
        </w:pBdr>
        <w:shd w:fill="E6F1FB" w:color="E6F1FB" w:val="clear"/>
        <w:spacing w:after="100" w:before="100"/>
        <w:ind w:left="180" w:right="180"/>
      </w:pPr>
      <w:r>
        <w:rPr>
          <w:rFonts w:ascii="Arial" w:cs="Arial" w:eastAsia="Arial" w:hAnsi="Arial"/>
          <w:i/>
          <w:iCs/>
          <w:color w:val="0C447C"/>
          <w:sz w:val="20"/>
          <w:szCs w:val="20"/>
        </w:rPr>
        <w:t xml:space="preserve">Versión 1.0 · Junio 2026 · Documento preparado para negociación con OBRAMAT, Saltoki, Sonepar y asociaciones CONAIF/FENIE</w:t>
      </w:r>
    </w:p>
    <w:p>
      <w:pPr>
        <w:spacing w:after="120"/>
      </w:pPr>
      <w:r>
        <w:t xml:space="preserve"/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5A96" w:color="1A5A96" w:val="clear"/>
        </w:rPr>
        <w:t xml:space="preserve"> 01 </w:t>
      </w:r>
      <w:r>
        <w:t xml:space="preserve">  </w:t>
      </w:r>
      <w:r>
        <w:rPr>
          <w:rFonts w:ascii="Arial" w:cs="Arial" w:eastAsia="Arial" w:hAnsi="Arial"/>
          <w:b/>
          <w:bCs/>
          <w:color w:val="1A5A96"/>
          <w:sz w:val="26"/>
          <w:szCs w:val="26"/>
        </w:rPr>
        <w:t xml:space="preserve">Contexto y problema actual</w:t>
      </w:r>
    </w:p>
    <w:p>
      <w:pPr>
        <w:spacing w:after="10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TrabFlow genera presupuestos con IA a partir de voz o texto del instalador. La IA detecta la actuación, recupera la plantilla de materiales y calcula cantidades exactas. Sin embargo, los precios de materiales son actualmente estimados — no reflejan precios reales de compra ni aprovechan acuerdos comerciales con distribuidores.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Esto limita la precisión del presupuesto y deja fuera de la plataforma una oportunidad de negocio enorme: conectar la demanda cualificada del instalador con la oferta del proveedor en el momento exacto de la compra.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2535"/>
          <w:sz w:val="22"/>
          <w:szCs w:val="22"/>
        </w:rPr>
        <w:t xml:space="preserve">Flujo actual</w:t>
      </w:r>
    </w:p>
    <w:p>
      <w:pPr>
        <w:spacing w:after="10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Input instalador → Base maestra (actuaciones) → Materiales (precios estimados) → Presupuesto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2535"/>
          <w:sz w:val="22"/>
          <w:szCs w:val="22"/>
        </w:rPr>
        <w:t xml:space="preserve">Nuevo flujo con motor de catálogos</w:t>
      </w:r>
    </w:p>
    <w:p>
      <w:pPr>
        <w:spacing w:after="10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Input instalador → Base maestra → Materiales (cantidades exactas) → Motor de catálogos (búsqueda paralela) → Comparador instalador → Presupuesto final con precios reales</w:t>
      </w:r>
    </w:p>
    <w:p>
      <w:pPr>
        <w:spacing w:after="120"/>
      </w:pPr>
      <w:r>
        <w:t xml:space="preserve"/>
      </w:r>
    </w:p>
    <w:p>
      <w:pPr>
        <w:pBdr>
          <w:left w:val="thick" w:color="0F6E56" w:sz="12"/>
        </w:pBdr>
        <w:shd w:fill="E1F5EE" w:color="E1F5EE" w:val="clear"/>
        <w:spacing w:after="100" w:before="100"/>
        <w:ind w:left="180" w:right="180"/>
      </w:pPr>
      <w:r>
        <w:rPr>
          <w:rFonts w:ascii="Arial" w:cs="Arial" w:eastAsia="Arial" w:hAnsi="Arial"/>
          <w:color w:val="085041"/>
          <w:sz w:val="20"/>
          <w:szCs w:val="20"/>
        </w:rPr>
        <w:t xml:space="preserve">Principio arquitectónico clave: la IA detecta el material y sus cantidades. El motor de catálogos recupera coincidencias en paralelo de todos los proveedores activos. El instalador decide qué precio usar. La plataforma no impone ningún proveedor.</w:t>
      </w:r>
    </w:p>
    <w:p>
      <w:pPr>
        <w:spacing w:after="120"/>
      </w:pPr>
      <w:r>
        <w:t xml:space="preserve"/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5A96" w:color="1A5A96" w:val="clear"/>
        </w:rPr>
        <w:t xml:space="preserve"> 02 </w:t>
      </w:r>
      <w:r>
        <w:t xml:space="preserve">  </w:t>
      </w:r>
      <w:r>
        <w:rPr>
          <w:rFonts w:ascii="Arial" w:cs="Arial" w:eastAsia="Arial" w:hAnsi="Arial"/>
          <w:b/>
          <w:bCs/>
          <w:color w:val="1A5A96"/>
          <w:sz w:val="26"/>
          <w:szCs w:val="26"/>
        </w:rPr>
        <w:t xml:space="preserve">Concepto: Central de Compras Digital TrabFlow</w:t>
      </w:r>
    </w:p>
    <w:p>
      <w:pPr>
        <w:spacing w:after="10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El módulo no debe diseñarse para un solo proveedor. Debe construirse como una capa de integración de catálogos extensible que en esta primera fase muestre productos y precios, y en fases posteriores permita compra directa.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C2535"/>
          <w:sz w:val="20"/>
          <w:szCs w:val="20"/>
        </w:rPr>
        <w:t xml:space="preserve">Proveedores de la Fase 1: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OBRAMAT — catálogo general de obras (ya disponible en PDF)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Saltoki — fontanería y climatización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Sonepar — material eléctrico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Novelec / Rexel / Electro Stocks — electricidad y automatización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Ariston / Baxi / Vaillant / Junkers — calefacción y ACS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Catálogo propio del instalador — carga vía Excel, máxima prioridad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C2535"/>
          <w:sz w:val="20"/>
          <w:szCs w:val="20"/>
        </w:rPr>
        <w:t xml:space="preserve">Lógica de prioridad de búsqueda: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1.º Catálogo propio del instalador (si existe el producto)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2.º Proveedor preferido configurado por el instalador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3.º Resto de proveedores activos (todos los resultados disponibles)</w:t>
      </w:r>
    </w:p>
    <w:p>
      <w:pPr>
        <w:spacing w:after="120"/>
      </w:pPr>
      <w:r>
        <w:t xml:space="preserve"/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5A96" w:color="1A5A96" w:val="clear"/>
        </w:rPr>
        <w:t xml:space="preserve"> 03 </w:t>
      </w:r>
      <w:r>
        <w:t xml:space="preserve">  </w:t>
      </w:r>
      <w:r>
        <w:rPr>
          <w:rFonts w:ascii="Arial" w:cs="Arial" w:eastAsia="Arial" w:hAnsi="Arial"/>
          <w:b/>
          <w:bCs/>
          <w:color w:val="1A5A96"/>
          <w:sz w:val="26"/>
          <w:szCs w:val="26"/>
        </w:rPr>
        <w:t xml:space="preserve">Esquema de base de datos — tablas nuevas</w:t>
      </w:r>
    </w:p>
    <w:p>
      <w:pPr>
        <w:spacing w:after="10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Se añaden 4 tablas nuevas a la arquitectura Supabase existente. Todas con RLS completo y migración versionada.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2535"/>
          <w:sz w:val="22"/>
          <w:szCs w:val="22"/>
        </w:rPr>
        <w:t xml:space="preserve">trade_supplier_catalogs — Catálogos disponibles en la plataforma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2200"/>
            <w:shd w:fill="1A5A96" w:color="1A5A9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shd w:fill="1A5A96" w:color="1A5A9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626"/>
            <w:shd w:fill="1A5A96" w:color="1A5A9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uuid PK</w:t>
            </w:r>
          </w:p>
        </w:tc>
        <w:tc>
          <w:tcPr>
            <w:tcW w:type="dxa" w:w="46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Identificador único</w:t>
            </w:r>
          </w:p>
        </w:tc>
      </w:tr>
      <w:tr>
        <w:trPr>
          <w:cantSplit/>
        </w:trPr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org_id</w:t>
            </w:r>
          </w:p>
        </w:tc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uuid FK nullable</w:t>
            </w:r>
          </w:p>
        </w:tc>
        <w:tc>
          <w:tcPr>
            <w:tcW w:type="dxa" w:w="4626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NULL = catálogo global de TrabFlow; uuid = catálogo propio de org</w:t>
            </w:r>
          </w:p>
        </w:tc>
      </w:tr>
      <w:tr>
        <w:trPr>
          <w:cantSplit/>
        </w:trPr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supplier_key</w:t>
            </w:r>
          </w:p>
        </w:tc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text</w:t>
            </w:r>
          </w:p>
        </w:tc>
        <w:tc>
          <w:tcPr>
            <w:tcW w:type="dxa" w:w="46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obramat | saltoki | sonepar | propio | ...</w:t>
            </w:r>
          </w:p>
        </w:tc>
      </w:tr>
      <w:tr>
        <w:trPr>
          <w:cantSplit/>
        </w:trPr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supplier_name</w:t>
            </w:r>
          </w:p>
        </w:tc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text</w:t>
            </w:r>
          </w:p>
        </w:tc>
        <w:tc>
          <w:tcPr>
            <w:tcW w:type="dxa" w:w="4626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Nombre visible: "OBRAMAT", "Saltoki"...</w:t>
            </w:r>
          </w:p>
        </w:tc>
      </w:tr>
      <w:tr>
        <w:trPr>
          <w:cantSplit/>
        </w:trPr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logo_url</w:t>
            </w:r>
          </w:p>
        </w:tc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text</w:t>
            </w:r>
          </w:p>
        </w:tc>
        <w:tc>
          <w:tcPr>
            <w:tcW w:type="dxa" w:w="46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URL del logo del proveedor para mostrar en UI</w:t>
            </w:r>
          </w:p>
        </w:tc>
      </w:tr>
      <w:tr>
        <w:trPr>
          <w:cantSplit/>
        </w:trPr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is_active</w:t>
            </w:r>
          </w:p>
        </w:tc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boolean</w:t>
            </w:r>
          </w:p>
        </w:tc>
        <w:tc>
          <w:tcPr>
            <w:tcW w:type="dxa" w:w="4626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Visible en la plataforma (false hasta acuerdo firmado)</w:t>
            </w:r>
          </w:p>
        </w:tc>
      </w:tr>
      <w:tr>
        <w:trPr>
          <w:cantSplit/>
        </w:trPr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margen_pct_default</w:t>
            </w:r>
          </w:p>
        </w:tc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numeric</w:t>
            </w:r>
          </w:p>
        </w:tc>
        <w:tc>
          <w:tcPr>
            <w:tcW w:type="dxa" w:w="46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Margen por defecto si el instalador no configura uno propio</w:t>
            </w:r>
          </w:p>
        </w:tc>
      </w:tr>
      <w:tr>
        <w:trPr>
          <w:cantSplit/>
        </w:trPr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prioridad</w:t>
            </w:r>
          </w:p>
        </w:tc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int</w:t>
            </w:r>
          </w:p>
        </w:tc>
        <w:tc>
          <w:tcPr>
            <w:tcW w:type="dxa" w:w="4626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Orden de aparición en el comparador</w:t>
            </w:r>
          </w:p>
        </w:tc>
      </w:tr>
      <w:tr>
        <w:trPr>
          <w:cantSplit/>
        </w:trPr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is_custom</w:t>
            </w:r>
          </w:p>
        </w:tc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boolean</w:t>
            </w:r>
          </w:p>
        </w:tc>
        <w:tc>
          <w:tcPr>
            <w:tcW w:type="dxa" w:w="46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true = catálogo propio del instalador cargado por él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2535"/>
          <w:sz w:val="22"/>
          <w:szCs w:val="22"/>
        </w:rPr>
        <w:t xml:space="preserve">trade_supplier_products — Productos de cada catálogo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2200"/>
            <w:shd w:fill="1A5A96" w:color="1A5A9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shd w:fill="1A5A96" w:color="1A5A9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626"/>
            <w:shd w:fill="1A5A96" w:color="1A5A9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uuid PK</w:t>
            </w:r>
          </w:p>
        </w:tc>
        <w:tc>
          <w:tcPr>
            <w:tcW w:type="dxa" w:w="46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catalog_id</w:t>
            </w:r>
          </w:p>
        </w:tc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uuid FK</w:t>
            </w:r>
          </w:p>
        </w:tc>
        <w:tc>
          <w:tcPr>
            <w:tcW w:type="dxa" w:w="4626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Referencia a trade_supplier_catalogs</w:t>
            </w:r>
          </w:p>
        </w:tc>
      </w:tr>
      <w:tr>
        <w:trPr>
          <w:cantSplit/>
        </w:trPr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ref_proveedor</w:t>
            </w:r>
          </w:p>
        </w:tc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text</w:t>
            </w:r>
          </w:p>
        </w:tc>
        <w:tc>
          <w:tcPr>
            <w:tcW w:type="dxa" w:w="46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Código SKU del proveedor</w:t>
            </w:r>
          </w:p>
        </w:tc>
      </w:tr>
      <w:tr>
        <w:trPr>
          <w:cantSplit/>
        </w:trPr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descripcion</w:t>
            </w:r>
          </w:p>
        </w:tc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text</w:t>
            </w:r>
          </w:p>
        </w:tc>
        <w:tc>
          <w:tcPr>
            <w:tcW w:type="dxa" w:w="4626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Descripción del producto</w:t>
            </w:r>
          </w:p>
        </w:tc>
      </w:tr>
      <w:tr>
        <w:trPr>
          <w:cantSplit/>
        </w:trPr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marca</w:t>
            </w:r>
          </w:p>
        </w:tc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text</w:t>
            </w:r>
          </w:p>
        </w:tc>
        <w:tc>
          <w:tcPr>
            <w:tcW w:type="dxa" w:w="46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Marca (Roca, Hansgrohe, Legrand...)</w:t>
            </w:r>
          </w:p>
        </w:tc>
      </w:tr>
      <w:tr>
        <w:trPr>
          <w:cantSplit/>
        </w:trPr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familia</w:t>
            </w:r>
          </w:p>
        </w:tc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text</w:t>
            </w:r>
          </w:p>
        </w:tc>
        <w:tc>
          <w:tcPr>
            <w:tcW w:type="dxa" w:w="4626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grifo | termo | cable | plato_ducha | ...</w:t>
            </w:r>
          </w:p>
        </w:tc>
      </w:tr>
      <w:tr>
        <w:trPr>
          <w:cantSplit/>
        </w:trPr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precio_coste</w:t>
            </w:r>
          </w:p>
        </w:tc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numeric</w:t>
            </w:r>
          </w:p>
        </w:tc>
        <w:tc>
          <w:tcPr>
            <w:tcW w:type="dxa" w:w="46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Precio de compra (sin IVA)</w:t>
            </w:r>
          </w:p>
        </w:tc>
      </w:tr>
      <w:tr>
        <w:trPr>
          <w:cantSplit/>
        </w:trPr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unidad</w:t>
            </w:r>
          </w:p>
        </w:tc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text</w:t>
            </w:r>
          </w:p>
        </w:tc>
        <w:tc>
          <w:tcPr>
            <w:tcW w:type="dxa" w:w="4626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ud | m | m2 | kg | ...</w:t>
            </w:r>
          </w:p>
        </w:tc>
      </w:tr>
      <w:tr>
        <w:trPr>
          <w:cantSplit/>
        </w:trPr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search_vector</w:t>
            </w:r>
          </w:p>
        </w:tc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tsvector</w:t>
            </w:r>
          </w:p>
        </w:tc>
        <w:tc>
          <w:tcPr>
            <w:tcW w:type="dxa" w:w="46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Índice full-text para búsqueda rápida en español</w:t>
            </w:r>
          </w:p>
        </w:tc>
      </w:tr>
      <w:tr>
        <w:trPr>
          <w:cantSplit/>
        </w:trPr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activo</w:t>
            </w:r>
          </w:p>
        </w:tc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boolean</w:t>
            </w:r>
          </w:p>
        </w:tc>
        <w:tc>
          <w:tcPr>
            <w:tcW w:type="dxa" w:w="4626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Producto disponible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2535"/>
          <w:sz w:val="22"/>
          <w:szCs w:val="22"/>
        </w:rPr>
        <w:t xml:space="preserve">trade_org_suppliers — Proveedores activos por organización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2200"/>
            <w:shd w:fill="1A5A96" w:color="1A5A9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shd w:fill="1A5A96" w:color="1A5A9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626"/>
            <w:shd w:fill="1A5A96" w:color="1A5A9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uuid PK</w:t>
            </w:r>
          </w:p>
        </w:tc>
        <w:tc>
          <w:tcPr>
            <w:tcW w:type="dxa" w:w="46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org_id</w:t>
            </w:r>
          </w:p>
        </w:tc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uuid FK</w:t>
            </w:r>
          </w:p>
        </w:tc>
        <w:tc>
          <w:tcPr>
            <w:tcW w:type="dxa" w:w="4626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Organización (instalador/empresa)</w:t>
            </w:r>
          </w:p>
        </w:tc>
      </w:tr>
      <w:tr>
        <w:trPr>
          <w:cantSplit/>
        </w:trPr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catalog_id</w:t>
            </w:r>
          </w:p>
        </w:tc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uuid FK</w:t>
            </w:r>
          </w:p>
        </w:tc>
        <w:tc>
          <w:tcPr>
            <w:tcW w:type="dxa" w:w="46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Proveedor activado</w:t>
            </w:r>
          </w:p>
        </w:tc>
      </w:tr>
      <w:tr>
        <w:trPr>
          <w:cantSplit/>
        </w:trPr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enabled</w:t>
            </w:r>
          </w:p>
        </w:tc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boolean</w:t>
            </w:r>
          </w:p>
        </w:tc>
        <w:tc>
          <w:tcPr>
            <w:tcW w:type="dxa" w:w="4626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El instalador tiene este proveedor activado en ajustes</w:t>
            </w:r>
          </w:p>
        </w:tc>
      </w:tr>
      <w:tr>
        <w:trPr>
          <w:cantSplit/>
        </w:trPr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margen_override</w:t>
            </w:r>
          </w:p>
        </w:tc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numeric nullable</w:t>
            </w:r>
          </w:p>
        </w:tc>
        <w:tc>
          <w:tcPr>
            <w:tcW w:type="dxa" w:w="46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Si null, usa margen_pct_default del catálogo</w:t>
            </w:r>
          </w:p>
        </w:tc>
      </w:tr>
      <w:tr>
        <w:trPr>
          <w:cantSplit/>
        </w:trPr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prioridad</w:t>
            </w:r>
          </w:p>
        </w:tc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int</w:t>
            </w:r>
          </w:p>
        </w:tc>
        <w:tc>
          <w:tcPr>
            <w:tcW w:type="dxa" w:w="4626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Orden personalizado por el instalador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2535"/>
          <w:sz w:val="22"/>
          <w:szCs w:val="22"/>
        </w:rPr>
        <w:t xml:space="preserve">trade_budget_catalog_lines — Selección de productos en presupuesto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2200"/>
            <w:shd w:fill="1A5A96" w:color="1A5A9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200"/>
            <w:shd w:fill="1A5A96" w:color="1A5A9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626"/>
            <w:shd w:fill="1A5A96" w:color="1A5A9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uuid PK</w:t>
            </w:r>
          </w:p>
        </w:tc>
        <w:tc>
          <w:tcPr>
            <w:tcW w:type="dxa" w:w="46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budget_id</w:t>
            </w:r>
          </w:p>
        </w:tc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uuid FK</w:t>
            </w:r>
          </w:p>
        </w:tc>
        <w:tc>
          <w:tcPr>
            <w:tcW w:type="dxa" w:w="4626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Presupuesto al que pertenece</w:t>
            </w:r>
          </w:p>
        </w:tc>
      </w:tr>
      <w:tr>
        <w:trPr>
          <w:cantSplit/>
        </w:trPr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product_id</w:t>
            </w:r>
          </w:p>
        </w:tc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uuid FK nullable</w:t>
            </w:r>
          </w:p>
        </w:tc>
        <w:tc>
          <w:tcPr>
            <w:tcW w:type="dxa" w:w="46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Producto seleccionado de trade_supplier_products</w:t>
            </w:r>
          </w:p>
        </w:tc>
      </w:tr>
      <w:tr>
        <w:trPr>
          <w:cantSplit/>
        </w:trPr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catalog_id</w:t>
            </w:r>
          </w:p>
        </w:tc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uuid FK</w:t>
            </w:r>
          </w:p>
        </w:tc>
        <w:tc>
          <w:tcPr>
            <w:tcW w:type="dxa" w:w="4626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Catálogo origen</w:t>
            </w:r>
          </w:p>
        </w:tc>
      </w:tr>
      <w:tr>
        <w:trPr>
          <w:cantSplit/>
        </w:trPr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descripcion_ia</w:t>
            </w:r>
          </w:p>
        </w:tc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text</w:t>
            </w:r>
          </w:p>
        </w:tc>
        <w:tc>
          <w:tcPr>
            <w:tcW w:type="dxa" w:w="46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Material tal como lo detectó la IA</w:t>
            </w:r>
          </w:p>
        </w:tc>
      </w:tr>
      <w:tr>
        <w:trPr>
          <w:cantSplit/>
        </w:trPr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cantidad</w:t>
            </w:r>
          </w:p>
        </w:tc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numeric</w:t>
            </w:r>
          </w:p>
        </w:tc>
        <w:tc>
          <w:tcPr>
            <w:tcW w:type="dxa" w:w="4626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Cantidad calculada por la IA</w:t>
            </w:r>
          </w:p>
        </w:tc>
      </w:tr>
      <w:tr>
        <w:trPr>
          <w:cantSplit/>
        </w:trPr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precio_coste</w:t>
            </w:r>
          </w:p>
        </w:tc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numeric</w:t>
            </w:r>
          </w:p>
        </w:tc>
        <w:tc>
          <w:tcPr>
            <w:tcW w:type="dxa" w:w="46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Precio de compra en el momento de selección</w:t>
            </w:r>
          </w:p>
        </w:tc>
      </w:tr>
      <w:tr>
        <w:trPr>
          <w:cantSplit/>
        </w:trPr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margen_pct</w:t>
            </w:r>
          </w:p>
        </w:tc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numeric</w:t>
            </w:r>
          </w:p>
        </w:tc>
        <w:tc>
          <w:tcPr>
            <w:tcW w:type="dxa" w:w="4626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Margen aplicado</w:t>
            </w:r>
          </w:p>
        </w:tc>
      </w:tr>
      <w:tr>
        <w:trPr>
          <w:cantSplit/>
        </w:trPr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precio_venta</w:t>
            </w:r>
          </w:p>
        </w:tc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numeric</w:t>
            </w:r>
          </w:p>
        </w:tc>
        <w:tc>
          <w:tcPr>
            <w:tcW w:type="dxa" w:w="46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Columna generada: precio_coste * (1 + margen_pct/100)</w:t>
            </w:r>
          </w:p>
        </w:tc>
      </w:tr>
      <w:tr>
        <w:trPr>
          <w:cantSplit/>
        </w:trPr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selected_by_user</w:t>
            </w:r>
          </w:p>
        </w:tc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boolean</w:t>
            </w:r>
          </w:p>
        </w:tc>
        <w:tc>
          <w:tcPr>
            <w:tcW w:type="dxa" w:w="4626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El instalador marcó este producto para el presupuesto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thick" w:color="C8922A" w:sz="12"/>
        </w:pBdr>
        <w:shd w:fill="FAEEDA" w:color="FAEEDA" w:val="clear"/>
        <w:spacing w:after="100" w:before="100"/>
        <w:ind w:left="180" w:right="180"/>
      </w:pPr>
      <w:r>
        <w:rPr>
          <w:rFonts w:ascii="Arial" w:cs="Arial" w:eastAsia="Arial" w:hAnsi="Arial"/>
          <w:color w:val="633806"/>
          <w:sz w:val="20"/>
          <w:szCs w:val="20"/>
        </w:rPr>
        <w:t xml:space="preserve">Nota de integridad: precio_venta es columna GENERADA en PostgreSQL. Nunca se incluye en INSERT. El motor la calcula automáticamente, siguiendo el mismo patrón que trade_catalog_variants ya implementado.</w:t>
      </w:r>
    </w:p>
    <w:p>
      <w:pPr>
        <w:spacing w:after="120"/>
      </w:pPr>
      <w:r>
        <w:t xml:space="preserve"/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5A96" w:color="1A5A96" w:val="clear"/>
        </w:rPr>
        <w:t xml:space="preserve"> 04 </w:t>
      </w:r>
      <w:r>
        <w:t xml:space="preserve">  </w:t>
      </w:r>
      <w:r>
        <w:rPr>
          <w:rFonts w:ascii="Arial" w:cs="Arial" w:eastAsia="Arial" w:hAnsi="Arial"/>
          <w:b/>
          <w:bCs/>
          <w:color w:val="1A5A96"/>
          <w:sz w:val="26"/>
          <w:szCs w:val="26"/>
        </w:rPr>
        <w:t xml:space="preserve">Función RPC de búsqueda — search_supplier_products()</w:t>
      </w:r>
    </w:p>
    <w:p>
      <w:pPr>
        <w:spacing w:after="10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La búsqueda es el corazón del motor. Se ejecuta en el servidor (nunca en cliente) para cada material detectado por la IA.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C2535"/>
          <w:sz w:val="20"/>
          <w:szCs w:val="20"/>
        </w:rPr>
        <w:t xml:space="preserve">Firma de la función:</w:t>
      </w:r>
    </w:p>
    <w:p>
      <w:pPr>
        <w:shd w:fill="F5F6F8" w:color="F5F6F8" w:val="clear"/>
        <w:spacing w:after="60"/>
        <w:ind w:left="180" w:right="180"/>
      </w:pPr>
      <w:r>
        <w:rPr>
          <w:rFonts w:ascii="Courier New" w:cs="Courier New" w:eastAsia="Courier New" w:hAnsi="Courier New"/>
          <w:color w:val="1C2535"/>
          <w:sz w:val="18"/>
          <w:szCs w:val="18"/>
        </w:rPr>
        <w:t xml:space="preserve">search_supplier_products(material_text TEXT, p_org_id UUID, limit_per_catalog INT DEFAULT 3)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2535"/>
          <w:sz w:val="20"/>
          <w:szCs w:val="20"/>
        </w:rPr>
        <w:t xml:space="preserve">Devuelve: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Top N productos por catálogo activo para la organización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Campos: catalog_key, supplier_name, logo_url, product_id, ref_proveedor, descripcion, marca, precio_coste, margen_pct, precio_venta, unidad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Ordenado por: prioridad del proveedor para esa org, luego relevancia del texto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C2535"/>
          <w:sz w:val="20"/>
          <w:szCs w:val="20"/>
        </w:rPr>
        <w:t xml:space="preserve">Algoritmo de búsqueda: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1. Obtener catálogos activos para la org (JOIN trade_org_suppliers WHERE enabled=true)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2. Para cada catálogo: buscar en trade_supplier_products con ts_rank sobre search_vector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3. Aplicar margen_override si existe, si no margen_pct_default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4. Devolver resultados ordenados por prioridad del proveedor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C2535"/>
          <w:sz w:val="20"/>
          <w:szCs w:val="20"/>
        </w:rPr>
        <w:t xml:space="preserve">Índice necesario (migración):</w:t>
      </w:r>
    </w:p>
    <w:p>
      <w:pPr>
        <w:shd w:fill="F5F6F8" w:color="F5F6F8" w:val="clear"/>
        <w:spacing w:after="60"/>
        <w:ind w:left="180" w:right="180"/>
      </w:pPr>
      <w:r>
        <w:rPr>
          <w:rFonts w:ascii="Courier New" w:cs="Courier New" w:eastAsia="Courier New" w:hAnsi="Courier New"/>
          <w:color w:val="1C2535"/>
          <w:sz w:val="18"/>
          <w:szCs w:val="18"/>
        </w:rPr>
        <w:t xml:space="preserve">CREATE INDEX idx_supplier_products_search ON trade_supplier_products USING GIN(search_vector);</w:t>
      </w:r>
    </w:p>
    <w:p>
      <w:pPr>
        <w:spacing w:after="120"/>
      </w:pPr>
      <w:r>
        <w:t xml:space="preserve"/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5A96" w:color="1A5A96" w:val="clear"/>
        </w:rPr>
        <w:t xml:space="preserve"> 05 </w:t>
      </w:r>
      <w:r>
        <w:t xml:space="preserve">  </w:t>
      </w:r>
      <w:r>
        <w:rPr>
          <w:rFonts w:ascii="Arial" w:cs="Arial" w:eastAsia="Arial" w:hAnsi="Arial"/>
          <w:b/>
          <w:bCs/>
          <w:color w:val="1A5A96"/>
          <w:sz w:val="26"/>
          <w:szCs w:val="26"/>
        </w:rPr>
        <w:t xml:space="preserve">Integración en la Edge Function de presupuestos IA</w:t>
      </w:r>
    </w:p>
    <w:p>
      <w:pPr>
        <w:spacing w:after="10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La modificación en trade-budget-ai es mínima y no rompe el flujo actual. Se añade un paso adicional después de calcular materiales.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2535"/>
          <w:sz w:val="22"/>
          <w:szCs w:val="22"/>
        </w:rPr>
        <w:t xml:space="preserve">Flujo modificado en la Edge Function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Paso 1 (sin cambios): IA detecta actuación, recupera plantilla de materiales, calcula cantidades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Paso 2 (NUEVO): Para cada material detectado, llamar a search_supplier_products()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Paso 3 (NUEVO): Adjuntar al resultado de la IA el array de opciones de catálogo por material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Paso 4 (sin cambios): Devolver presupuesto al frontend</w:t>
      </w:r>
    </w:p>
    <w:p>
      <w:pPr>
        <w:spacing w:after="120"/>
      </w:pPr>
      <w:r>
        <w:t xml:space="preserve"/>
      </w:r>
    </w:p>
    <w:p>
      <w:pPr>
        <w:pBdr>
          <w:left w:val="thick" w:color="1A5A96" w:sz="12"/>
        </w:pBdr>
        <w:shd w:fill="E6F1FB" w:color="E6F1FB" w:val="clear"/>
        <w:spacing w:after="100" w:before="100"/>
        <w:ind w:left="180" w:right="180"/>
      </w:pPr>
      <w:r>
        <w:rPr>
          <w:rFonts w:ascii="Arial" w:cs="Arial" w:eastAsia="Arial" w:hAnsi="Arial"/>
          <w:i/>
          <w:iCs/>
          <w:color w:val="0C447C"/>
          <w:sz w:val="20"/>
          <w:szCs w:val="20"/>
        </w:rPr>
        <w:t xml:space="preserve">El paso 2 se ejecuta en paralelo (Promise.all) para todos los materiales a la vez. No añade latencia secuencial. Si no hay resultados para algún material, el presupuesto continúa con precio base normal.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2535"/>
          <w:sz w:val="22"/>
          <w:szCs w:val="22"/>
        </w:rPr>
        <w:t xml:space="preserve">Modificación en la UI — ScreenPresupuestos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Cada partida de material ahora muestra un desplegable "Ver precios de catálogos"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El desplegable lista los productos encontrados con: etiqueta del catálogo (color + logo), descripción, precio venta con margen incluido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El instalador puede: seleccionar (añade al presupuesto), o ignorar (usa precio base)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El producto seleccionado queda guardado en trade_budget_catalog_lines con selected_by_user=true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Si el instalador elimina la selección, la línea pasa a selected_by_user=false y se usa precio base</w:t>
      </w:r>
    </w:p>
    <w:p>
      <w:pPr>
        <w:spacing w:after="120"/>
      </w:pPr>
      <w:r>
        <w:t xml:space="preserve"/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5A96" w:color="1A5A96" w:val="clear"/>
        </w:rPr>
        <w:t xml:space="preserve"> 06 </w:t>
      </w:r>
      <w:r>
        <w:t xml:space="preserve">  </w:t>
      </w:r>
      <w:r>
        <w:rPr>
          <w:rFonts w:ascii="Arial" w:cs="Arial" w:eastAsia="Arial" w:hAnsi="Arial"/>
          <w:b/>
          <w:bCs/>
          <w:color w:val="1A5A96"/>
          <w:sz w:val="26"/>
          <w:szCs w:val="26"/>
        </w:rPr>
        <w:t xml:space="preserve">Pantalla de Ajustes — Proveedores y catálogos</w:t>
      </w:r>
    </w:p>
    <w:p>
      <w:pPr>
        <w:spacing w:after="10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Nueva pestaña en Ajustes → "Proveedores y catálogos". Disponible desde plan Empresa.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2000"/>
            <w:shd w:fill="1A5A96" w:color="1A5A9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 de UI</w:t>
            </w:r>
          </w:p>
        </w:tc>
        <w:tc>
          <w:tcPr>
            <w:tcW w:type="dxa" w:w="3500"/>
            <w:shd w:fill="1A5A96" w:color="1A5A9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Funcionamiento</w:t>
            </w:r>
          </w:p>
        </w:tc>
        <w:tc>
          <w:tcPr>
            <w:tcW w:type="dxa" w:w="3526"/>
            <w:shd w:fill="1A5A96" w:color="1A5A9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rPr>
          <w:cantSplit/>
        </w:trPr>
        <w:tc>
          <w:tcPr>
            <w:tcW w:type="dxa" w:w="20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Toggle por proveedor</w:t>
            </w:r>
          </w:p>
        </w:tc>
        <w:tc>
          <w:tcPr>
            <w:tcW w:type="dxa" w:w="35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Activa/desactiva el proveedor para esta org</w:t>
            </w:r>
          </w:p>
        </w:tc>
        <w:tc>
          <w:tcPr>
            <w:tcW w:type="dxa" w:w="35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Solo visibles los proveedores con acuerdo TrabFlow</w:t>
            </w:r>
          </w:p>
        </w:tc>
      </w:tr>
      <w:tr>
        <w:trPr>
          <w:cantSplit/>
        </w:trPr>
        <w:tc>
          <w:tcPr>
            <w:tcW w:type="dxa" w:w="20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Margen por proveedor</w:t>
            </w:r>
          </w:p>
        </w:tc>
        <w:tc>
          <w:tcPr>
            <w:tcW w:type="dxa" w:w="35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Campo numérico editable (%, defecto del catálogo)</w:t>
            </w:r>
          </w:p>
        </w:tc>
        <w:tc>
          <w:tcPr>
            <w:tcW w:type="dxa" w:w="3526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Overrides el margen por defecto</w:t>
            </w:r>
          </w:p>
        </w:tc>
      </w:tr>
      <w:tr>
        <w:trPr>
          <w:cantSplit/>
        </w:trPr>
        <w:tc>
          <w:tcPr>
            <w:tcW w:type="dxa" w:w="20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Orden / prioridad</w:t>
            </w:r>
          </w:p>
        </w:tc>
        <w:tc>
          <w:tcPr>
            <w:tcW w:type="dxa" w:w="35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Drag &amp; drop o flechas arriba/abajo</w:t>
            </w:r>
          </w:p>
        </w:tc>
        <w:tc>
          <w:tcPr>
            <w:tcW w:type="dxa" w:w="35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Determina el orden en el comparador del presupuesto</w:t>
            </w:r>
          </w:p>
        </w:tc>
      </w:tr>
      <w:tr>
        <w:trPr>
          <w:cantSplit/>
        </w:trPr>
        <w:tc>
          <w:tcPr>
            <w:tcW w:type="dxa" w:w="20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Catálogo propio</w:t>
            </w:r>
          </w:p>
        </w:tc>
        <w:tc>
          <w:tcPr>
            <w:tcW w:type="dxa" w:w="35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Botón "Subir Excel" → importación</w:t>
            </w:r>
          </w:p>
        </w:tc>
        <w:tc>
          <w:tcPr>
            <w:tcW w:type="dxa" w:w="3526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Columnas: codigo, descripcion, marca, precio_compra, familia, unidad</w:t>
            </w:r>
          </w:p>
        </w:tc>
      </w:tr>
      <w:tr>
        <w:trPr>
          <w:cantSplit/>
        </w:trPr>
        <w:tc>
          <w:tcPr>
            <w:tcW w:type="dxa" w:w="20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Proveedor preferido</w:t>
            </w:r>
          </w:p>
        </w:tc>
        <w:tc>
          <w:tcPr>
            <w:tcW w:type="dxa" w:w="35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Selector único: Propio | OBRAMAT | Saltoki | Preguntar siempre</w:t>
            </w:r>
          </w:p>
        </w:tc>
        <w:tc>
          <w:tcPr>
            <w:tcW w:type="dxa" w:w="35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Sale siempre el primero en el comparador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C2535"/>
          <w:sz w:val="20"/>
          <w:szCs w:val="20"/>
        </w:rPr>
        <w:t xml:space="preserve">Configuración de catálogo propio (upload Excel):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Formato aceptado: .xlsx con columnas: codigo | descripcion | marca | precio_compra | familia | unidad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La importación parsea el Excel en servidor (Edge Function) y hace INSERT masivo en trade_supplier_products con catalog_id del catálogo propio de la org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El catálogo propio siempre tiene is_custom=true y prioridad=1 forzado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Actualizar = subir nuevo Excel (reemplaza el anterior)</w:t>
      </w:r>
    </w:p>
    <w:p>
      <w:pPr>
        <w:spacing w:after="120"/>
      </w:pPr>
      <w:r>
        <w:t xml:space="preserve"/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5A96" w:color="1A5A96" w:val="clear"/>
        </w:rPr>
        <w:t xml:space="preserve"> 07 </w:t>
      </w:r>
      <w:r>
        <w:t xml:space="preserve">  </w:t>
      </w:r>
      <w:r>
        <w:rPr>
          <w:rFonts w:ascii="Arial" w:cs="Arial" w:eastAsia="Arial" w:hAnsi="Arial"/>
          <w:b/>
          <w:bCs/>
          <w:color w:val="1A5A96"/>
          <w:sz w:val="26"/>
          <w:szCs w:val="26"/>
        </w:rPr>
        <w:t xml:space="preserve">Plan de implementación en 4 fases</w:t>
      </w:r>
    </w:p>
    <w:p>
      <w:pPr>
        <w:spacing w:after="120"/>
      </w:pPr>
      <w:r>
        <w:t xml:space="preserve"/>
      </w:r>
    </w:p>
    <w:p>
      <w:pPr>
        <w:shd w:fill="1A5A96" w:color="1A5A96" w:val="clear"/>
        <w:spacing w:after="60"/>
        <w:ind w:left="1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FASE 1 — Semanas 1-2 · URGENTE  Infraestructura BD y primera carga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Migración Supabase: 4 tablas nuevas (trade_supplier_catalogs, trade_supplier_products, trade_org_suppliers, trade_budget_catalog_lines) con RLS completo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Índice GIN sobre search_vector para búsqueda full-text en español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Función RPC search_supplier_products() con parámetros org_id + texto + limit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Carga del catálogo PDF de OBRAMAT: script Python de extracción → INSERT masivo (~2.000-5.000 productos)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Seed de los catálogos de Saltoki y Sonepar como registros con is_active=false (placeholder hasta acuerdo)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Tests de búsqueda: grifo | termo | cable | plato ducha → verificar relevancia</w:t>
      </w:r>
    </w:p>
    <w:p>
      <w:pPr>
        <w:spacing w:after="120"/>
      </w:pPr>
      <w:r>
        <w:t xml:space="preserve"/>
      </w:r>
    </w:p>
    <w:p>
      <w:pPr>
        <w:shd w:fill="0F6E56" w:color="0F6E56" w:val="clear"/>
        <w:spacing w:after="60"/>
        <w:ind w:left="1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FASE 2 — Semanas 3-4  Integración en motor de presupuestos IA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Modificar trade-budget-ai Edge Function: búsqueda paralela por cada material detectado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UI en ScreenPresupuestos: sección expandible por material con etiquetas de catálogo (badge de color + nombre)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Lógica de selección: botón añadir/quitar, persistencia en trade_budget_catalog_lines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Cálculo del precio final del presupuesto: usa precio_venta del catálogo si selected_by_user=true, si no precio_base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Tests end-to-end: presupuesto completo fontanería → verificar materiales con precios reales OBRAMAT</w:t>
      </w:r>
    </w:p>
    <w:p>
      <w:pPr>
        <w:spacing w:after="120"/>
      </w:pPr>
      <w:r>
        <w:t xml:space="preserve"/>
      </w:r>
    </w:p>
    <w:p>
      <w:pPr>
        <w:shd w:fill="C8922A" w:color="C8922A" w:val="clear"/>
        <w:spacing w:after="60"/>
        <w:ind w:left="1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FASE 3 — Semanas 5-6  Ajustes de proveedores y catálogo propio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Pantalla Ajustes → Proveedores y catálogos: toggles, márgenes, prioridad, proveedor preferido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Upload de catálogo propio: parser Excel en Edge Function → INSERT en trade_supplier_products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Logos de proveedor en la UI (preparar acuerdo de uso de marca con OBRAMAT para demo)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Lógica completa de prioridad: propio primero → proveedor preferido → resto activos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Disponible desde plan Empresa (€89/mes) — argumento de upsell</w:t>
      </w:r>
    </w:p>
    <w:p>
      <w:pPr>
        <w:spacing w:after="120"/>
      </w:pPr>
      <w:r>
        <w:t xml:space="preserve"/>
      </w:r>
    </w:p>
    <w:p>
      <w:pPr>
        <w:shd w:fill="B84E35" w:color="B84E35" w:val="clear"/>
        <w:spacing w:after="60"/>
        <w:ind w:left="18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FASE 4 — Semanas 7-8  Panel de datos y argumentario de negociación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Dashboard admin: productos más buscados por catálogo, conversión (busqueda → selección → presupuesto)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Datos anonimizados por región y oficio: material más demandado, proveedor más elegido por zona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API preparada para integración futura de compra directa (estructura de cesta → pedido al proveedor)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Documentación técnica de la API de integración para enviar a OBRAMAT/Saltoki/Sonepar</w:t>
      </w:r>
    </w:p>
    <w:p>
      <w:pPr>
        <w:spacing w:after="120"/>
      </w:pPr>
      <w:r>
        <w:t xml:space="preserve"/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5A96" w:color="1A5A96" w:val="clear"/>
        </w:rPr>
        <w:t xml:space="preserve"> 08 </w:t>
      </w:r>
      <w:r>
        <w:t xml:space="preserve">  </w:t>
      </w:r>
      <w:r>
        <w:rPr>
          <w:rFonts w:ascii="Arial" w:cs="Arial" w:eastAsia="Arial" w:hAnsi="Arial"/>
          <w:b/>
          <w:bCs/>
          <w:color w:val="1A5A96"/>
          <w:sz w:val="26"/>
          <w:szCs w:val="26"/>
        </w:rPr>
        <w:t xml:space="preserve">Propuesta de valor para proveedores — Argumentario de negociación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C2535"/>
          <w:sz w:val="20"/>
          <w:szCs w:val="20"/>
        </w:rPr>
        <w:t xml:space="preserve">Cómo presentar TrabFlow a OBRAMAT y el resto de proveedores:</w:t>
      </w:r>
    </w:p>
    <w:p>
      <w:pPr>
        <w:spacing w:after="120"/>
      </w:pPr>
      <w:r>
        <w:t xml:space="preserve"/>
      </w:r>
    </w:p>
    <w:p>
      <w:pPr>
        <w:pBdr>
          <w:left w:val="thick" w:color="0F6E56" w:sz="12"/>
        </w:pBdr>
        <w:shd w:fill="E1F5EE" w:color="E1F5EE" w:val="clear"/>
        <w:spacing w:after="100" w:before="100"/>
        <w:ind w:left="180" w:right="180"/>
      </w:pPr>
      <w:r>
        <w:rPr>
          <w:rFonts w:ascii="Arial" w:cs="Arial" w:eastAsia="Arial" w:hAnsi="Arial"/>
          <w:color w:val="085041"/>
          <w:sz w:val="20"/>
          <w:szCs w:val="20"/>
        </w:rPr>
        <w:t xml:space="preserve">"No es un catálogo en una app. Es un canal de ventas que se activa en el momento exacto en que el instalador calcula su trabajo. La demanda ya está generada — TrabFlow la conecta con el proveedor."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2500"/>
            <w:shd w:fill="1A5A96" w:color="1A5A9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para el proveedor</w:t>
            </w:r>
          </w:p>
        </w:tc>
        <w:tc>
          <w:tcPr>
            <w:tcW w:type="dxa" w:w="4326"/>
            <w:shd w:fill="1A5A96" w:color="1A5A9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  <w:tc>
          <w:tcPr>
            <w:tcW w:type="dxa" w:w="2200"/>
            <w:shd w:fill="1A5A96" w:color="1A5A9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 disponible</w:t>
            </w:r>
          </w:p>
        </w:tc>
      </w:tr>
      <w:tr>
        <w:trPr>
          <w:cantSplit/>
        </w:trPr>
        <w:tc>
          <w:tcPr>
            <w:tcW w:type="dxa" w:w="25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Canal de ventas automático</w:t>
            </w:r>
          </w:p>
        </w:tc>
        <w:tc>
          <w:tcPr>
            <w:tcW w:type="dxa" w:w="43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Cada presupuesto generado en TrabFlow es una oportunidad de venta para el proveedor. Sin esfuerzo comercial adicional.</w:t>
            </w:r>
          </w:p>
        </w:tc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25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Demanda cualificada</w:t>
            </w:r>
          </w:p>
        </w:tc>
        <w:tc>
          <w:tcPr>
            <w:tcW w:type="dxa" w:w="4326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Los materiales mostrados son exactamente los que el instalador necesita para ese trabajo concreto. No es publicidad — es intención de compra real.</w:t>
            </w:r>
          </w:p>
        </w:tc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25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Visibilidad en el momento de decisión</w:t>
            </w:r>
          </w:p>
        </w:tc>
        <w:tc>
          <w:tcPr>
            <w:tcW w:type="dxa" w:w="43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El instalador ve el producto del proveedor cuando está calculando el presupuesto, no cuando navega por una web.</w:t>
            </w:r>
          </w:p>
        </w:tc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Fase 2</w:t>
            </w:r>
          </w:p>
        </w:tc>
      </w:tr>
      <w:tr>
        <w:trPr>
          <w:cantSplit/>
        </w:trPr>
        <w:tc>
          <w:tcPr>
            <w:tcW w:type="dxa" w:w="25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Datos de comportamiento de mercado</w:t>
            </w:r>
          </w:p>
        </w:tc>
        <w:tc>
          <w:tcPr>
            <w:tcW w:type="dxa" w:w="4326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Qué materiales se buscan más, por qué oficio, en qué región, en qué época. Inteligencia que el proveedor no tiene de ninguna otra fuente.</w:t>
            </w:r>
          </w:p>
        </w:tc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Fase 4</w:t>
            </w:r>
          </w:p>
        </w:tc>
      </w:tr>
      <w:tr>
        <w:trPr>
          <w:cantSplit/>
        </w:trPr>
        <w:tc>
          <w:tcPr>
            <w:tcW w:type="dxa" w:w="25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Logos y branding en la app</w:t>
            </w:r>
          </w:p>
        </w:tc>
        <w:tc>
          <w:tcPr>
            <w:tcW w:type="dxa" w:w="43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El logo del proveedor aparece etiquetado junto a cada producto. Refuerzo de marca en cada presupuesto.</w:t>
            </w:r>
          </w:p>
        </w:tc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Fase 3</w:t>
            </w:r>
          </w:p>
        </w:tc>
      </w:tr>
      <w:tr>
        <w:trPr>
          <w:cantSplit/>
        </w:trPr>
        <w:tc>
          <w:tcPr>
            <w:tcW w:type="dxa" w:w="25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Integración de pedido directo (roadmap)</w:t>
            </w:r>
          </w:p>
        </w:tc>
        <w:tc>
          <w:tcPr>
            <w:tcW w:type="dxa" w:w="4326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El instalador genera la cesta de materiales directamente desde TrabFlow. El proveedor recibe el pedido preparado.</w:t>
            </w:r>
          </w:p>
        </w:tc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Fase futura</w:t>
            </w:r>
          </w:p>
        </w:tc>
      </w:tr>
      <w:tr>
        <w:trPr>
          <w:cantSplit/>
        </w:trPr>
        <w:tc>
          <w:tcPr>
            <w:tcW w:type="dxa" w:w="25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Prescripción de marca al cliente final</w:t>
            </w:r>
          </w:p>
        </w:tc>
        <w:tc>
          <w:tcPr>
            <w:tcW w:type="dxa" w:w="43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El instalador incluye la marca en el presupuesto que entrega al cliente final. Efecto prescriptor.</w:t>
            </w:r>
          </w:p>
        </w:tc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Fase futura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5A96" w:color="1A5A96" w:val="clear"/>
        </w:rPr>
        <w:t xml:space="preserve"> 09 </w:t>
      </w:r>
      <w:r>
        <w:t xml:space="preserve">  </w:t>
      </w:r>
      <w:r>
        <w:rPr>
          <w:rFonts w:ascii="Arial" w:cs="Arial" w:eastAsia="Arial" w:hAnsi="Arial"/>
          <w:b/>
          <w:bCs/>
          <w:color w:val="1A5A96"/>
          <w:sz w:val="26"/>
          <w:szCs w:val="26"/>
        </w:rPr>
        <w:t xml:space="preserve">Estrategia por proveedor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</w:trPr>
        <w:tc>
          <w:tcPr>
            <w:tcW w:type="dxa" w:w="1500"/>
            <w:shd w:fill="1A5A96" w:color="1A5A9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Proveedor</w:t>
            </w:r>
          </w:p>
        </w:tc>
        <w:tc>
          <w:tcPr>
            <w:tcW w:type="dxa" w:w="2200"/>
            <w:shd w:fill="1A5A96" w:color="1A5A9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 que pedimos</w:t>
            </w:r>
          </w:p>
        </w:tc>
        <w:tc>
          <w:tcPr>
            <w:tcW w:type="dxa" w:w="2200"/>
            <w:shd w:fill="1A5A96" w:color="1A5A9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 que ofrecemos</w:t>
            </w:r>
          </w:p>
        </w:tc>
        <w:tc>
          <w:tcPr>
            <w:tcW w:type="dxa" w:w="1900"/>
            <w:shd w:fill="1A5A96" w:color="1A5A9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Palanca</w:t>
            </w:r>
          </w:p>
        </w:tc>
        <w:tc>
          <w:tcPr>
            <w:tcW w:type="dxa" w:w="1226"/>
            <w:shd w:fill="1A5A96" w:color="1A5A9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15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OBRAMAT</w:t>
            </w:r>
          </w:p>
        </w:tc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Catálogo digital actualizable, logo para app, precio tarifa o especial TrabFlow</w:t>
            </w:r>
          </w:p>
        </w:tc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Posición preferente en comparador, datos de demanda por región, futura integración pedido</w:t>
            </w:r>
          </w:p>
        </w:tc>
        <w:tc>
          <w:tcPr>
            <w:tcW w:type="dxa" w:w="19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Ya tenemos su catálogo PDF — demo funcional el primer día de reunión</w:t>
            </w:r>
          </w:p>
        </w:tc>
        <w:tc>
          <w:tcPr>
            <w:tcW w:type="dxa" w:w="12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5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Saltoki</w:t>
            </w:r>
          </w:p>
        </w:tc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Feed de catálogo (Excel/API), logo, precio tarifa instaladores</w:t>
            </w:r>
          </w:p>
        </w:tc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Visibilidad en presupuestos de fontanería/climatización, datos de uso por zona</w:t>
            </w:r>
          </w:p>
        </w:tc>
        <w:tc>
          <w:tcPr>
            <w:tcW w:type="dxa" w:w="19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Base de instaladores especializados en fontanería/HVAC mal atendidos digitalmente</w:t>
            </w:r>
          </w:p>
        </w:tc>
        <w:tc>
          <w:tcPr>
            <w:tcW w:type="dxa" w:w="1226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15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Sonepar</w:t>
            </w:r>
          </w:p>
        </w:tc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Catálogo eléctrico, precio especial clientes TrabFlow</w:t>
            </w:r>
          </w:p>
        </w:tc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Canal directo a electricistas autónomos (10.300 empresas sector), datos demanda</w:t>
            </w:r>
          </w:p>
        </w:tc>
        <w:tc>
          <w:tcPr>
            <w:tcW w:type="dxa" w:w="19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Segmento de pequeño instalador eléctrico difícil de llegar por canales tradicionales</w:t>
            </w:r>
          </w:p>
        </w:tc>
        <w:tc>
          <w:tcPr>
            <w:tcW w:type="dxa" w:w="12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5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CONAIF/FENIE</w:t>
            </w:r>
          </w:p>
        </w:tc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Endorsement, difusión entre asociados, acceso a catálogos negociados colectivamente</w:t>
            </w:r>
          </w:p>
        </w:tc>
        <w:tc>
          <w:tcPr>
            <w:tcW w:type="dxa" w:w="22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Beneficio tangible para los 35.000 asociados: precios de proveedor en su app de gestión</w:t>
            </w:r>
          </w:p>
        </w:tc>
        <w:tc>
          <w:tcPr>
            <w:tcW w:type="dxa" w:w="19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35.000 empresas, 200.000+ trabajadores — ya en conversaciones previas</w:t>
            </w:r>
          </w:p>
        </w:tc>
        <w:tc>
          <w:tcPr>
            <w:tcW w:type="dxa" w:w="1226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15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Ariston/Vaillant/Baxi</w:t>
            </w:r>
          </w:p>
        </w:tc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Catálogo de productos con precios recomendados, materiales de marketing</w:t>
            </w:r>
          </w:p>
        </w:tc>
        <w:tc>
          <w:tcPr>
            <w:tcW w:type="dxa" w:w="22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Prescripción de marca al cliente final a través del instalador</w:t>
            </w:r>
          </w:p>
        </w:tc>
        <w:tc>
          <w:tcPr>
            <w:tcW w:type="dxa" w:w="19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El instalador pone la marca en el presupuesto que entrega al propietario</w:t>
            </w:r>
          </w:p>
        </w:tc>
        <w:tc>
          <w:tcPr>
            <w:tcW w:type="dxa" w:w="12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FUTURA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5A96" w:color="1A5A96" w:val="clear"/>
        </w:rPr>
        <w:t xml:space="preserve"> 10 </w:t>
      </w:r>
      <w:r>
        <w:t xml:space="preserve">  </w:t>
      </w:r>
      <w:r>
        <w:rPr>
          <w:rFonts w:ascii="Arial" w:cs="Arial" w:eastAsia="Arial" w:hAnsi="Arial"/>
          <w:b/>
          <w:bCs/>
          <w:color w:val="1A5A96"/>
          <w:sz w:val="26"/>
          <w:szCs w:val="26"/>
        </w:rPr>
        <w:t xml:space="preserve">Evolución futura del módulo — Fases 2 y 3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2500"/>
            <w:shd w:fill="1A5A96" w:color="1A5A9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Capacidad</w:t>
            </w:r>
          </w:p>
        </w:tc>
        <w:tc>
          <w:tcPr>
            <w:tcW w:type="dxa" w:w="4226"/>
            <w:shd w:fill="1A5A96" w:color="1A5A9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300"/>
            <w:shd w:fill="1A5A96" w:color="1A5A9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rPr>
          <w:cantSplit/>
        </w:trPr>
        <w:tc>
          <w:tcPr>
            <w:tcW w:type="dxa" w:w="25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Comparador visual (ahora)</w:t>
            </w:r>
          </w:p>
        </w:tc>
        <w:tc>
          <w:tcPr>
            <w:tcW w:type="dxa" w:w="42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Muestra productos de catálogos activos con etiqueta de origen y precio</w:t>
            </w:r>
          </w:p>
        </w:tc>
        <w:tc>
          <w:tcPr>
            <w:tcW w:type="dxa" w:w="23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Fase 1</w:t>
            </w:r>
          </w:p>
        </w:tc>
      </w:tr>
      <w:tr>
        <w:trPr>
          <w:cantSplit/>
        </w:trPr>
        <w:tc>
          <w:tcPr>
            <w:tcW w:type="dxa" w:w="25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Notificación de stock</w:t>
            </w:r>
          </w:p>
        </w:tc>
        <w:tc>
          <w:tcPr>
            <w:tcW w:type="dxa" w:w="4226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El proveedor expone disponibilidad de stock vía API o feed</w:t>
            </w:r>
          </w:p>
        </w:tc>
        <w:tc>
          <w:tcPr>
            <w:tcW w:type="dxa" w:w="23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Futura</w:t>
            </w:r>
          </w:p>
        </w:tc>
      </w:tr>
      <w:tr>
        <w:trPr>
          <w:cantSplit/>
        </w:trPr>
        <w:tc>
          <w:tcPr>
            <w:tcW w:type="dxa" w:w="25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Precio especial negociado</w:t>
            </w:r>
          </w:p>
        </w:tc>
        <w:tc>
          <w:tcPr>
            <w:tcW w:type="dxa" w:w="42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TrabFlow negocia descuento por volumen para sus clientes</w:t>
            </w:r>
          </w:p>
        </w:tc>
        <w:tc>
          <w:tcPr>
            <w:tcW w:type="dxa" w:w="23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Futura</w:t>
            </w:r>
          </w:p>
        </w:tc>
      </w:tr>
      <w:tr>
        <w:trPr>
          <w:cantSplit/>
        </w:trPr>
        <w:tc>
          <w:tcPr>
            <w:tcW w:type="dxa" w:w="25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Cesta de compra automática</w:t>
            </w:r>
          </w:p>
        </w:tc>
        <w:tc>
          <w:tcPr>
            <w:tcW w:type="dxa" w:w="4226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Desde el presupuesto aprobado, generar lista de compra con cantidades</w:t>
            </w:r>
          </w:p>
        </w:tc>
        <w:tc>
          <w:tcPr>
            <w:tcW w:type="dxa" w:w="23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Futura</w:t>
            </w:r>
          </w:p>
        </w:tc>
      </w:tr>
      <w:tr>
        <w:trPr>
          <w:cantSplit/>
        </w:trPr>
        <w:tc>
          <w:tcPr>
            <w:tcW w:type="dxa" w:w="25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Pedido directo al proveedor</w:t>
            </w:r>
          </w:p>
        </w:tc>
        <w:tc>
          <w:tcPr>
            <w:tcW w:type="dxa" w:w="42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Envío del pedido de materiales al sistema del proveedor desde TrabFlow</w:t>
            </w:r>
          </w:p>
        </w:tc>
        <w:tc>
          <w:tcPr>
            <w:tcW w:type="dxa" w:w="23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Futura</w:t>
            </w:r>
          </w:p>
        </w:tc>
      </w:tr>
      <w:tr>
        <w:trPr>
          <w:cantSplit/>
        </w:trPr>
        <w:tc>
          <w:tcPr>
            <w:tcW w:type="dxa" w:w="25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Tracking de entrega</w:t>
            </w:r>
          </w:p>
        </w:tc>
        <w:tc>
          <w:tcPr>
            <w:tcW w:type="dxa" w:w="4226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Estado del pedido visible en la app del instalador</w:t>
            </w:r>
          </w:p>
        </w:tc>
        <w:tc>
          <w:tcPr>
            <w:tcW w:type="dxa" w:w="23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Futura</w:t>
            </w:r>
          </w:p>
        </w:tc>
      </w:tr>
      <w:tr>
        <w:trPr>
          <w:cantSplit/>
        </w:trPr>
        <w:tc>
          <w:tcPr>
            <w:tcW w:type="dxa" w:w="25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Comisión por venta referida</w:t>
            </w:r>
          </w:p>
        </w:tc>
        <w:tc>
          <w:tcPr>
            <w:tcW w:type="dxa" w:w="42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TrabFlow cobra comisión por cada venta generada a través de la plataforma</w:t>
            </w:r>
          </w:p>
        </w:tc>
        <w:tc>
          <w:tcPr>
            <w:tcW w:type="dxa" w:w="23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Futura</w:t>
            </w:r>
          </w:p>
        </w:tc>
      </w:tr>
      <w:tr>
        <w:trPr>
          <w:cantSplit/>
        </w:trPr>
        <w:tc>
          <w:tcPr>
            <w:tcW w:type="dxa" w:w="25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Precios en tiempo real vía API</w:t>
            </w:r>
          </w:p>
        </w:tc>
        <w:tc>
          <w:tcPr>
            <w:tcW w:type="dxa" w:w="4226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El proveedor expone precios actualizados en lugar de fichero estático</w:t>
            </w:r>
          </w:p>
        </w:tc>
        <w:tc>
          <w:tcPr>
            <w:tcW w:type="dxa" w:w="2300"/>
            <w:shd w:fill="F5F6F8" w:color="F5F6F8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Futura</w:t>
            </w:r>
          </w:p>
        </w:tc>
      </w:tr>
      <w:tr>
        <w:trPr>
          <w:cantSplit/>
        </w:trPr>
        <w:tc>
          <w:tcPr>
            <w:tcW w:type="dxa" w:w="25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Catálogo personalizado Empresa+</w:t>
            </w:r>
          </w:p>
        </w:tc>
        <w:tc>
          <w:tcPr>
            <w:tcW w:type="dxa" w:w="4226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Precio negociado individualmente para clientes grandes</w:t>
            </w:r>
          </w:p>
        </w:tc>
        <w:tc>
          <w:tcPr>
            <w:tcW w:type="dxa" w:w="2300"/>
            <w:shd w:fill="FFFFFF" w:color="FFFFFF" w:val="clear"/>
          </w:tcPr>
          <w:p>
            <w:r>
              <w:rPr>
                <w:rFonts w:ascii="Arial" w:cs="Arial" w:eastAsia="Arial" w:hAnsi="Arial"/>
                <w:color w:val="1C2535"/>
                <w:sz w:val="18"/>
                <w:szCs w:val="18"/>
              </w:rPr>
              <w:t xml:space="preserve">Futura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thick" w:color="C8922A" w:sz="12"/>
        </w:pBdr>
        <w:shd w:fill="FAEEDA" w:color="FAEEDA" w:val="clear"/>
        <w:spacing w:after="100" w:before="100"/>
        <w:ind w:left="180" w:right="180"/>
      </w:pPr>
      <w:r>
        <w:rPr>
          <w:rFonts w:ascii="Arial" w:cs="Arial" w:eastAsia="Arial" w:hAnsi="Arial"/>
          <w:color w:val="633806"/>
          <w:sz w:val="20"/>
          <w:szCs w:val="20"/>
        </w:rPr>
        <w:t xml:space="preserve">La Fase 1 (catálogo + comparador) es el argumento para abrir la negociación. La Fase 2 (compra directa) es el argumento para firmar el acuerdo. Presentar ambas en las reuniones como hoja de ruta clara.</w:t>
      </w:r>
    </w:p>
    <w:p>
      <w:pPr>
        <w:spacing w:after="120"/>
      </w:pPr>
      <w:r>
        <w:t xml:space="preserve"/>
      </w:r>
    </w:p>
    <w:p>
      <w:pPr>
        <w:spacing w:after="120" w:before="34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5A96" w:color="1A5A96" w:val="clear"/>
        </w:rPr>
        <w:t xml:space="preserve"> 11 </w:t>
      </w:r>
      <w:r>
        <w:t xml:space="preserve">  </w:t>
      </w:r>
      <w:r>
        <w:rPr>
          <w:rFonts w:ascii="Arial" w:cs="Arial" w:eastAsia="Arial" w:hAnsi="Arial"/>
          <w:b/>
          <w:bCs/>
          <w:color w:val="1A5A96"/>
          <w:sz w:val="26"/>
          <w:szCs w:val="26"/>
        </w:rPr>
        <w:t xml:space="preserve">Consideraciones técnicas adicionales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2535"/>
          <w:sz w:val="22"/>
          <w:szCs w:val="22"/>
        </w:rPr>
        <w:t xml:space="preserve">Carga inicial del catálogo OBRAMAT (desde el PDF disponible)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Script Python con pdfplumber o PyMuPDF para extraer tabla de productos del PDF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Mapeo de columnas: referencia → ref_proveedor, descripción → descripcion, precio → precio_coste, familia → familia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Generación de search_vector con to_tsvector('spanish', descripcion || ' ' || marca || ' ' || familia)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INSERT en lotes de 500 filas para evitar timeouts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Script ejecutado vía pgAdmin o Supabase SQL Editor directamente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2535"/>
          <w:sz w:val="22"/>
          <w:szCs w:val="22"/>
        </w:rPr>
        <w:t xml:space="preserve">Búsqueda full-text en español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Usar configuración 'spanish' en tsvector para normalización correcta de palabras en castellano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Sinónimos relevantes: grifo → monomando | termostático; termo → calentador | acumulador; plato ducha → plato de ducha | base de ducha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Considerar tabla de sinónimos de oficio en Fase 2 para mejorar relevancia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2535"/>
          <w:sz w:val="22"/>
          <w:szCs w:val="22"/>
        </w:rPr>
        <w:t xml:space="preserve">Seguridad y RLS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Los catálogos globales (org_id IS NULL) son de solo lectura para todos los usuarios autenticados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Los catálogos propios (is_custom=true) solo son visibles para la org propietaria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Los márgenes y configuración de proveedores (trade_org_suppliers) solo son visibles/editables por la propia org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La función RPC search_supplier_products ejecuta con SECURITY DEFINER para acceder a catálogos globales desde cualquier org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C2535"/>
          <w:sz w:val="22"/>
          <w:szCs w:val="22"/>
        </w:rPr>
        <w:t xml:space="preserve">Plan de datos para actualización de catálogos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Fase 1: carga manual vía script (fichero Excel o PDF del proveedor)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Fase 2: Edge Function de importación con endpoint autenticado para que el proveedor suba fichero</w:t>
      </w:r>
    </w:p>
    <w:p>
      <w:pPr>
        <w:spacing w:after="60"/>
        <w:ind w:left="360"/>
      </w:pPr>
      <w:r>
        <w:rPr>
          <w:rFonts w:ascii="Arial" w:cs="Arial" w:eastAsia="Arial" w:hAnsi="Arial"/>
          <w:color w:val="1C2535"/>
          <w:sz w:val="20"/>
          <w:szCs w:val="20"/>
        </w:rPr>
        <w:t xml:space="preserve">•  Fase futura: webhook o polling de API del proveedor para actualización automática de precios</w:t>
      </w:r>
    </w:p>
    <w:p>
      <w:pPr>
        <w:spacing w:after="120"/>
      </w:pPr>
      <w:r>
        <w:t xml:space="preserve"/>
      </w:r>
    </w:p>
    <w:p>
      <w:pPr>
        <w:pBdr>
          <w:top w:val="single" w:color="1A5A96" w:sz="4"/>
        </w:pBdr>
        <w:spacing w:after="60" w:before="4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TrabFlow Technologies, S.L. · Majadahonda, Madrid · trabflow.com</w:t>
      </w:r>
    </w:p>
    <w:p>
      <w:pPr>
        <w:spacing w:after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Documento confidencial · Junio 2026 · Versión 1.0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53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2026-06-22T16:44:09.467Z</dcterms:created>
  <dcterms:modified xsi:type="dcterms:W3CDTF">2026-06-22T16:44:09.467Z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