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C8922A"/>
          <w:sz w:val="22"/>
          <w:szCs w:val="22"/>
        </w:rPr>
        <w:t xml:space="preserve">TrabFlow Technologies</w:t>
      </w:r>
    </w:p>
    <w:p>
      <w:pPr>
        <w:spacing w:after="120" w:before="600"/>
      </w:pPr>
      <w:r>
        <w:rPr>
          <w:rFonts w:ascii="Calibri" w:cs="Calibri" w:eastAsia="Calibri" w:hAnsi="Calibri"/>
          <w:b/>
          <w:bCs/>
          <w:color w:val="1C2535"/>
          <w:sz w:val="52"/>
          <w:szCs w:val="52"/>
        </w:rPr>
        <w:t xml:space="preserve">Sistema de Validación del Motor IA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1A5A96"/>
          <w:sz w:val="30"/>
          <w:szCs w:val="30"/>
        </w:rPr>
        <w:t xml:space="preserve">Diseño Metodológico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Documento Técnico BM-2026-001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Versión: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1.0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Fecha: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2026-07-07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Clasificación: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Uso interno / Anexo técnico para memorias de financiación</w:t>
      </w:r>
    </w:p>
    <w:p>
      <w:pPr>
        <w:spacing w:after="60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Aplicable 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CDTI, ENISA, SODERCAN, Horizonte Europa, EIC Accelerator</w:t>
      </w:r>
    </w:p>
    <w:p>
      <w:r>
        <w:br w:type="page"/>
      </w:r>
    </w:p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1. Resumen Ejecutivo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TrabFlow Technologies desarrolla un motor de Inteligencia Artificial especializado en la generación automática de presupuestos técnicos para el sector de la instalación y construcción en España. El motor convierte descripciones en lenguaje natural — tanto escritas como transcritas de voz — en documentos de presupuesto estructurados con partidas, unidades y precios.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El presente documento define el Sistema Oficial de Validación (SOV)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un conjunto de benchmarks jerarquizados, metodología de evaluación reproducible y protocolo de evolución controlada, diseñados para: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Demostrar el rendimiento del motor con rigor científico ante organismos de financiación pública y privada.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Proporcionar una línea base inmutable contra la que comparar cada nueva versión del motor.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Medir la mejora incremental de forma cuantificable y estadísticamente interpretable.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Cubrir la totalidad de la casuística real de uso del sistema en producción.</w:t>
      </w:r>
    </w:p>
    <w:p>
      <w:pPr>
        <w:spacing w:after="1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sistema está estructurado en cuatro niveles de benchmark: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700"/>
        <w:gridCol w:w="2600"/>
      </w:tblGrid>
      <w:tr>
        <w:trPr>
          <w:tblHeader/>
        </w:trPr>
        <w:tc>
          <w:tcPr>
            <w:tcW w:type="dxa" w:w="1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Denominación</w:t>
            </w:r>
          </w:p>
        </w:tc>
        <w:tc>
          <w:tcPr>
            <w:tcW w:type="dxa" w:w="17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Consultas</w:t>
            </w:r>
          </w:p>
        </w:tc>
        <w:tc>
          <w:tcPr>
            <w:tcW w:type="dxa" w:w="2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BM-v60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Benchmark de Referencia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Congelado (referencia histórica)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BM-v61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Benchmark Extendido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800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 diseño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BM-v62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Benchmark de Robustez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1.500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 diseño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BM-GD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Gold Dataset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~2.000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Objetivo final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2. Arquitectura del Sistema de Benchmark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2.1 Principios de Diseño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sistema se basa en seis principios fundamentales derivados de las mejores prácticas en evaluación de sistemas de IA de dominio especializado: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P1 — Inmutabilidad.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Una vez publicado, ningún benchmark puede ser modificado. Los benchmarks solo pueden ampliarse mediante versiones sucesoras. Este principio garantiza la comparabilidad longitudinal y elimina el sesgo de retroajuste (benchmark leakage).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P2 — Cobertura exhaustiva.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El benchmark debe cubrir la totalidad del espacio de entrada del sistema: todos los oficios, todos los niveles de complejidad lingüística, todos los mecanismos de recuperación del motor. Un benchmark que solo evalúa casos favorables no es científicamente válido.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P3 — Representatividad.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La distribución de consultas debe reflejar la distribución observada en producción, ponderada para garantizar cobertura mínima en segmentos de baja frecuencia con alto impacto de fallo.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P4 — Reproducibilidad.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Cada consulta tiene un identificador único, texto invariable y respuesta de referencia documentada. Cualquier laboratorio externo debe poder reproducir la evaluación con los mismos resultados.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P5 — Independencia.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El equipo que diseña el benchmark es independiente del equipo que diseña el motor. Ninguna consulta del benchmark puede haber sido utilizada en el entrenamiento o ajuste del modelo subyacente.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P6 — Gradualidad controlada.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Cada nueva versión del benchmark incrementa la dificultad de forma medida. No se introduce un nuevo nivel de dificultad sin haber validado primero el nivel anterior.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2.2 Jerarquía y Relación entre Niveles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BM-v60 (400) — Referencia congelada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│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├── BM-v61 (800) — Superset de v60 + 400 consultas nuevas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│       │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│       └── BM-v62 (1.500) — Superset de v61 + 700 consultas nuevas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│               │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│               └── BM-GD (≈2.000) — Gold Dataset definitivo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│                       Superset de v62 + ampliación hasta equilibrio de oficios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benchmark sucede al anterior en un sentido estricto de superseting: las consultas del nivel N están íntegramente contenidas en el nivel N+1. Esto permite comparar rendimiento en el subconjunto común y en el total por separado.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2.3 Dimensiones de Evaluación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consulta del benchmark se evalúa simultáneamente en cinco dimensiones independientes: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Consulta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│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├── D1: Generación     → ¿Se produce un presupuesto válido?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├── D2: Estructura     → ¿Las partidas son correctas y completas?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├── D3: Precio         → ¿Los precios están dentro del rango de referencia?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├── D4: Latencia       → ¿El tiempo de respuesta es aceptable?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└── D5: Estabilidad    → ¿La respuesta es consistente ante variantes?</w:t>
      </w:r>
    </w:p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3. Taxonomía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3.1 Taxonomía de Oficios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Gold Dataset cubre 20 oficios del sector instalaciones y construcción en España: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300"/>
      </w:tblGrid>
      <w:tr>
        <w:trPr>
          <w:tblHeader/>
        </w:trPr>
        <w:tc>
          <w:tcPr>
            <w:tcW w:type="dxa" w:w="1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Oficio</w:t>
            </w:r>
          </w:p>
        </w:tc>
        <w:tc>
          <w:tcPr>
            <w:tcW w:type="dxa" w:w="43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Ámbito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Electricidad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Instalaciones eléctricas BT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OF-02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Fontanería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Instalaciones de agua y saneamiento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Climatización / HVAC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Aire acondicionado, ventilación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OF-04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Calefacción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Calderas, radiadores, suelo radiante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Gas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Instalaciones y aparatos de gas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OF-06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Carpintería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Puertas, ventanas de madera, armarios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OF-07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Albañilería y Obras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Tabiques, enfoscados, demoliciones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OF-08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Pintura y Decoración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Interior, exterior, decorativo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OF-09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Cerrajería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Cerraduras, puertas de seguridad, rejas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OF-10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Suelos y Pavimentos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Parquet, tarima, baldosas, microcemento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Alicatado y Revestimientos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Azulejos, gresite, piedra natural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OF-12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Impermeabilización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Cubiertas, terrazas, sótanos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Aislamiento Térmico y Acústico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SATE, cámaras, tejados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OF-14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Energía Solar / Fotovoltaica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Paneles, baterías, autoconsumo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Telecomunicaciones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Antenas, fibra, redes LAN, ICT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OF-16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Seguridad y Alarmas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CCTV, acceso, sensores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OF-17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Carpintería de Aluminio y PVC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Ventanas, persianas, fachadas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OF-18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Jardinería y Paisajismo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Césped, riego, diseño, podas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OF-19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Piscinas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Construcción, mantenimiento, reforma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OF-20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Reformas Integrales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Baños, cocinas, pisos, locales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3.2 Taxonomía de Categorías por Oficio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Para cada oficio se definen entre 6 y 10 categorías temáticas. Cada categoría agrupa consultas con un núcleo conceptual común.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OF-01 — Electricidad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4800"/>
      </w:tblGrid>
      <w:tr>
        <w:trPr>
          <w:tblHeader/>
        </w:trPr>
        <w:tc>
          <w:tcPr>
            <w:tcW w:type="dxa" w:w="11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</w:t>
            </w:r>
          </w:p>
        </w:tc>
        <w:tc>
          <w:tcPr>
            <w:tcW w:type="dxa" w:w="30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48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Ejemplos de trabajo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E-01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Enchufes y mecanismos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Enchufes, interruptores, bases de corriente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E-02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Cuadros eléctricos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ICP, diferencial, magnetotérmicos, RCD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E-03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Iluminación general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Puntos de luz, fluorescentes, downlights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E-04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Iluminación LED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Tiras LED, focos, retrofit, driver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E-05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Averías y diagnóstico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Cortocircuitos, tierra, identificación de fallo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E-06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Boletines y certificados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BIE, certificado instalador, inspección OCA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E-07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Instalación nueva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Obra nueva, local comercial, nave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E-08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Puntos de recarga EV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EVSE, Wallbox, cargador tipo 2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E-09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Domótica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KNX, Zigbee, persiana automatizada, termostato</w:t>
            </w:r>
          </w:p>
        </w:tc>
      </w:tr>
    </w:tbl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OF-02 — Fontanería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4800"/>
      </w:tblGrid>
      <w:tr>
        <w:trPr>
          <w:tblHeader/>
        </w:trPr>
        <w:tc>
          <w:tcPr>
            <w:tcW w:type="dxa" w:w="11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</w:t>
            </w:r>
          </w:p>
        </w:tc>
        <w:tc>
          <w:tcPr>
            <w:tcW w:type="dxa" w:w="30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48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Ejemplos de trabajo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F-01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Grifería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Grifo monomando, termostático, alcachofa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F-02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Tuberías y bajantes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PVC, multicapa, cobre, desagüe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F-03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Sanitarios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Inodoro, lavabo, plato de ducha, bañera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F-04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Termos y acumuladores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Eléctrico, a gas, solar, bomba de calor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F-05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Fugas y averías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Detección, reparación, sectorización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F-06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Instalación nueva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Cocina, baño, local, obra nueva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F-07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Filtros y tratamiento de agua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Osmosis, descalcificador, filtro de sedimentos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F-08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Redes de incendio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BIE, sprinklers, presurización</w:t>
            </w:r>
          </w:p>
        </w:tc>
      </w:tr>
    </w:tbl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OF-03 — Climatización / HVAC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300"/>
      </w:tblGrid>
      <w:tr>
        <w:trPr>
          <w:tblHeader/>
        </w:trPr>
        <w:tc>
          <w:tcPr>
            <w:tcW w:type="dxa" w:w="1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</w:t>
            </w:r>
          </w:p>
        </w:tc>
        <w:tc>
          <w:tcPr>
            <w:tcW w:type="dxa" w:w="73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C-01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Split 1×1 residencial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C-02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Multi-split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C-03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VRV / VRF industrial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C-04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Conductos y difusores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C-05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Mantenimiento preventivo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C-06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Averías y diagnóstico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C-07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Ventilación mecánica VMC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C-08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Recuperador de calor</w:t>
            </w:r>
          </w:p>
        </w:tc>
      </w:tr>
    </w:tbl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OF-04 — Calefacción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300"/>
      </w:tblGrid>
      <w:tr>
        <w:trPr>
          <w:tblHeader/>
        </w:trPr>
        <w:tc>
          <w:tcPr>
            <w:tcW w:type="dxa" w:w="1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</w:t>
            </w:r>
          </w:p>
        </w:tc>
        <w:tc>
          <w:tcPr>
            <w:tcW w:type="dxa" w:w="73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K-01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Caldera de gas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K-02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Caldera de gasoil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K-03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Bomba de calor aerotérmica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K-04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Radiadores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K-05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Suelo radiante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K-06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Mantenimiento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K-07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Averías</w:t>
            </w:r>
          </w:p>
        </w:tc>
      </w:tr>
    </w:tbl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OF-05 — Gas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300"/>
      </w:tblGrid>
      <w:tr>
        <w:trPr>
          <w:tblHeader/>
        </w:trPr>
        <w:tc>
          <w:tcPr>
            <w:tcW w:type="dxa" w:w="1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</w:t>
            </w:r>
          </w:p>
        </w:tc>
        <w:tc>
          <w:tcPr>
            <w:tcW w:type="dxa" w:w="73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G-01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Instalación de gas natural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G-02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Instalación de GLP / propano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G-03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Aparatos de gas (cocina, calentador)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G-04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Fugas y emergencias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G-05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Boletín de gas / certificado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G-06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Conversión gas natural ↔ GLP</w:t>
            </w:r>
          </w:p>
        </w:tc>
      </w:tr>
    </w:tbl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OF-06 — Carpintería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300"/>
      </w:tblGrid>
      <w:tr>
        <w:trPr>
          <w:tblHeader/>
        </w:trPr>
        <w:tc>
          <w:tcPr>
            <w:tcW w:type="dxa" w:w="1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</w:t>
            </w:r>
          </w:p>
        </w:tc>
        <w:tc>
          <w:tcPr>
            <w:tcW w:type="dxa" w:w="73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W-01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Puertas de interior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W-02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Puertas de entrada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W-03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Armarios a medida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W-04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Parquet y tarima de madera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W-05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Escaleras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W-06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Restauración y lacado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(Las tablas de categorías para OF-07 a OF-20 seguirán el mismo patrón. El catálogo completo de categorías se desarrolla en el documento de corpus BM-CAT-2026-001, fase de generación.)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3.3 Niveles de Dificultad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sistema define seis niveles de dificultad para cada consulta, basados en la complejidad lingüística, técnica y la ambigüedad de intención: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600"/>
        <w:gridCol w:w="2900"/>
      </w:tblGrid>
      <w:tr>
        <w:trPr>
          <w:tblHeader/>
        </w:trPr>
        <w:tc>
          <w:tcPr>
            <w:tcW w:type="dxa" w:w="7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18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Denominación</w:t>
            </w:r>
          </w:p>
        </w:tc>
        <w:tc>
          <w:tcPr>
            <w:tcW w:type="dxa" w:w="3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29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Simple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Solicitud directa, una acción, vocabulario técnico correcto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“Cambiar un enchufe”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Normal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Solicitud directa, puede incluir cantidad o localización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“Cambiar tres enchufes en la cocina”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Complejo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Múltiples actuaciones o partidas, alcance detallado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“Cuadro eléctrico completo con diferencial y seis magnetotérmicos”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N4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Ambiguo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Intención no unívoca, requiere inferencia del contexto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“Desde ayer salta la luz”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Coloquial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Vocabulario no técnico, expresiones regionales, argot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“Se me ha ido la corriente cuando pongo el horno”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Voz transcrita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Transcripción de voz: disfluencias, repeticiones, fragmentación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“Hola mira que necesito que vengas porque el cuadro hace un ruido raro...”</w:t>
            </w:r>
          </w:p>
        </w:tc>
      </w:tr>
    </w:tbl>
    <w:p>
      <w:pPr>
        <w:spacing w:after="1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Distribución objetivo por nivel en el Gold Dataset: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00"/>
      </w:tblGrid>
      <w:tr>
        <w:trPr>
          <w:tblHeader/>
        </w:trPr>
        <w:tc>
          <w:tcPr>
            <w:tcW w:type="dxa" w:w="3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7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objetivo</w:t>
            </w:r>
          </w:p>
        </w:tc>
        <w:tc>
          <w:tcPr>
            <w:tcW w:type="dxa" w:w="27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Consultas estimadas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N1 — Simple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15%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~300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N2 — Normal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25%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~500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N3 — Complejo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20%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~400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N4 — Ambiguo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15%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~300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N5 — Coloquial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15%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~300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N6 — Voz transcrita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10%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~200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100%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~2.000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3.4 Mecanismos IA Evaluados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consulta del benchmark etiqueta los mecanismos del motor que pone a prueba. Una consulta puede activar uno o múltiples mecanismos simultáneamente.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000"/>
      </w:tblGrid>
      <w:tr>
        <w:trPr>
          <w:tblHeader/>
        </w:trPr>
        <w:tc>
          <w:tcPr>
            <w:tcW w:type="dxa" w:w="9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30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50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Clasificación de oficio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motor debe identificar el oficio correcto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M02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Clasificación de actuación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motor debe mapear a una actuación del catálogo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Recuperación semántica (Base Maestra)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motor debe encontrar la actuación en kbContext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M04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Resolución de sinónimos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usuario usa terminología alternativa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Fallback a sugeridas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hay match en catálogo; el motor genera partidas propias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M06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Actuaciones múltiples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Una consulta contiene ≥2 trabajos distintos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Extracción de cantidad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motor debe identificar la magnitud del trabajo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M08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Inferencia de localización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motor infiere superficie/ubicación del contexto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M09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Manejo de ambigüedad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motor debe seleccionar la interpretación más probable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M10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Lenguaje coloquial / argot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motor debe traducir a terminología técnica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M11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Voz con disfluencias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motor gestiona transcripciones ruidosas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M12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 incompleta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motor completa la información faltante con defaults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M13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Comparación de proveedores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motor incorpora precios de proveedores externos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M14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Reforma compleja multidisciplinar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trabajo abarca varios oficios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M15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Detección de contrato de mantenimiento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 consulta implica un contrato, no un presupuesto puntual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3.5 Tipología Lingüística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Adicionalmente, cada consulta lleva una etiqueta de tipología lingüística: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400"/>
      </w:tblGrid>
      <w:tr>
        <w:trPr>
          <w:tblHeader/>
        </w:trPr>
        <w:tc>
          <w:tcPr>
            <w:tcW w:type="dxa" w:w="9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Tipología</w:t>
            </w:r>
          </w:p>
        </w:tc>
        <w:tc>
          <w:tcPr>
            <w:tcW w:type="dxa" w:w="54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Técnico formal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Vocabulario técnico correcto, sintaxis estándar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Técnico informal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Vocabulario técnico, sintaxis relajada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Coloquial estándar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Sin vocabulario técnico, castellano neutro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Coloquial regional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Expresiones regionales (castellano de España)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 errores ortográficos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Errores tipográficos y ortográficos habituales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Voz transcrita limpia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Transcripción de voz fluida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Voz transcrita con ruido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Transcripción con disfluencias, muletillas, fragmentación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L8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Multiidioma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Mezcla español + términos técnicos en inglés o catalán</w:t>
            </w:r>
          </w:p>
        </w:tc>
      </w:tr>
    </w:tbl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4. Especificaciones de Benchmark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4.1 BM-v60 — Benchmark de Referencia (CONGELADO)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0"/>
      </w:tblGrid>
      <w:tr>
        <w:trPr>
          <w:tblHeader/>
        </w:trPr>
        <w:tc>
          <w:tcPr>
            <w:tcW w:type="dxa" w:w="38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51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Consultas totales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 de ejecución</w:t>
            </w:r>
          </w:p>
        </w:tc>
        <w:tc>
          <w:tcPr>
            <w:tcW w:type="dxa" w:w="5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2026-07-04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Motor evaluado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v59 (Edge Function v65)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Resultado — Tasa de Generación</w:t>
            </w:r>
          </w:p>
        </w:tc>
        <w:tc>
          <w:tcPr>
            <w:tcW w:type="dxa" w:w="5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98,25% (393/400)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Resultado — Cobertura de Catálogo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92,5% (370/400)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TRUNCADO</w:t>
            </w:r>
          </w:p>
        </w:tc>
        <w:tc>
          <w:tcPr>
            <w:tcW w:type="dxa" w:w="5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VACÍO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(excepción documentada)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ERROR_TECNICO</w:t>
            </w:r>
          </w:p>
        </w:tc>
        <w:tc>
          <w:tcPr>
            <w:tcW w:type="dxa" w:w="5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 (4 transitorios HTTP 503, 2 esperados HTTP 403)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Estado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Congelado. No puede modificarse.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Este benchmark constituye la línea base absoluta del proyecto. Toda comparación de versiones futuras incluirá obligatoriamente los resultados sobre BM-v60.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4.2 BM-v61 — Benchmark Extendido (800 consultas)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Duplicar la cobertura del BM-v60 incorporando variedad lingüística, dificultad incrementada y casos límite no presentes en el benchmark de referencia.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Composición: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400 consultas de BM-v60 (mantenidas íntegramente) + 400 consultas nuevas distribuidas según: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200"/>
      </w:tblGrid>
      <w:tr>
        <w:trPr>
          <w:tblHeader/>
        </w:trPr>
        <w:tc>
          <w:tcPr>
            <w:tcW w:type="dxa" w:w="67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Dimensión de ampliación</w:t>
            </w:r>
          </w:p>
        </w:tc>
        <w:tc>
          <w:tcPr>
            <w:tcW w:type="dxa" w:w="2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Consultas nuevas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Variedad lingüística (L3–L8)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Niveles de dificultad N4–N6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Casos ambiguos con múltiples interpretaciones válidas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Errores habituales de instaladores (L5)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Múltiples formas de pedir el mismo trabajo (sinónimos)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Cobertura de mecanismos M09–M15 (hasta ahora poco representados)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Nuevos oficios con baja representación en v60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Total nuevas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400</w:t>
            </w:r>
          </w:p>
        </w:tc>
      </w:tr>
    </w:tbl>
    <w:p>
      <w:pPr>
        <w:spacing w:after="1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Criterios de diseño específicos: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Cada actuación del catálogo de actuaciones maestro debe aparecer al menos 2 veces.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 menos 30 consultas deben activar el mecanismo M06 (actuaciones múltiples).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 menos 20 consultas deben representar errores ortográficos frecuentes (M10+L5).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 menos 15 consultas de N6 (voz transcrita) deben incluir disfluencias reales.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Ninguna consulta nueva puede ser una paráfrasis trivial de otra ya existente.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4.3 BM-v62 — Benchmark de Robustez (1.500 consultas)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Validar la robustez, generalización y estabilidad del motor ante la distribución completa de la casuística real, incluyendo casos extremos y distribuciones de cola larga.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Composición: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800 consultas de BM-v61 (mantenidas íntegramente) + 700 consultas nuevas distribuidas según: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200"/>
      </w:tblGrid>
      <w:tr>
        <w:trPr>
          <w:tblHeader/>
        </w:trPr>
        <w:tc>
          <w:tcPr>
            <w:tcW w:type="dxa" w:w="67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Dimensión de ampliación</w:t>
            </w:r>
          </w:p>
        </w:tc>
        <w:tc>
          <w:tcPr>
            <w:tcW w:type="dxa" w:w="2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Consultas nuevas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Consultas muy cortas (1–5 palabras)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Consultas muy largas (&gt;100 palabras)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Consultas por voz transcrita (L6+L7)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Consultas con errores ortográficos (L5)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Consultas con lenguaje coloquial extremo (L4)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Consultas técnicas altamente especializadas (N3+L1)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Consultas incompletas que requieren inferencia (M12)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Consultas con varias actuaciones (M06)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Consultas de dificultad muy alta (N4+N5+N6 combinados)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Consultas de nuevas regiones o tipologías no cubiertas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Total nuevas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700</w:t>
            </w:r>
          </w:p>
        </w:tc>
      </w:tr>
    </w:tbl>
    <w:p>
      <w:pPr>
        <w:spacing w:after="1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Propiedades estadísticas objetivo: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Test de distribución de Kolmogorov-Smirnov entre distribución de consultas de benchmark y distribución observada en producción: p &gt; 0,05.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Coeficiente de variación de la tasa de generación entre niveles de dificultad: CV &lt; 15%.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Ningún oficio con representación &lt; 3% del total.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4.4 BM-GD — Gold Dataset (≈2.000 consultas)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Benchmark definitivo del proyecto. Representación exhaustiva, equilibrada y científicamente rigurosa de todo el espacio de entrada del motor.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Criterios de inclusión: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 trivialidad: cada consulta aporta información nueva sobre el comportamiento del motor que no puede inferirse de otras consultas del dataset.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Equilibrio de oficios: cada uno de los 20 oficios tiene entre 90 y 110 consultas (tolerancia ±10%).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Cobertura de categorías: cada categoría de cada oficio tiene al menos 5 consultas.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Cobertura de niveles: cada oficio tiene consultas en los 6 niveles de dificultad.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Cobertura de mecanismos: los 15 mecanismos IA están representados con al menos 20 consultas cada uno.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Cobertura lingüística: las 8 tipologías lingüísticas están representadas con al menos 50 consultas cada una.</w:t>
      </w:r>
    </w:p>
    <w:p>
      <w:pPr>
        <w:spacing w:after="1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Composición estimada: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200"/>
      </w:tblGrid>
      <w:tr>
        <w:trPr>
          <w:tblHeader/>
        </w:trPr>
        <w:tc>
          <w:tcPr>
            <w:tcW w:type="dxa" w:w="67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2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Consultas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Núcleo BM-v62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1.500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Ampliación hasta equilibrio de oficios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~300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Cobertura de categorías faltantes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~100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Consultas de validación cruzada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~100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≈2.000</w:t>
            </w:r>
          </w:p>
        </w:tc>
      </w:tr>
    </w:tbl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5. Protocolo Científico de Validación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5.1 Definición Formal de Respuesta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Para cada consulta q_i del benchmark, el motor produce una respuesta r_i. Se define la siguiente taxonomía de respuestas: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Clase A — CORRECTO (respuesta válida con precios de catálogo)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r_i ∈ {OK_CATALOGO, OK_MIXTO}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Condiciones necesarias y suficientes: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 respuesta contiene al menos una partida (partidas.length ≥ 1).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 menos una partida tiene origen ∈ {catalogo, mixto}.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precio_unitario &gt; 0 para todas las partidas con origen = catalogo.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stop_reason = "end_turn".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 respuesta es parseable como JSON válido.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Clase B — GENERADO SIN PRECIO (respuesta válida sin precios de catálogo)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r_i ∈ {SOLO_SUGERIDAS}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Condiciones necesarias y suficientes: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 respuesta contiene al menos una partida (partidas.length ≥ 1).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Todas las partidas tienen origen = "sugerida_ia" o precio_unitario = 0.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stop_reason = "end_turn".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 respuesta es parseable como JSON válido.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Nota: SOLO_SUGERIDAS es un resultado válido del motor. El instalador puede completar los precios desde su catálogo externo; TradeFlow aprende de esa interacción. No es un fallo del motor, sino un gap del catálogo.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Clase C — FALLO RECUPERABLE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r_i ∈ {PRECIO_INVALIDO}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 respuesta tiene estructura correcta pero contiene precios inválidos (precio_unitario &lt; 0 o no numérico).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 motor ha generado el trabajo pero con datos de precio corruptos.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Clase D — FALLO IRRECUPERABLE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r_i ∈ {VACÍO, TRUNCADO, ERROR_TECNICO}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VACÍO: la respuesta contiene 0 partidas o el array partidas está vacío.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TRUNCADO: stop_reason = "max_tokens". El modelo ha alcanzado el límite y la respuesta está incompleta.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ERROR_TECNICO: error HTTP 5xx, timeout, o respuesta no parseable.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5.2 Definición Formal de Respuesta Parcialmente Correcta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Para el cálculo de métricas de estructura y precio se requiere una evaluación más granular.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Dado un conjunto de partidas esperadas P_ref = {p_1, ..., p_n} (anotadas en el benchmark) y un conjunto de partidas generadas P_gen = {g_1, ..., g_m}: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Partida correcta: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g_j es considerada correcta si existe p_k ∈ P_ref tal que la descripción semántica coincide (similitud coseno &gt; 0,85, o match exacto en código de actuación) y la unidad de medida es compatible (ud, m², ml, h → según tipo de actuación).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Partida parcialmente correcta: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la descripción coincide pero la unidad difiere o el precio está fuera del rango de referencia en más de un 30%.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Partida incorrecta: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no existe p_k ∈ P_ref que satisfaga las condiciones anteriores.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5.3 Definición de Fallo a Efectos del Benchmark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efectos del benchmark, se define fallo como cualquier respuesta de Clase C o D: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Fallo = PRECIO_INVALIDO ∪ VACÍO ∪ TRUNCADO ∪ ERROR_TECNICO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Los fallos de Clase D (irrecuperables) se subdividen para análisis: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Fallo sistémico: si la misma consulta produce fallo en ≥90% de las ejecuciones de repetición → indica problema estructural del motor.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Fallo transitorio: si la misma consulta produce fallo en &lt;50% de las ejecuciones de repetición → indica problema de infraestructura (HTTP 503, timeout).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Los fallos transitorios se excluyen del cálculo de métricas de motor (se incluyen en métricas de infraestructura).</w:t>
      </w:r>
    </w:p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6. Sistema de Puntuación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6.1 Score por Consulta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Para cada consulta q_i, se calculan cinco scores dimensionales en el rango [0, 1]: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SD1 — Score de Generación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SD1(i) = 1  si  r_i ∈ Clase A ∪ Clase B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SD1(i) = 0  si  r_i ∈ Clase C ∪ Clase 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SD2 — Score de Estructura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SD2(i) = |P_correctas| / |P_ref|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Solo computable cuando |P_ref| &gt; 0 (consultas con respuesta de referencia anotada). Para consultas sin anotación de referencia, SD2 no se calcula.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SD3 — Score de Precio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Para cada partida correcta g_j con precio de referencia precio_ref_j: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SP_j = max(0, 1 - |precio_gen_j - precio_ref_j| / precio_ref_j)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SD3(i) = mean(SP_j) para todas las partidas correctas con precio de referencia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Solo computable cuando existen partidas con precio de referencia anotado.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SD4 — Score de Latencia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SD4(i) = 1              si  lat_i ≤ 20.000 ms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SD4(i) = 1 - (lat_i - 20.000) / 30.000    si  20.000 &lt; lat_i ≤ 50.000 ms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SD4(i) = 0              si  lat_i &gt; 50.000 ms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SD5 — Score de Estabilidad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Para consultas con variantes de paráfrasis {q_i^1, q_i^2, ..., q_i^k}: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SD5(i) = proporción de variantes con misma clase de respuesta (A, B, C, D) que q_i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Para consultas sin variantes documentadas, SD5 no se calcula.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6.2 Score Agregado por Consulta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Score(i) = 0,40 × SD1(i) + 0,30 × SD2(i) + 0,20 × SD3(i) + 0,10 × SD4(i)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(SD5 se reporta de forma independiente como métrica de robustez, no entra en el score agregado.)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Los pesos reflejan la prioridad del producto: lo más importante es que se genere un presupuesto (SD1), luego que sea estructuralmente correcto (SD2), luego que los precios sean precisos (SD3), y finalmente que sea rápido (SD4).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6.3 Score Global del Motor (SGM)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SGM = (1/N) × Σ Score(i)  para i = 1..N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SGM es el indicador sintético oficial del rendimiento del motor sobre un benchmark dado.</w:t>
      </w:r>
    </w:p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7. Métricas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7.1 Métricas Primarias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Estas métricas son las que se reportan de forma oficial en documentación de financiación: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TG — Tasa de Generación (métrica de producto)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TG = (N_A + N_B) / N_total × 100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donde N_A = respuestas Clase A, N_B = respuestas Clase B.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Interpretación: porcentaje de consultas para las que el motor produce un presupuesto accionable.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TCC — Tasa de Cobertura de Catálogo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TCC = N_A / N_total × 100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Interpretación: porcentaje de consultas resueltas con precios del catálogo TradeFlow.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TF — Tasa de Fallo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TF = (N_C + N_D) / N_total × 100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Interpretación: porcentaje de consultas que no producen un presupuesto válido.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TT — Tasa de Truncado (crítico)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TT = N_TRUNCADO / N_total × 100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Interpretación: porcentaje de respuestas incompletas por alcanzar el límite de tokens. Debe ser 0% en producción.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7.2 Métricas Secundarias de Calidad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Recall de Partidas (RP)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Solo computable para consultas con anotación de referencia: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RP = Σ(|P_correctas_i|) / Σ(|P_ref_i|) × 100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Interpretación: porcentaje de partidas esperadas que el motor genera correctamente.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Precisión de Partidas (PP)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PP = Σ(|P_correctas_i|) / Σ(|P_gen_i|) × 100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Interpretación: porcentaje de partidas generadas que son correctas (sin ruido).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F1 de Partidas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F1 = 2 × (RP × PP) / (RP + PP)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Desviación Media de Precio (DMP)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Para partidas con precio de referencia: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DMP = mean(|precio_gen - precio_ref| / precio_ref) × 100  [%]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7.3 Métricas de Latencia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500"/>
      </w:tblGrid>
      <w:tr>
        <w:trPr>
          <w:tblHeader/>
        </w:trPr>
        <w:tc>
          <w:tcPr>
            <w:tcW w:type="dxa" w:w="2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4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25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Umbral de alerta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Lat_P50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Mediana de latencia end-to-end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&gt; 15s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Lat_P95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Percentil 95 de latencia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&gt; 30s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Lat_P99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Percentil 99 de latencia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&gt; 45s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Lat_max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Máximo observado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&gt; 60s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TokOut_P95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Percentil 95 de tokens de salida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&gt; 6.000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TokOut_max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Máximo de tokens de salida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= 8.192 (límite absoluto)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7.4 Métricas de Robustez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RP — Robustez Parafrástica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Para grupos de consultas que representan variantes del mismo trabajo: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RP = (Ngrupos con clasificación uniforme) / (Ngrupos_total) × 100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Umbral de aceptación: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RP ≥ 85%.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RO — Robustez Ortográfica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Diferencia en TG entre consultas con errores ortográficos y sus equivalentes limpias: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RO_degradación = TG(L1) - TG(L5)  [pp]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Umbral de aceptación: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degradación ≤ 5 puntos porcentuales.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RV — Robustez de Voz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RV_degradación = TG(L1+L2) - TG(L6+L7)  [pp]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Umbral de aceptación: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degradación ≤ 10 puntos porcentuales.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7.5 Métricas de Cobertura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CS — Cobertura Semántica del Catálogo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CS = (Nconsultas con kbContext no vacío) / N_total × 100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Interpretación: porcentaje de consultas para las que el sistema encuentra al menos una actuación relevante en la Base Maestra.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C2535"/>
          <w:sz w:val="23"/>
          <w:szCs w:val="23"/>
        </w:rPr>
        <w:t xml:space="preserve">CO — Cobertura de Oficios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CO_oficio = TG_oficio / TG_global × 100  [índice relativo]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Un CO_oficio &lt; 80 indica que ese oficio tiene rendimiento significativamente por debajo de la media.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7.6 Umbrales de Aceptación para Promoción RC → Producción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Toda versión candidata a producción debe superar, sobre BM-v61 o superior: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2600"/>
      </w:tblGrid>
      <w:tr>
        <w:trPr>
          <w:tblHeader/>
        </w:trPr>
        <w:tc>
          <w:tcPr>
            <w:tcW w:type="dxa" w:w="34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9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Umbral mínimo</w:t>
            </w:r>
          </w:p>
        </w:tc>
        <w:tc>
          <w:tcPr>
            <w:tcW w:type="dxa" w:w="2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TG (Tasa de Generación)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95,0%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TF (Tasa de Fallo)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≤ 3,0%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TT (Tasa de Truncado)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= 0,0%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Lat_P95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≤ 35s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Recomendado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RP (Robustez Parafrástica)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85,0%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Recomendado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RO_degradación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≤ 5 pp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Recomendado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N_VACÍO en 800 consultas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≤ 8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Recomendado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Ninguna versión puede desplegarse a producción con TT &gt; 0 o TG &lt; 95%.</w:t>
      </w:r>
    </w:p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8. Protocolo de Evolución e Inmutabilidad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8.1 Reglas de Inmutabilidad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Regla I-1: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una vez publicado un benchmark, su conjunto de consultas es inmutable. Está prohibido modificar el texto de cualquier consulta, su etiquetado o su respuesta de referencia.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Regla I-2: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si se detecta un error en una consulta (ambigüedad no intencional, error de anotación), el error se documenta en el registro de errores (BENCHMARK_ERRATA.md) pero la consulta permanece en el benchmark sin modificación. Esta regla elimina el sesgo de corrección posterior.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Regla I-3: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ninguna consulta del benchmark puede haber sido utilizada directamente en el ajuste, fine-tuning o few-shot prompting del motor evaluado. La violación de esta regla invalida los resultados del benchmark.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Regla I-4: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el benchmark solo puede ampliarse, nunca contraerse. Un benchmark de nivel N es siempre un subconjunto del benchmark de nivel N+1.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8.2 Proceso de Extensión del Benchmark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Para publicar una nueva versión del benchmark (N → N+1):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Propuesta: redactar documento de especificación de la nueva versión (distribución, criterios, dimensiones nuevas).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Generación: generar las consultas nuevas siguiendo estrictamente la taxonomía definida en este documento.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Revisión técnica: revisión por al menos dos personas independientes del equipo de motor IA.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Validación de unicidad: comprobar que ninguna consulta nueva es paráfrasis trivial de una consulta existente (similitud coseno &gt; 0,95 → rechazar).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Publicación: asignar identificador de versión, fecha y hash SHA-256 del archivo de consultas. El hash garantiza la integridad futura.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Ejecución de línea base: ejecutar el motor en producción actual sobre las consultas nuevas y documentar resultados.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8.3 Identificación y Trazabilidad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consulta del benchmark tiene un identificador único con el formato: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BM-{VERSION}-{OFICIO}-{CATEGORIA}-{SECUENCIA}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Ejemplo: 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BM-GD-OF01-E02-0042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→ Gold Dataset, Electricidad, Cuadros eléctricos, consulta 42.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Cada consulta almacena adicionalmente: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nivel_dificultad: N1–N6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tipologia_linguistica: L1–L8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mecanismos_ia: lista de M01–M15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texto: texto exacto de la consulta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respuesta_referencia (opcional): JSON de referencia para cálculo de SD2/SD3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notas: justificación del caso, contexto de diseño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8.4 Versionado del Motor vs. Versionado del Benchmark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versionado del motor (v59, v60, ...) y el versionado del benchmark (BM-v60, BM-v61, ...) son independientes. La matriz de resultados oficial es: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Resultado(motor_M, benchmark_B) → {TG, TCC, TF, Lat_P95, SGM}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nueva versión del motor debe ejecutarse contra todos los benchmarks publicados hasta la fecha para garantizar la comparabilidad longitudinal.</w:t>
      </w:r>
    </w:p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9. Distribución del Gold Dataset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9.1 Distribución por Oficios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1700"/>
      </w:tblGrid>
      <w:tr>
        <w:trPr>
          <w:tblHeader/>
        </w:trPr>
        <w:tc>
          <w:tcPr>
            <w:tcW w:type="dxa" w:w="50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Oficio</w:t>
            </w:r>
          </w:p>
        </w:tc>
        <w:tc>
          <w:tcPr>
            <w:tcW w:type="dxa" w:w="2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Consultas objetivo</w:t>
            </w:r>
          </w:p>
        </w:tc>
        <w:tc>
          <w:tcPr>
            <w:tcW w:type="dxa" w:w="17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del total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OF-01 Electricidad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105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5,25%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OF-02 Fontanería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5,00%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OF-03 Climatización / HVAC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5,00%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OF-04 Calefacción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95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4,75%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OF-05 Gas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95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4,75%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OF-06 Carpintería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95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4,75%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OF-07 Albañilería y Obras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105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5,25%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OF-08 Pintura y Decoración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95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4,75%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OF-09 Cerrajería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4,50%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OF-10 Suelos y Pavimentos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95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4,75%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OF-11 Alicatado y Revestimientos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95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4,75%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OF-12 Impermeabilización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4,50%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OF-13 Aislamiento Térmico y Acústico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4,50%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OF-14 Energía Solar / Fotovoltaica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5,00%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OF-15 Telecomunicaciones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4,50%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OF-16 Seguridad y Alarmas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4,50%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OF-17 Carpintería de Aluminio y PVC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95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4,75%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OF-18 Jardinería y Paisajismo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4,50%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OF-19 Piscinas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4,50%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OF-20 Reformas Integrales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110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5,50%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2.000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Tolerancia: ±5 consultas por oficio. Máximo desequilibrio admisible entre el oficio con mayor representación (OF-20) y el de menor (OF-09, OF-12, OF-13, OF-15, OF-16, OF-18, OF-19): ratio ≤ 1,22.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9.2 Distribución por Nivel de Dificultad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2000"/>
      </w:tblGrid>
      <w:tr>
        <w:trPr>
          <w:tblHeader/>
        </w:trPr>
        <w:tc>
          <w:tcPr>
            <w:tcW w:type="dxa" w:w="47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Consultas</w:t>
            </w:r>
          </w:p>
        </w:tc>
        <w:tc>
          <w:tcPr>
            <w:tcW w:type="dxa" w:w="20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N1 — Simple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N2 — Normal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N3 — Complejo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N4 — Ambiguo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N5 — Coloquial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N6 — Voz transcrita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2.000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oficio debe tener al menos 3 consultas en cada nivel de dificultad.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9.3 Distribución por Tipología Lingüística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2000"/>
      </w:tblGrid>
      <w:tr>
        <w:trPr>
          <w:tblHeader/>
        </w:trPr>
        <w:tc>
          <w:tcPr>
            <w:tcW w:type="dxa" w:w="47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Tipología</w:t>
            </w:r>
          </w:p>
        </w:tc>
        <w:tc>
          <w:tcPr>
            <w:tcW w:type="dxa" w:w="2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Consultas</w:t>
            </w:r>
          </w:p>
        </w:tc>
        <w:tc>
          <w:tcPr>
            <w:tcW w:type="dxa" w:w="20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L1 — Técnico formal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L2 — Técnico informal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L3 — Coloquial estándar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L4 — Coloquial regional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L5 — Con errores ortográficos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L6 — Voz transcrita limpia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L7 — Voz transcrita con ruido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L8 — Multiidioma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2.000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100%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9.4 Distribución por Mecanismo IA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200"/>
      </w:tblGrid>
      <w:tr>
        <w:trPr>
          <w:tblHeader/>
        </w:trPr>
        <w:tc>
          <w:tcPr>
            <w:tcW w:type="dxa" w:w="67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2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Consultas mínimas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M01 — Clasificación de oficio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M02 — Clasificación de actuación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M03 — Recuperación semántica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M04 — Resolución de sinónimos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M05 — Fallback a sugeridas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M06 — Actuaciones múltiples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M07 — Extracción de cantidad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M08 — Inferencia de localización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M09 — Manejo de ambigüedad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M10 — Lenguaje coloquial / argot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M11 — Voz con disfluencias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M12 — Consulta incompleta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M13 — Comparación de proveedores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6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M14 — Reforma multidisciplinar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M15 — Detección de contrato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(Una consulta puede activar múltiples mecanismos. La suma supera 2.000.)</w:t>
      </w:r>
    </w:p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10. Roadmap del Benchmark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Fase 1 — BM-v61 (Q3 2026)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duplicar cobertura, validar robustez lingüística básica.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300"/>
      </w:tblGrid>
      <w:tr>
        <w:trPr>
          <w:tblHeader/>
        </w:trPr>
        <w:tc>
          <w:tcPr>
            <w:tcW w:type="dxa" w:w="34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estimada</w:t>
            </w:r>
          </w:p>
        </w:tc>
        <w:tc>
          <w:tcPr>
            <w:tcW w:type="dxa" w:w="33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Especificación completa BM-v61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2026-07-21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BM-SPEC-v61.md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Generación de 400 consultas nuevas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2026-07-31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benchmark_v61.json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Revisión técnica y de unicidad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2026-08-07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Informe de revisión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Publicación y hash SHA-256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2026-08-10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Registro oficial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Ejecución sobre motor en producción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2026-08-11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Resultados BM-v61-M59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Fase 2 — BM-v62 (Q4 2026)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validación de robustez completa, cobertura de cola larga.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300"/>
      </w:tblGrid>
      <w:tr>
        <w:trPr>
          <w:tblHeader/>
        </w:trPr>
        <w:tc>
          <w:tcPr>
            <w:tcW w:type="dxa" w:w="34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estimada</w:t>
            </w:r>
          </w:p>
        </w:tc>
        <w:tc>
          <w:tcPr>
            <w:tcW w:type="dxa" w:w="33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Especificación completa BM-v62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2026-10-01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BM-SPEC-v62.md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Generación de 700 consultas nuevas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2026-10-20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benchmark_v62.json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Publicación y ejecución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2026-10-31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Resultados BM-v62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Fase 3 — BM-GD Gold Dataset (Q1–Q2 2027)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benchmark definitivo del proyecto. Calidad de referencia para publicación científica.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300"/>
      </w:tblGrid>
      <w:tr>
        <w:trPr>
          <w:tblHeader/>
        </w:trPr>
        <w:tc>
          <w:tcPr>
            <w:tcW w:type="dxa" w:w="34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estimada</w:t>
            </w:r>
          </w:p>
        </w:tc>
        <w:tc>
          <w:tcPr>
            <w:tcW w:type="dxa" w:w="33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Auditoría de cobertura de BM-v62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2026-11-15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GAP analysis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Generación de consultas de ampliación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2026-12-31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Corpus parcial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Anotación de respuestas de referencia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2027-01-31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Gold annotations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Revisión por experto externo del sector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2027-02-28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Informe de validación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Publicación Gold Dataset v1.0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2027-03-15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BM-GD-v1.0.json + hash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Ejecución oficial sobre motor activo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2027-03-16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Resultados Gold</w:t>
            </w:r>
          </w:p>
        </w:tc>
      </w:tr>
    </w:tbl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11. Comparativa con Benchmarks de Referencia Internacional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diseño del Sistema de Validación de TrabFlow sigue los principios establecidos en los benchmarks de referencia de la industria IA, adaptados al dominio de extracción de información y generación de documentos técnicos en lenguaje natural: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100"/>
      </w:tblGrid>
      <w:tr>
        <w:trPr>
          <w:tblHeader/>
        </w:trPr>
        <w:tc>
          <w:tcPr>
            <w:tcW w:type="dxa" w:w="2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Benchmark de referencia</w:t>
            </w:r>
          </w:p>
        </w:tc>
        <w:tc>
          <w:tcPr>
            <w:tcW w:type="dxa" w:w="22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Dominio</w:t>
            </w:r>
          </w:p>
        </w:tc>
        <w:tc>
          <w:tcPr>
            <w:tcW w:type="dxa" w:w="41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Principio adoptado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GLUE / SuperGLUE (Wang et al., 2018/2019)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NLP general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Múltiples tareas, métricas compuestas, benchmark público e inmutable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SQuAD 2.0 (Rajpurkar et al., 2018)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QA sobre documentos</w:t>
            </w:r>
          </w:p>
        </w:tc>
        <w:tc>
          <w:tcPr>
            <w:tcW w:type="dxa" w:w="4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Preguntas imposibles de responder como clase de fallo, F1 como métrica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HumanEval (Chen et al., 2021)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Generación de código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Pass@k como métrica de generación, evaluación funcional no superficial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MT-Bench (Zheng et al., 2023)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Modelos de chat</w:t>
            </w:r>
          </w:p>
        </w:tc>
        <w:tc>
          <w:tcPr>
            <w:tcW w:type="dxa" w:w="4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Evaluación multi-turno, juez externo para subjetividad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MTEB (Muennighoff et al., 2022)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Embeddings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Cobertura de múltiples tareas y dominios, distribución equilibrada</w:t>
            </w:r>
          </w:p>
        </w:tc>
      </w:tr>
    </w:tbl>
    <w:p>
      <w:pPr>
        <w:spacing w:after="1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Diferenciadores del SOV TrabFlow: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1. Dominio especializado verificado por expertos del sector.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Las respuestas de referencia son validadas por instaladores profesionales, no por anotadores generalistas.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2. Evaluación funcional, no superficial.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El criterio de corrección no es similitud de texto sino usabilidad real del presupuesto generado.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3. Métricas de negocio alineadas con KPIs de producto.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La Tasa de Generación (TG) es directamente el KPI que mide el valor del producto para el instalador.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4. Protocolo de evolución controlada.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El sistema de superseting garantiza comparabilidad longitudinal indefinida.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5. Cobertura de variabilidad lingüística del sector.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El lenguaje coloquial técnico de los instaladores españoles es una dimensión de variabilidad que benchmarks generalistas no contemplan.</w:t>
      </w:r>
    </w:p>
    <w:p>
      <w:r>
        <w:br w:type="page"/>
      </w:r>
    </w:p>
    <w:p>
      <w:pPr>
        <w:pStyle w:val="Heading1"/>
        <w:pBdr>
          <w:bottom w:val="single" w:color="1A5A9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C2535"/>
          <w:sz w:val="32"/>
          <w:szCs w:val="32"/>
        </w:rPr>
        <w:t xml:space="preserve">Apéndices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Apéndice A — Esquema JSON de una Consulta del Benchmark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"id": "BM-GD-OF01-E02-0042",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"version_benchmark": "GD",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"oficio": "OF-01",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"categoria": "E-02",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"nivel_dificultad": "N3",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"tipologia_linguistica": "L1",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"mecanismos_ia": ["M02", "M03", "M07"],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"texto": "Sustituir cuadro eléctrico completo en vivienda de 90m2: ICP 40A,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diferencial 40A/30mA, seis magnetotérmicos de 16A y dos de 10A, con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cableado de tierra",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"respuesta_referencia": {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"partidas": [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{ "descripcion": "Cuadro de distribución empotrable", "unidades": 1,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"unidad": "ud", "precio_unitario": 85.00 },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{ "descripcion": "ICP 40A", "unidades": 1, "unidad": "ud",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"precio_unitario": 45.00 },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{ "descripcion": "Interruptor diferencial 40A/30mA", "unidades": 1,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"unidad": "ud", "precio_unitario": 38.00 },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{ "descripcion": "Magnetotérmico 16A", "unidades": 6, "unidad": "ud",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"precio_unitario": 18.00 },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{ "descripcion": "Magnetotérmico 10A", "unidades": 2, "unidad": "ud",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"precio_unitario": 18.00 },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{ "descripcion": "Mano de obra instalación cuadro eléctrico",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"unidades": 4, "unidad": "h", "precio_unitario": 35.00 }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]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"notas": "Consulta N3 que activa extracción de cantidades múltiples (6 y 2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magnetotérmicos de diferente amperaje). Valida M07 (cantidades) y M03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(recuperación cuadro eléctrico en Base Maestra).",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"fecha_creacion": "2026-07-07",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"hash_texto": "sha256:..."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}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Apéndice B — Definición del Pipeline de Ejecución del Benchmark</w:t>
      </w:r>
    </w:p>
    <w:p>
      <w:pPr>
        <w:pBdr>
          <w:top w:val="single" w:color="1C2535" w:sz="4" w:space="4"/>
          <w:bottom w:val="single" w:color="1C2535" w:sz="4" w:space="4"/>
          <w:left w:val="single" w:color="1C2535" w:sz="4" w:space="4"/>
          <w:right w:val="single" w:color="1C2535" w:sz="4" w:space="4"/>
        </w:pBdr>
        <w:shd w:fill="1C2535" w:val="clear"/>
        <w:spacing w:after="240" w:before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[Archivo JSON de consultas]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[trade-benchmark-runner v4]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├── Lee consultas por lotes (configurable: 10/lote)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├── POST → trade-voice-to-quote (TRADE_TEST_KEY)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├── Clasifica respuesta → {OK_CATALOGO, OK_MIXTO, SOLO_SUGERIDAS, VACÍO,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│      TRUNCADO, PRECIO_INVALIDO, ERROR_TECNICO}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├── Registra en trade_benchmark_results {run_id, query_id, categoria,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│      lat_ms, tokens_in, tokens_out, stop_reason}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└── Al finalizar → llama a recompute_run_stats(run_id)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[trade_benchmark_runs] → {ok_rate, queries_ok, queries_solo_sug, lat_p95_ms,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                    tok_max, ...}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color w:val="E8E8E8"/>
          <w:sz w:val="18"/>
          <w:szCs w:val="18"/>
        </w:rPr>
        <w:br/>
        <w:t xml:space="preserve">[AdminAIValidationSection] → Dashboard de resultados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Apéndice C — Glosario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100"/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Actuación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Unidad de trabajo del catálogo TradeFlow. Agrupa partidas relacionadas bajo un tipo de servicio.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Base Maestra (kbContext)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Contexto de conocimiento inyectado en el prompt del motor con actuaciones y precios del catálogo de la organización.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Partida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Línea de presupuesto: descripción, unidades, precio unitario, importe.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Benchmark leakage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Contaminación del benchmark cuando las consultas se usan en el entrenamiento del modelo evaluado.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stop_reason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Campo de la respuesta del modelo que indica si terminó por decisión propia (end_turn) o por límite de tokens (max_tokens).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Tasa de Generación (TG)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Métrica primaria de producto: presupuestos accionables generados / total consultas.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Gold Dataset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Benchmark definitivo del proyecto, con cobertura exhaustiva y anotaciones de referencia validadas por expertos.</w:t>
            </w:r>
          </w:p>
        </w:tc>
      </w:tr>
    </w:tbl>
    <w:p>
      <w:pPr>
        <w:spacing w:after="400"/>
      </w:pPr>
    </w:p>
    <w:p>
      <w:pPr>
        <w:pBdr>
          <w:top w:val="single" w:color="D9D9D9" w:sz="4" w:space="8"/>
        </w:pBdr>
        <w:spacing w:before="3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Documento preparado por: TrabFlow Technologies — Área de I+D</w:t>
      </w:r>
    </w:p>
    <w:p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Referencia: BM-2026-001 v1.0</w:t>
      </w:r>
    </w:p>
    <w:p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Próxima revisión programada: publicación de BM-v61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BM-2026-001 · 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TrabFlow Technologies · Sistema de Validación del Motor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2026-07-07T20:57:22.823Z</dcterms:created>
  <dcterms:modified xsi:type="dcterms:W3CDTF">2026-07-07T20:57:22.834Z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