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 w:after="0"/>
        <w:rPr/>
      </w:pPr>
      <w:r>
        <w:rPr/>
      </w:r>
    </w:p>
    <w:tbl>
      <w:tblPr>
        <w:tblW w:w="9300" w:type="dxa"/>
        <w:jc w:val="left"/>
        <w:tblInd w:w="0" w:type="dxa"/>
        <w:tblLayout w:type="fixed"/>
        <w:tblCellMar>
          <w:top w:w="200" w:type="dxa"/>
          <w:left w:w="100" w:type="dxa"/>
          <w:bottom w:w="200" w:type="dxa"/>
          <w:right w:w="108" w:type="dxa"/>
        </w:tblCellMar>
      </w:tblPr>
      <w:tblGrid>
        <w:gridCol w:w="9300"/>
      </w:tblGrid>
      <w:tr>
        <w:trPr/>
        <w:tc>
          <w:tcPr>
            <w:tcW w:w="9300" w:type="dxa"/>
            <w:tcBorders/>
            <w:shd w:fill="1C2535" w:val="clear"/>
          </w:tcPr>
          <w:p>
            <w:pPr>
              <w:pStyle w:val="Normal"/>
              <w:widowControl w:val="false"/>
              <w:rPr/>
            </w:pPr>
            <w:r>
              <w:rPr>
                <w:b/>
                <w:bCs/>
                <w:color w:val="FFFFFF"/>
                <w:sz w:val="18"/>
                <w:szCs w:val="18"/>
              </w:rPr>
              <w:t>DOSSIER EJECUTIVO · CONFIDENCIAL</w:t>
            </w:r>
          </w:p>
        </w:tc>
      </w:tr>
    </w:tbl>
    <w:p>
      <w:pPr>
        <w:pStyle w:val="Normal"/>
        <w:spacing w:before="900" w:after="0"/>
        <w:rPr/>
      </w:pPr>
      <w:r>
        <w:rPr/>
      </w:r>
    </w:p>
    <w:p>
      <w:pPr>
        <w:pStyle w:val="Normal"/>
        <w:jc w:val="center"/>
        <w:rPr/>
      </w:pPr>
      <w:r>
        <w:rPr>
          <w:b/>
          <w:bCs/>
          <w:color w:val="1A5A96"/>
          <w:sz w:val="72"/>
          <w:szCs w:val="72"/>
        </w:rPr>
        <w:t>TradeFlow</w:t>
      </w:r>
    </w:p>
    <w:p>
      <w:pPr>
        <w:pStyle w:val="Normal"/>
        <w:spacing w:before="120" w:after="300"/>
        <w:jc w:val="center"/>
        <w:rPr/>
      </w:pPr>
      <w:r>
        <w:rPr>
          <w:i/>
          <w:iCs/>
          <w:color w:val="1C2535"/>
          <w:sz w:val="26"/>
          <w:szCs w:val="26"/>
        </w:rPr>
        <w:t>El sistema operativo de inteligencia artificial del instalador autónomo</w:t>
      </w:r>
    </w:p>
    <w:p>
      <w:pPr>
        <w:pStyle w:val="Normal"/>
        <w:spacing w:before="100" w:after="0"/>
        <w:jc w:val="center"/>
        <w:rPr/>
      </w:pPr>
      <w:r>
        <w:rPr>
          <w:color w:val="555555"/>
          <w:sz w:val="20"/>
          <w:szCs w:val="20"/>
        </w:rPr>
        <w:t>Presentación institucional para SODERCAN</w:t>
      </w:r>
    </w:p>
    <w:p>
      <w:pPr>
        <w:pStyle w:val="Normal"/>
        <w:spacing w:before="1200" w:after="0"/>
        <w:rPr/>
      </w:pPr>
      <w:r>
        <w:rPr/>
      </w:r>
    </w:p>
    <w:tbl>
      <w:tblPr>
        <w:tblW w:w="9300" w:type="dxa"/>
        <w:jc w:val="left"/>
        <w:tblInd w:w="0" w:type="dxa"/>
        <w:tblLayout w:type="fixed"/>
        <w:tblCellMar>
          <w:top w:w="90" w:type="dxa"/>
          <w:left w:w="110" w:type="dxa"/>
          <w:bottom w:w="90" w:type="dxa"/>
          <w:right w:w="110" w:type="dxa"/>
        </w:tblCellMar>
      </w:tblPr>
      <w:tblGrid>
        <w:gridCol w:w="2600"/>
        <w:gridCol w:w="6699"/>
      </w:tblGrid>
      <w:tr>
        <w:trPr>
          <w:tblHeader w:val="true"/>
        </w:trPr>
        <w:tc>
          <w:tcPr>
            <w:tcW w:w="2600" w:type="dxa"/>
            <w:tcBorders>
              <w:top w:val="single" w:sz="2" w:space="0" w:color="AAAAAA"/>
              <w:left w:val="single" w:sz="2" w:space="0" w:color="AAAAAA"/>
              <w:bottom w:val="single" w:sz="2" w:space="0" w:color="DDDDDD"/>
              <w:right w:val="single" w:sz="2" w:space="0" w:color="DDDDDD"/>
            </w:tcBorders>
            <w:shd w:fill="1C2535" w:val="clear"/>
            <w:vAlign w:val="center"/>
          </w:tcPr>
          <w:p>
            <w:pPr>
              <w:pStyle w:val="Normal"/>
              <w:widowControl w:val="false"/>
              <w:jc w:val="left"/>
              <w:rPr/>
            </w:pPr>
            <w:r>
              <w:rPr>
                <w:b/>
                <w:bCs/>
                <w:color w:val="FFFFFF"/>
                <w:sz w:val="19"/>
                <w:szCs w:val="19"/>
              </w:rPr>
              <w:t>Dato</w:t>
            </w:r>
          </w:p>
        </w:tc>
        <w:tc>
          <w:tcPr>
            <w:tcW w:w="6699" w:type="dxa"/>
            <w:tcBorders>
              <w:top w:val="single" w:sz="2" w:space="0" w:color="AAAAAA"/>
              <w:left w:val="single" w:sz="2" w:space="0" w:color="DDDDDD"/>
              <w:bottom w:val="single" w:sz="2" w:space="0" w:color="DDDDDD"/>
              <w:right w:val="single" w:sz="2" w:space="0" w:color="AAAAAA"/>
            </w:tcBorders>
            <w:shd w:fill="1C2535" w:val="clear"/>
            <w:vAlign w:val="center"/>
          </w:tcPr>
          <w:p>
            <w:pPr>
              <w:pStyle w:val="Normal"/>
              <w:widowControl w:val="false"/>
              <w:jc w:val="left"/>
              <w:rPr/>
            </w:pPr>
            <w:r>
              <w:rPr>
                <w:b/>
                <w:bCs/>
                <w:color w:val="FFFFFF"/>
                <w:sz w:val="19"/>
                <w:szCs w:val="19"/>
              </w:rPr>
              <w:t>Detalle</w:t>
            </w:r>
          </w:p>
        </w:tc>
      </w:tr>
      <w:tr>
        <w:trPr/>
        <w:tc>
          <w:tcPr>
            <w:tcW w:w="26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Promotor</w:t>
            </w:r>
          </w:p>
        </w:tc>
        <w:tc>
          <w:tcPr>
            <w:tcW w:w="66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TrabFlow Technologies, S.L. — denominación reservada en el Registro Mercantil Central</w:t>
            </w:r>
          </w:p>
        </w:tc>
      </w:tr>
      <w:tr>
        <w:trPr/>
        <w:tc>
          <w:tcPr>
            <w:tcW w:w="26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CEO y Administrador</w:t>
            </w:r>
          </w:p>
        </w:tc>
        <w:tc>
          <w:tcPr>
            <w:tcW w:w="66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Fernando Carbonell Cabo</w:t>
            </w:r>
          </w:p>
        </w:tc>
      </w:tr>
      <w:tr>
        <w:trPr/>
        <w:tc>
          <w:tcPr>
            <w:tcW w:w="26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Domicilio previsto</w:t>
            </w:r>
          </w:p>
        </w:tc>
        <w:tc>
          <w:tcPr>
            <w:tcW w:w="66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C/ Varas, 69 · 39699 Castillo Pedroso, Corvera de Toranzo, Cantabria</w:t>
            </w:r>
          </w:p>
        </w:tc>
      </w:tr>
      <w:tr>
        <w:trPr/>
        <w:tc>
          <w:tcPr>
            <w:tcW w:w="26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Marca registrada</w:t>
            </w:r>
          </w:p>
        </w:tc>
        <w:tc>
          <w:tcPr>
            <w:tcW w:w="66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M4383580 (OEPM, clases 09 y 10)</w:t>
            </w:r>
          </w:p>
        </w:tc>
      </w:tr>
      <w:tr>
        <w:trPr/>
        <w:tc>
          <w:tcPr>
            <w:tcW w:w="26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Contacto</w:t>
            </w:r>
          </w:p>
        </w:tc>
        <w:tc>
          <w:tcPr>
            <w:tcW w:w="66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contacto@trabflow.com</w:t>
            </w:r>
            <w:r>
              <w:rPr>
                <w:b w:val="false"/>
                <w:bCs w:val="false"/>
                <w:color w:val="222222"/>
                <w:sz w:val="19"/>
                <w:szCs w:val="19"/>
              </w:rPr>
              <w:t xml:space="preserve"> · 672 336 572 · trabflow.com</w:t>
            </w:r>
          </w:p>
        </w:tc>
      </w:tr>
      <w:tr>
        <w:trPr/>
        <w:tc>
          <w:tcPr>
            <w:tcW w:w="26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Versión del documento</w:t>
            </w:r>
          </w:p>
        </w:tc>
        <w:tc>
          <w:tcPr>
            <w:tcW w:w="66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v1.1 — Dossier ejecutivo SODERCAN</w:t>
            </w:r>
          </w:p>
        </w:tc>
      </w:tr>
      <w:tr>
        <w:trPr/>
        <w:tc>
          <w:tcPr>
            <w:tcW w:w="2600" w:type="dxa"/>
            <w:tcBorders>
              <w:top w:val="single" w:sz="2" w:space="0" w:color="DDDDDD"/>
              <w:left w:val="single" w:sz="2" w:space="0" w:color="AAAAAA"/>
              <w:bottom w:val="single" w:sz="2" w:space="0" w:color="AAAAAA"/>
              <w:right w:val="single" w:sz="2" w:space="0" w:color="DDDDDD"/>
            </w:tcBorders>
            <w:shd w:fill="FFFFFF" w:val="clear"/>
            <w:vAlign w:val="center"/>
          </w:tcPr>
          <w:p>
            <w:pPr>
              <w:pStyle w:val="Normal"/>
              <w:widowControl w:val="false"/>
              <w:jc w:val="left"/>
              <w:rPr/>
            </w:pPr>
            <w:r>
              <w:rPr>
                <w:b w:val="false"/>
                <w:bCs w:val="false"/>
                <w:color w:val="222222"/>
                <w:sz w:val="19"/>
                <w:szCs w:val="19"/>
              </w:rPr>
              <w:t>Fecha</w:t>
            </w:r>
          </w:p>
        </w:tc>
        <w:tc>
          <w:tcPr>
            <w:tcW w:w="6699" w:type="dxa"/>
            <w:tcBorders>
              <w:top w:val="single" w:sz="2" w:space="0" w:color="DDDDDD"/>
              <w:left w:val="single" w:sz="2" w:space="0" w:color="DDDDDD"/>
              <w:bottom w:val="single" w:sz="2" w:space="0" w:color="AAAAAA"/>
              <w:right w:val="single" w:sz="2" w:space="0" w:color="AAAAAA"/>
            </w:tcBorders>
            <w:shd w:fill="FFFFFF" w:val="clear"/>
            <w:vAlign w:val="center"/>
          </w:tcPr>
          <w:p>
            <w:pPr>
              <w:pStyle w:val="Normal"/>
              <w:widowControl w:val="false"/>
              <w:jc w:val="left"/>
              <w:rPr/>
            </w:pPr>
            <w:r>
              <w:rPr>
                <w:b w:val="false"/>
                <w:bCs w:val="false"/>
                <w:color w:val="222222"/>
                <w:sz w:val="19"/>
                <w:szCs w:val="19"/>
              </w:rPr>
              <w:t>Julio 2026</w:t>
            </w:r>
          </w:p>
        </w:tc>
      </w:tr>
    </w:tbl>
    <w:p>
      <w:pPr>
        <w:pStyle w:val="Normal"/>
        <w:spacing w:before="600" w:after="0"/>
        <w:jc w:val="center"/>
        <w:rPr/>
      </w:pPr>
      <w:r>
        <w:rPr>
          <w:i/>
          <w:iCs/>
          <w:color w:val="999999"/>
          <w:sz w:val="15"/>
          <w:szCs w:val="15"/>
        </w:rPr>
        <w:t>Documento confidencial. Uso exclusivo para evaluación institucional.</w:t>
      </w:r>
      <w:r>
        <w:br w:type="page"/>
      </w:r>
    </w:p>
    <w:p>
      <w:pPr>
        <w:pStyle w:val="Normal"/>
        <w:spacing w:before="0" w:after="0"/>
        <w:rPr/>
      </w:pPr>
      <w:r>
        <w:rPr/>
      </w:r>
    </w:p>
    <w:tbl>
      <w:tblPr>
        <w:tblW w:w="9300" w:type="dxa"/>
        <w:jc w:val="left"/>
        <w:tblInd w:w="0" w:type="dxa"/>
        <w:tblLayout w:type="fixed"/>
        <w:tblCellMar>
          <w:top w:w="0" w:type="dxa"/>
          <w:left w:w="108" w:type="dxa"/>
          <w:bottom w:w="0" w:type="dxa"/>
          <w:right w:w="108" w:type="dxa"/>
        </w:tblCellMar>
      </w:tblPr>
      <w:tblGrid>
        <w:gridCol w:w="140"/>
        <w:gridCol w:w="9159"/>
      </w:tblGrid>
      <w:tr>
        <w:trPr/>
        <w:tc>
          <w:tcPr>
            <w:tcW w:w="140" w:type="dxa"/>
            <w:tcBorders/>
            <w:shd w:fill="1A5A96" w:val="clear"/>
          </w:tcPr>
          <w:p>
            <w:pPr>
              <w:pStyle w:val="Normal"/>
              <w:widowControl w:val="false"/>
              <w:rPr/>
            </w:pPr>
            <w:r>
              <w:rPr/>
            </w:r>
          </w:p>
        </w:tc>
        <w:tc>
          <w:tcPr>
            <w:tcW w:w="9159" w:type="dxa"/>
            <w:tcBorders/>
            <w:tcMar>
              <w:left w:w="200" w:type="dxa"/>
            </w:tcMar>
            <w:vAlign w:val="center"/>
          </w:tcPr>
          <w:p>
            <w:pPr>
              <w:pStyle w:val="Normal"/>
              <w:widowControl w:val="false"/>
              <w:rPr/>
            </w:pPr>
            <w:r>
              <w:rPr>
                <w:b/>
                <w:bCs/>
                <w:color w:val="1A5A96"/>
                <w:sz w:val="18"/>
                <w:szCs w:val="18"/>
              </w:rPr>
              <w:t>01</w:t>
            </w:r>
          </w:p>
          <w:p>
            <w:pPr>
              <w:pStyle w:val="Normal"/>
              <w:widowControl w:val="false"/>
              <w:rPr/>
            </w:pPr>
            <w:r>
              <w:rPr>
                <w:b/>
                <w:bCs/>
                <w:color w:val="1C2535"/>
                <w:sz w:val="34"/>
                <w:szCs w:val="34"/>
              </w:rPr>
              <w:t>RESUMEN EJECUTIVO</w:t>
            </w:r>
          </w:p>
        </w:tc>
      </w:tr>
    </w:tbl>
    <w:p>
      <w:pPr>
        <w:pStyle w:val="Normal"/>
        <w:spacing w:before="0" w:after="200"/>
        <w:rPr/>
      </w:pPr>
      <w:r>
        <w:rPr/>
      </w:r>
    </w:p>
    <w:p>
      <w:pPr>
        <w:pStyle w:val="Normal"/>
        <w:spacing w:lineRule="exact" w:line="280" w:before="0" w:after="200"/>
        <w:jc w:val="both"/>
        <w:rPr/>
      </w:pPr>
      <w:r>
        <w:rPr>
          <w:i/>
          <w:iCs/>
          <w:color w:val="1C2535"/>
          <w:sz w:val="22"/>
          <w:szCs w:val="22"/>
        </w:rPr>
        <w:t>TradeFlow es la plataforma de inteligencia artificial que convierte la voz de un instalador autónomo, un electricista, fontanero o técnico de climatización, en un presupuesto profesional con precios reales de mercado en menos de tres minutos, integrando facturación conforme a la normativa VeriFactu, gestión de mantenimientos y cumplimiento normativo.</w:t>
      </w:r>
    </w:p>
    <w:tbl>
      <w:tblPr>
        <w:tblW w:w="9300" w:type="dxa"/>
        <w:jc w:val="left"/>
        <w:tblInd w:w="0" w:type="dxa"/>
        <w:tblLayout w:type="fixed"/>
        <w:tblCellMar>
          <w:top w:w="160" w:type="dxa"/>
          <w:left w:w="120" w:type="dxa"/>
          <w:bottom w:w="160" w:type="dxa"/>
          <w:right w:w="120" w:type="dxa"/>
        </w:tblCellMar>
      </w:tblPr>
      <w:tblGrid>
        <w:gridCol w:w="2325"/>
        <w:gridCol w:w="2325"/>
        <w:gridCol w:w="2325"/>
        <w:gridCol w:w="2324"/>
      </w:tblGrid>
      <w:tr>
        <w:trPr/>
        <w:tc>
          <w:tcPr>
            <w:tcW w:w="2325" w:type="dxa"/>
            <w:tcBorders/>
            <w:shd w:fill="EAF1F8" w:val="clear"/>
          </w:tcPr>
          <w:p>
            <w:pPr>
              <w:pStyle w:val="Normal"/>
              <w:widowControl w:val="false"/>
              <w:spacing w:before="0" w:after="40"/>
              <w:jc w:val="center"/>
              <w:rPr/>
            </w:pPr>
            <w:r>
              <w:rPr>
                <w:b/>
                <w:bCs/>
                <w:color w:val="1A5A96"/>
                <w:sz w:val="30"/>
                <w:szCs w:val="30"/>
              </w:rPr>
              <w:t>650.000+</w:t>
            </w:r>
          </w:p>
          <w:p>
            <w:pPr>
              <w:pStyle w:val="Normal"/>
              <w:widowControl w:val="false"/>
              <w:jc w:val="center"/>
              <w:rPr/>
            </w:pPr>
            <w:r>
              <w:rPr>
                <w:color w:val="1C2535"/>
                <w:sz w:val="15"/>
                <w:szCs w:val="15"/>
              </w:rPr>
              <w:t>Instaladores y pymes de oficios en España</w:t>
            </w:r>
          </w:p>
        </w:tc>
        <w:tc>
          <w:tcPr>
            <w:tcW w:w="2325" w:type="dxa"/>
            <w:tcBorders/>
            <w:shd w:fill="EAF1F8" w:val="clear"/>
          </w:tcPr>
          <w:p>
            <w:pPr>
              <w:pStyle w:val="Normal"/>
              <w:widowControl w:val="false"/>
              <w:spacing w:before="0" w:after="40"/>
              <w:jc w:val="center"/>
              <w:rPr/>
            </w:pPr>
            <w:r>
              <w:rPr>
                <w:b/>
                <w:bCs/>
                <w:color w:val="1A5A96"/>
                <w:sz w:val="30"/>
                <w:szCs w:val="30"/>
              </w:rPr>
              <w:t>93%</w:t>
            </w:r>
          </w:p>
          <w:p>
            <w:pPr>
              <w:pStyle w:val="Normal"/>
              <w:widowControl w:val="false"/>
              <w:jc w:val="center"/>
              <w:rPr/>
            </w:pPr>
            <w:r>
              <w:rPr>
                <w:color w:val="1C2535"/>
                <w:sz w:val="15"/>
                <w:szCs w:val="15"/>
              </w:rPr>
              <w:t>Precisión validada del motor de IA</w:t>
            </w:r>
          </w:p>
        </w:tc>
        <w:tc>
          <w:tcPr>
            <w:tcW w:w="2325" w:type="dxa"/>
            <w:tcBorders/>
            <w:shd w:fill="EAF1F8" w:val="clear"/>
          </w:tcPr>
          <w:p>
            <w:pPr>
              <w:pStyle w:val="Normal"/>
              <w:widowControl w:val="false"/>
              <w:spacing w:before="0" w:after="40"/>
              <w:jc w:val="center"/>
              <w:rPr/>
            </w:pPr>
            <w:r>
              <w:rPr>
                <w:b/>
                <w:bCs/>
                <w:color w:val="1A5A96"/>
                <w:sz w:val="30"/>
                <w:szCs w:val="30"/>
              </w:rPr>
              <w:t>480 M€</w:t>
            </w:r>
          </w:p>
          <w:p>
            <w:pPr>
              <w:pStyle w:val="Normal"/>
              <w:widowControl w:val="false"/>
              <w:jc w:val="center"/>
              <w:rPr/>
            </w:pPr>
            <w:r>
              <w:rPr>
                <w:color w:val="1C2535"/>
                <w:sz w:val="15"/>
                <w:szCs w:val="15"/>
              </w:rPr>
              <w:t>Mercado servible estimado (España)</w:t>
            </w:r>
          </w:p>
        </w:tc>
        <w:tc>
          <w:tcPr>
            <w:tcW w:w="2324" w:type="dxa"/>
            <w:tcBorders/>
            <w:shd w:fill="EAF1F8" w:val="clear"/>
          </w:tcPr>
          <w:p>
            <w:pPr>
              <w:pStyle w:val="Normal"/>
              <w:widowControl w:val="false"/>
              <w:spacing w:before="0" w:after="40"/>
              <w:jc w:val="center"/>
              <w:rPr/>
            </w:pPr>
            <w:r>
              <w:rPr>
                <w:b/>
                <w:bCs/>
                <w:color w:val="1A5A96"/>
                <w:sz w:val="30"/>
                <w:szCs w:val="30"/>
              </w:rPr>
              <w:t>318.000 €</w:t>
            </w:r>
          </w:p>
          <w:p>
            <w:pPr>
              <w:pStyle w:val="Normal"/>
              <w:widowControl w:val="false"/>
              <w:jc w:val="center"/>
              <w:rPr/>
            </w:pPr>
            <w:r>
              <w:rPr>
                <w:color w:val="1C2535"/>
                <w:sz w:val="15"/>
                <w:szCs w:val="15"/>
              </w:rPr>
              <w:t>ARR proyectado a 3 años (escenario base)</w:t>
            </w:r>
          </w:p>
        </w:tc>
      </w:tr>
    </w:tbl>
    <w:p>
      <w:pPr>
        <w:pStyle w:val="Normal"/>
        <w:spacing w:before="0" w:after="160"/>
        <w:rPr/>
      </w:pPr>
      <w:r>
        <w:rPr/>
      </w:r>
    </w:p>
    <w:p>
      <w:pPr>
        <w:pStyle w:val="Normal"/>
        <w:spacing w:before="200" w:after="100"/>
        <w:rPr/>
      </w:pPr>
      <w:r>
        <w:rPr>
          <w:b/>
          <w:bCs/>
          <w:color w:val="B84E35"/>
          <w:sz w:val="22"/>
          <w:szCs w:val="22"/>
        </w:rPr>
        <w:t>El problema</w:t>
      </w:r>
    </w:p>
    <w:p>
      <w:pPr>
        <w:pStyle w:val="Normal"/>
        <w:spacing w:lineRule="exact" w:line="268" w:before="0" w:after="140"/>
        <w:jc w:val="both"/>
        <w:rPr/>
      </w:pPr>
      <w:r>
        <w:rPr>
          <w:color w:val="2A2A2A"/>
          <w:sz w:val="20"/>
          <w:szCs w:val="20"/>
        </w:rPr>
        <w:t>El instalador autónomo dedica hasta una hora a elaborar cada presupuesto de forma manual, sin referencias de precio actualizadas y sin conexión con la facturación. Menos del 20% del sector emplea hoy alguna solución de inteligencia artificial.</w:t>
      </w:r>
    </w:p>
    <w:p>
      <w:pPr>
        <w:pStyle w:val="Normal"/>
        <w:spacing w:before="200" w:after="100"/>
        <w:rPr/>
      </w:pPr>
      <w:r>
        <w:rPr>
          <w:b/>
          <w:bCs/>
          <w:color w:val="B84E35"/>
          <w:sz w:val="22"/>
          <w:szCs w:val="22"/>
        </w:rPr>
        <w:t>La solución</w:t>
      </w:r>
    </w:p>
    <w:p>
      <w:pPr>
        <w:pStyle w:val="Normal"/>
        <w:spacing w:lineRule="exact" w:line="268" w:before="0" w:after="140"/>
        <w:jc w:val="both"/>
        <w:rPr/>
      </w:pPr>
      <w:r>
        <w:rPr>
          <w:color w:val="2A2A2A"/>
          <w:sz w:val="20"/>
          <w:szCs w:val="20"/>
        </w:rPr>
        <w:t>TradeFlow escucha, entiende y estructura el trabajo técnico descrito por voz, apoyándose en una base de conocimiento propia de más de 2.000 actuaciones normalizadas de oficio y en modelos de IA de última generación, sin inventar nunca un precio ni una partida.</w:t>
      </w:r>
    </w:p>
    <w:p>
      <w:pPr>
        <w:pStyle w:val="Normal"/>
        <w:spacing w:before="200" w:after="100"/>
        <w:rPr/>
      </w:pPr>
      <w:r>
        <w:rPr>
          <w:b/>
          <w:bCs/>
          <w:color w:val="B84E35"/>
          <w:sz w:val="22"/>
          <w:szCs w:val="22"/>
        </w:rPr>
        <w:t>Qué buscamos de SODERCAN</w:t>
      </w:r>
    </w:p>
    <w:p>
      <w:pPr>
        <w:pStyle w:val="Normal"/>
        <w:spacing w:lineRule="exact" w:line="268" w:before="0" w:after="140"/>
        <w:jc w:val="both"/>
        <w:rPr/>
      </w:pPr>
      <w:r>
        <w:rPr>
          <w:color w:val="2A2A2A"/>
          <w:sz w:val="20"/>
          <w:szCs w:val="20"/>
        </w:rPr>
        <w:t>En esta primera toma de contacto, TradeFlow busca presentar el proyecto a los técnicos de SODERCAN y explorar el encaje con los programas de apoyo a la innovación y la digitalización de la agencia. TrabFlow Technologies, S.L. formalizará su constitución con domicilio en Cantabria, en Castillo Pedroso (Corvera de Toranzo), lo que sitúa a la región como sede social del proyecto desde su origen y no como una posibilidad a futuro.</w:t>
      </w:r>
      <w:r>
        <w:br w:type="page"/>
      </w:r>
    </w:p>
    <w:p>
      <w:pPr>
        <w:pStyle w:val="Normal"/>
        <w:spacing w:before="0" w:after="0"/>
        <w:rPr/>
      </w:pPr>
      <w:r>
        <w:rPr/>
      </w:r>
    </w:p>
    <w:tbl>
      <w:tblPr>
        <w:tblW w:w="9300" w:type="dxa"/>
        <w:jc w:val="left"/>
        <w:tblInd w:w="0" w:type="dxa"/>
        <w:tblLayout w:type="fixed"/>
        <w:tblCellMar>
          <w:top w:w="0" w:type="dxa"/>
          <w:left w:w="108" w:type="dxa"/>
          <w:bottom w:w="0" w:type="dxa"/>
          <w:right w:w="108" w:type="dxa"/>
        </w:tblCellMar>
      </w:tblPr>
      <w:tblGrid>
        <w:gridCol w:w="140"/>
        <w:gridCol w:w="9159"/>
      </w:tblGrid>
      <w:tr>
        <w:trPr/>
        <w:tc>
          <w:tcPr>
            <w:tcW w:w="140" w:type="dxa"/>
            <w:tcBorders/>
            <w:shd w:fill="1A5A96" w:val="clear"/>
          </w:tcPr>
          <w:p>
            <w:pPr>
              <w:pStyle w:val="Normal"/>
              <w:widowControl w:val="false"/>
              <w:rPr/>
            </w:pPr>
            <w:r>
              <w:rPr/>
            </w:r>
          </w:p>
        </w:tc>
        <w:tc>
          <w:tcPr>
            <w:tcW w:w="9159" w:type="dxa"/>
            <w:tcBorders/>
            <w:tcMar>
              <w:left w:w="200" w:type="dxa"/>
            </w:tcMar>
            <w:vAlign w:val="center"/>
          </w:tcPr>
          <w:p>
            <w:pPr>
              <w:pStyle w:val="Normal"/>
              <w:widowControl w:val="false"/>
              <w:rPr/>
            </w:pPr>
            <w:r>
              <w:rPr>
                <w:b/>
                <w:bCs/>
                <w:color w:val="1A5A96"/>
                <w:sz w:val="18"/>
                <w:szCs w:val="18"/>
              </w:rPr>
              <w:t>02</w:t>
            </w:r>
          </w:p>
          <w:p>
            <w:pPr>
              <w:pStyle w:val="Normal"/>
              <w:widowControl w:val="false"/>
              <w:rPr/>
            </w:pPr>
            <w:r>
              <w:rPr>
                <w:b/>
                <w:bCs/>
                <w:color w:val="1C2535"/>
                <w:sz w:val="34"/>
                <w:szCs w:val="34"/>
              </w:rPr>
              <w:t>EL PROBLEMA</w:t>
            </w:r>
          </w:p>
        </w:tc>
      </w:tr>
    </w:tbl>
    <w:p>
      <w:pPr>
        <w:pStyle w:val="Normal"/>
        <w:spacing w:before="0" w:after="200"/>
        <w:rPr/>
      </w:pPr>
      <w:r>
        <w:rPr/>
      </w:r>
    </w:p>
    <w:p>
      <w:pPr>
        <w:pStyle w:val="Normal"/>
        <w:spacing w:lineRule="exact" w:line="268" w:before="0" w:after="140"/>
        <w:jc w:val="both"/>
        <w:rPr/>
      </w:pPr>
      <w:r>
        <w:rPr>
          <w:color w:val="2A2A2A"/>
          <w:sz w:val="20"/>
          <w:szCs w:val="20"/>
        </w:rPr>
        <w:t>El sector de los oficios técnicos e instalaciones —electricidad, fontanería, climatización, cerrajería, reformas— combina una altísima relevancia económica y social con un nivel de digitalización marcadamente inferior al del resto de servicios profesionales.</w:t>
      </w:r>
    </w:p>
    <w:p>
      <w:pPr>
        <w:pStyle w:val="Normal"/>
        <w:spacing w:before="200" w:after="100"/>
        <w:rPr/>
      </w:pPr>
      <w:r>
        <w:rPr>
          <w:b/>
          <w:bCs/>
          <w:color w:val="B84E35"/>
          <w:sz w:val="22"/>
          <w:szCs w:val="22"/>
        </w:rPr>
        <w:t>Tres síntomas de un mismo problema estructural</w:t>
      </w:r>
    </w:p>
    <w:p>
      <w:pPr>
        <w:pStyle w:val="Normal"/>
        <w:spacing w:before="0" w:after="80"/>
        <w:ind w:left="340" w:hanging="220"/>
        <w:jc w:val="both"/>
        <w:rPr/>
      </w:pPr>
      <w:r>
        <w:rPr>
          <w:b/>
          <w:bCs/>
          <w:color w:val="1A5A96"/>
          <w:sz w:val="20"/>
          <w:szCs w:val="20"/>
        </w:rPr>
        <w:t xml:space="preserve">▸  </w:t>
      </w:r>
      <w:r>
        <w:rPr>
          <w:color w:val="2A2A2A"/>
          <w:sz w:val="20"/>
          <w:szCs w:val="20"/>
        </w:rPr>
        <w:t>Ineficiencia administrativa: entre 30 y 60 minutos para elaborar un presupuesto a mano, habitualmente fuera del horario facturable.</w:t>
      </w:r>
    </w:p>
    <w:p>
      <w:pPr>
        <w:pStyle w:val="Normal"/>
        <w:spacing w:before="0" w:after="80"/>
        <w:ind w:left="340" w:hanging="220"/>
        <w:jc w:val="both"/>
        <w:rPr/>
      </w:pPr>
      <w:r>
        <w:rPr>
          <w:b/>
          <w:bCs/>
          <w:color w:val="1A5A96"/>
          <w:sz w:val="20"/>
          <w:szCs w:val="20"/>
        </w:rPr>
        <w:t xml:space="preserve">▸  </w:t>
      </w:r>
      <w:r>
        <w:rPr>
          <w:color w:val="2A2A2A"/>
          <w:sz w:val="20"/>
          <w:szCs w:val="20"/>
        </w:rPr>
        <w:t>Desconexión tecnológica: el presupuesto, la factura y el cumplimiento normativo (VeriFactu, obligatorio en 2027) viven en herramientas distintas y sin comunicación entre sí.</w:t>
      </w:r>
    </w:p>
    <w:p>
      <w:pPr>
        <w:pStyle w:val="Normal"/>
        <w:spacing w:before="0" w:after="80"/>
        <w:ind w:left="340" w:hanging="220"/>
        <w:jc w:val="both"/>
        <w:rPr/>
      </w:pPr>
      <w:r>
        <w:rPr>
          <w:b/>
          <w:bCs/>
          <w:color w:val="1A5A96"/>
          <w:sz w:val="20"/>
          <w:szCs w:val="20"/>
        </w:rPr>
        <w:t xml:space="preserve">▸  </w:t>
      </w:r>
      <w:r>
        <w:rPr>
          <w:color w:val="2A2A2A"/>
          <w:sz w:val="20"/>
          <w:szCs w:val="20"/>
        </w:rPr>
        <w:t>Falta de trazabilidad: las empresas de instalación de 5 a 20 trabajadores no tienen visibilidad real de la actividad de sus técnicos de campo ni de sus contratos de mantenimiento.</w:t>
      </w:r>
    </w:p>
    <w:p>
      <w:pPr>
        <w:pStyle w:val="Normal"/>
        <w:spacing w:before="0" w:after="100"/>
        <w:rPr/>
      </w:pPr>
      <w:r>
        <w:rPr/>
      </w:r>
    </w:p>
    <w:p>
      <w:pPr>
        <w:pStyle w:val="Normal"/>
        <w:spacing w:before="200" w:after="100"/>
        <w:rPr/>
      </w:pPr>
      <w:r>
        <w:rPr>
          <w:b/>
          <w:bCs/>
          <w:color w:val="B84E35"/>
          <w:sz w:val="22"/>
          <w:szCs w:val="22"/>
        </w:rPr>
        <w:t>La oportunidad</w:t>
      </w:r>
    </w:p>
    <w:p>
      <w:pPr>
        <w:pStyle w:val="Normal"/>
        <w:spacing w:lineRule="exact" w:line="268" w:before="0" w:after="140"/>
        <w:jc w:val="both"/>
        <w:rPr/>
      </w:pPr>
      <w:r>
        <w:rPr>
          <w:color w:val="2A2A2A"/>
          <w:sz w:val="20"/>
          <w:szCs w:val="20"/>
        </w:rPr>
        <w:t>La confluencia de la obligatoriedad normativa de facturación verificable (VeriFactu), el abaratamiento de los modelos de IA generativa y la ausencia de un actor dominante de software vertical en español configura una ventana de oportunidad clara para una solución nativa, diseñada desde el oficio y no desde el escritorio.</w:t>
      </w:r>
    </w:p>
    <w:tbl>
      <w:tblPr>
        <w:tblW w:w="9300" w:type="dxa"/>
        <w:jc w:val="left"/>
        <w:tblInd w:w="0" w:type="dxa"/>
        <w:tblLayout w:type="fixed"/>
        <w:tblCellMar>
          <w:top w:w="0" w:type="dxa"/>
          <w:left w:w="108" w:type="dxa"/>
          <w:bottom w:w="0" w:type="dxa"/>
          <w:right w:w="120" w:type="dxa"/>
        </w:tblCellMar>
      </w:tblPr>
      <w:tblGrid>
        <w:gridCol w:w="2600"/>
        <w:gridCol w:w="6699"/>
      </w:tblGrid>
      <w:tr>
        <w:trPr/>
        <w:tc>
          <w:tcPr>
            <w:tcW w:w="2600" w:type="dxa"/>
            <w:tcBorders/>
            <w:vAlign w:val="center"/>
          </w:tcPr>
          <w:p>
            <w:pPr>
              <w:pStyle w:val="Normal"/>
              <w:widowControl w:val="false"/>
              <w:rPr/>
            </w:pPr>
            <w:r>
              <w:rPr>
                <w:b/>
                <w:bCs/>
                <w:color w:val="1C2535"/>
                <w:sz w:val="18"/>
                <w:szCs w:val="18"/>
              </w:rPr>
              <w:t>Penetración IA hoy</w:t>
            </w:r>
          </w:p>
        </w:tc>
        <w:tc>
          <w:tcPr>
            <w:tcW w:w="6699" w:type="dxa"/>
            <w:tcBorders/>
            <w:tcMar>
              <w:right w:w="108" w:type="dxa"/>
            </w:tcMar>
          </w:tcPr>
          <w:tbl>
            <w:tblPr>
              <w:tblW w:w="6700" w:type="dxa"/>
              <w:jc w:val="left"/>
              <w:tblInd w:w="0" w:type="dxa"/>
              <w:tblLayout w:type="fixed"/>
              <w:tblCellMar>
                <w:top w:w="60" w:type="dxa"/>
                <w:left w:w="80" w:type="dxa"/>
                <w:bottom w:w="60" w:type="dxa"/>
                <w:right w:w="80" w:type="dxa"/>
              </w:tblCellMar>
            </w:tblPr>
            <w:tblGrid>
              <w:gridCol w:w="1340"/>
              <w:gridCol w:w="5359"/>
            </w:tblGrid>
            <w:tr>
              <w:trPr/>
              <w:tc>
                <w:tcPr>
                  <w:tcW w:w="1340" w:type="dxa"/>
                  <w:tcBorders/>
                  <w:shd w:fill="B84E35" w:val="clear"/>
                </w:tcPr>
                <w:p>
                  <w:pPr>
                    <w:pStyle w:val="Normal"/>
                    <w:widowControl w:val="false"/>
                    <w:rPr/>
                  </w:pPr>
                  <w:r>
                    <w:rPr>
                      <w:b/>
                      <w:bCs/>
                      <w:color w:val="FFFFFF"/>
                      <w:sz w:val="17"/>
                      <w:szCs w:val="17"/>
                    </w:rPr>
                    <w:t>&lt; 20%</w:t>
                  </w:r>
                </w:p>
              </w:tc>
              <w:tc>
                <w:tcPr>
                  <w:tcW w:w="5359" w:type="dxa"/>
                  <w:tcBorders/>
                  <w:shd w:fill="EDEDED" w:val="clear"/>
                  <w:tcMar>
                    <w:top w:w="0" w:type="dxa"/>
                    <w:left w:w="108" w:type="dxa"/>
                    <w:bottom w:w="0" w:type="dxa"/>
                    <w:right w:w="108" w:type="dxa"/>
                  </w:tcMar>
                </w:tcPr>
                <w:p>
                  <w:pPr>
                    <w:pStyle w:val="Normal"/>
                    <w:widowControl w:val="false"/>
                    <w:rPr/>
                  </w:pPr>
                  <w:r>
                    <w:rPr/>
                  </w:r>
                </w:p>
              </w:tc>
            </w:tr>
          </w:tbl>
          <w:p>
            <w:pPr>
              <w:pStyle w:val="Normal"/>
              <w:widowControl w:val="false"/>
              <w:rPr/>
            </w:pPr>
            <w:r>
              <w:rPr/>
            </w:r>
          </w:p>
        </w:tc>
      </w:tr>
      <w:tr>
        <w:trPr/>
        <w:tc>
          <w:tcPr>
            <w:tcW w:w="2600" w:type="dxa"/>
            <w:tcBorders/>
            <w:vAlign w:val="center"/>
          </w:tcPr>
          <w:p>
            <w:pPr>
              <w:pStyle w:val="Normal"/>
              <w:widowControl w:val="false"/>
              <w:rPr/>
            </w:pPr>
            <w:r>
              <w:rPr>
                <w:b/>
                <w:bCs/>
                <w:color w:val="1C2535"/>
                <w:sz w:val="18"/>
                <w:szCs w:val="18"/>
              </w:rPr>
              <w:t>Mercado por digitalizar</w:t>
            </w:r>
          </w:p>
        </w:tc>
        <w:tc>
          <w:tcPr>
            <w:tcW w:w="6699" w:type="dxa"/>
            <w:tcBorders/>
            <w:tcMar>
              <w:right w:w="108" w:type="dxa"/>
            </w:tcMar>
          </w:tcPr>
          <w:tbl>
            <w:tblPr>
              <w:tblW w:w="6700" w:type="dxa"/>
              <w:jc w:val="left"/>
              <w:tblInd w:w="0" w:type="dxa"/>
              <w:tblLayout w:type="fixed"/>
              <w:tblCellMar>
                <w:top w:w="60" w:type="dxa"/>
                <w:left w:w="80" w:type="dxa"/>
                <w:bottom w:w="60" w:type="dxa"/>
                <w:right w:w="80" w:type="dxa"/>
              </w:tblCellMar>
            </w:tblPr>
            <w:tblGrid>
              <w:gridCol w:w="5360"/>
              <w:gridCol w:w="1339"/>
            </w:tblGrid>
            <w:tr>
              <w:trPr/>
              <w:tc>
                <w:tcPr>
                  <w:tcW w:w="5360" w:type="dxa"/>
                  <w:tcBorders/>
                  <w:shd w:fill="1A5A96" w:val="clear"/>
                </w:tcPr>
                <w:p>
                  <w:pPr>
                    <w:pStyle w:val="Normal"/>
                    <w:widowControl w:val="false"/>
                    <w:rPr/>
                  </w:pPr>
                  <w:r>
                    <w:rPr>
                      <w:b/>
                      <w:bCs/>
                      <w:color w:val="FFFFFF"/>
                      <w:sz w:val="17"/>
                      <w:szCs w:val="17"/>
                    </w:rPr>
                    <w:t>80%+</w:t>
                  </w:r>
                </w:p>
              </w:tc>
              <w:tc>
                <w:tcPr>
                  <w:tcW w:w="1339" w:type="dxa"/>
                  <w:tcBorders/>
                  <w:shd w:fill="EDEDED" w:val="clear"/>
                  <w:tcMar>
                    <w:top w:w="0" w:type="dxa"/>
                    <w:left w:w="108" w:type="dxa"/>
                    <w:bottom w:w="0" w:type="dxa"/>
                    <w:right w:w="108" w:type="dxa"/>
                  </w:tcMar>
                </w:tcPr>
                <w:p>
                  <w:pPr>
                    <w:pStyle w:val="Normal"/>
                    <w:widowControl w:val="false"/>
                    <w:rPr/>
                  </w:pPr>
                  <w:r>
                    <w:rPr/>
                  </w:r>
                </w:p>
              </w:tc>
            </w:tr>
          </w:tbl>
          <w:p>
            <w:pPr>
              <w:pStyle w:val="Normal"/>
              <w:widowControl w:val="false"/>
              <w:rPr/>
            </w:pPr>
            <w:r>
              <w:rPr/>
            </w:r>
          </w:p>
        </w:tc>
      </w:tr>
    </w:tbl>
    <w:p>
      <w:pPr>
        <w:pStyle w:val="Normal"/>
        <w:spacing w:before="0" w:after="0"/>
        <w:rPr/>
      </w:pPr>
      <w:r>
        <w:br w:type="page"/>
      </w:r>
      <w:r>
        <w:rPr/>
      </w:r>
    </w:p>
    <w:tbl>
      <w:tblPr>
        <w:tblW w:w="9300" w:type="dxa"/>
        <w:jc w:val="left"/>
        <w:tblInd w:w="0" w:type="dxa"/>
        <w:tblLayout w:type="fixed"/>
        <w:tblCellMar>
          <w:top w:w="0" w:type="dxa"/>
          <w:left w:w="108" w:type="dxa"/>
          <w:bottom w:w="0" w:type="dxa"/>
          <w:right w:w="108" w:type="dxa"/>
        </w:tblCellMar>
      </w:tblPr>
      <w:tblGrid>
        <w:gridCol w:w="140"/>
        <w:gridCol w:w="9159"/>
      </w:tblGrid>
      <w:tr>
        <w:trPr/>
        <w:tc>
          <w:tcPr>
            <w:tcW w:w="140" w:type="dxa"/>
            <w:tcBorders/>
            <w:shd w:fill="1A5A96" w:val="clear"/>
          </w:tcPr>
          <w:p>
            <w:pPr>
              <w:pStyle w:val="Normal"/>
              <w:widowControl w:val="false"/>
              <w:rPr/>
            </w:pPr>
            <w:r>
              <w:rPr/>
            </w:r>
          </w:p>
        </w:tc>
        <w:tc>
          <w:tcPr>
            <w:tcW w:w="9159" w:type="dxa"/>
            <w:tcBorders/>
            <w:tcMar>
              <w:left w:w="200" w:type="dxa"/>
            </w:tcMar>
            <w:vAlign w:val="center"/>
          </w:tcPr>
          <w:p>
            <w:pPr>
              <w:pStyle w:val="Normal"/>
              <w:widowControl w:val="false"/>
              <w:rPr/>
            </w:pPr>
            <w:r>
              <w:rPr>
                <w:b/>
                <w:bCs/>
                <w:color w:val="1A5A96"/>
                <w:sz w:val="18"/>
                <w:szCs w:val="18"/>
              </w:rPr>
              <w:t>03</w:t>
            </w:r>
          </w:p>
          <w:p>
            <w:pPr>
              <w:pStyle w:val="Normal"/>
              <w:widowControl w:val="false"/>
              <w:rPr/>
            </w:pPr>
            <w:r>
              <w:rPr>
                <w:b/>
                <w:bCs/>
                <w:color w:val="1C2535"/>
                <w:sz w:val="34"/>
                <w:szCs w:val="34"/>
              </w:rPr>
              <w:t>NUESTRA SOLUCIÓN</w:t>
            </w:r>
          </w:p>
        </w:tc>
      </w:tr>
    </w:tbl>
    <w:p>
      <w:pPr>
        <w:pStyle w:val="Normal"/>
        <w:spacing w:before="0" w:after="200"/>
        <w:rPr/>
      </w:pPr>
      <w:r>
        <w:rPr/>
      </w:r>
    </w:p>
    <w:p>
      <w:pPr>
        <w:pStyle w:val="Normal"/>
        <w:spacing w:lineRule="exact" w:line="280" w:before="0" w:after="200"/>
        <w:jc w:val="both"/>
        <w:rPr/>
      </w:pPr>
      <w:r>
        <w:rPr>
          <w:i/>
          <w:iCs/>
          <w:color w:val="1C2535"/>
          <w:sz w:val="22"/>
          <w:szCs w:val="22"/>
        </w:rPr>
        <w:t>Una conversación por voz, un presupuesto profesional. Sin formularios, sin plantillas, sin conocimientos informáticos.</w:t>
      </w:r>
    </w:p>
    <w:p>
      <w:pPr>
        <w:pStyle w:val="Normal"/>
        <w:spacing w:before="200" w:after="100"/>
        <w:rPr/>
      </w:pPr>
      <w:r>
        <w:rPr>
          <w:b/>
          <w:bCs/>
          <w:color w:val="B84E35"/>
          <w:sz w:val="22"/>
          <w:szCs w:val="22"/>
        </w:rPr>
        <w:t>Cómo funciona</w:t>
      </w:r>
    </w:p>
    <w:p>
      <w:pPr>
        <w:pStyle w:val="Normal"/>
        <w:spacing w:lineRule="exact" w:line="268" w:before="0" w:after="140"/>
        <w:jc w:val="both"/>
        <w:rPr/>
      </w:pPr>
      <w:r>
        <w:rPr>
          <w:color w:val="2A2A2A"/>
          <w:sz w:val="20"/>
          <w:szCs w:val="20"/>
        </w:rPr>
        <w:t>El instalador describe el trabajo hablando, igual que se lo explicaría a un compañero. TradeFlow transcribe, identifica el oficio y la actuación, recupera el precio real de mercado de su base de conocimiento propia y genera un presupuesto estructurado y profesional, listo para enviar por WhatsApp y, tras la aceptación del cliente, convertirlo en factura legal.</w:t>
      </w:r>
    </w:p>
    <w:tbl>
      <w:tblPr>
        <w:tblW w:w="9300" w:type="dxa"/>
        <w:jc w:val="left"/>
        <w:tblInd w:w="0" w:type="dxa"/>
        <w:tblLayout w:type="fixed"/>
        <w:tblCellMar>
          <w:top w:w="90" w:type="dxa"/>
          <w:left w:w="110" w:type="dxa"/>
          <w:bottom w:w="90" w:type="dxa"/>
          <w:right w:w="110" w:type="dxa"/>
        </w:tblCellMar>
      </w:tblPr>
      <w:tblGrid>
        <w:gridCol w:w="2400"/>
        <w:gridCol w:w="6899"/>
      </w:tblGrid>
      <w:tr>
        <w:trPr>
          <w:tblHeader w:val="true"/>
        </w:trPr>
        <w:tc>
          <w:tcPr>
            <w:tcW w:w="2400" w:type="dxa"/>
            <w:tcBorders>
              <w:top w:val="single" w:sz="2" w:space="0" w:color="AAAAAA"/>
              <w:left w:val="single" w:sz="2" w:space="0" w:color="AAAAAA"/>
              <w:bottom w:val="single" w:sz="2" w:space="0" w:color="DDDDDD"/>
              <w:right w:val="single" w:sz="2" w:space="0" w:color="DDDDDD"/>
            </w:tcBorders>
            <w:shd w:fill="1C2535" w:val="clear"/>
            <w:vAlign w:val="center"/>
          </w:tcPr>
          <w:p>
            <w:pPr>
              <w:pStyle w:val="Normal"/>
              <w:widowControl w:val="false"/>
              <w:jc w:val="left"/>
              <w:rPr/>
            </w:pPr>
            <w:r>
              <w:rPr>
                <w:b/>
                <w:bCs/>
                <w:color w:val="FFFFFF"/>
                <w:sz w:val="19"/>
                <w:szCs w:val="19"/>
              </w:rPr>
              <w:t>Etapa</w:t>
            </w:r>
          </w:p>
        </w:tc>
        <w:tc>
          <w:tcPr>
            <w:tcW w:w="6899" w:type="dxa"/>
            <w:tcBorders>
              <w:top w:val="single" w:sz="2" w:space="0" w:color="AAAAAA"/>
              <w:left w:val="single" w:sz="2" w:space="0" w:color="DDDDDD"/>
              <w:bottom w:val="single" w:sz="2" w:space="0" w:color="DDDDDD"/>
              <w:right w:val="single" w:sz="2" w:space="0" w:color="AAAAAA"/>
            </w:tcBorders>
            <w:shd w:fill="1C2535" w:val="clear"/>
            <w:vAlign w:val="center"/>
          </w:tcPr>
          <w:p>
            <w:pPr>
              <w:pStyle w:val="Normal"/>
              <w:widowControl w:val="false"/>
              <w:jc w:val="left"/>
              <w:rPr/>
            </w:pPr>
            <w:r>
              <w:rPr>
                <w:b/>
                <w:bCs/>
                <w:color w:val="FFFFFF"/>
                <w:sz w:val="19"/>
                <w:szCs w:val="19"/>
              </w:rPr>
              <w:t>Qué ocurre</w:t>
            </w:r>
          </w:p>
        </w:tc>
      </w:tr>
      <w:tr>
        <w:trPr/>
        <w:tc>
          <w:tcPr>
            <w:tcW w:w="24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1. Voz</w:t>
            </w:r>
          </w:p>
        </w:tc>
        <w:tc>
          <w:tcPr>
            <w:tcW w:w="68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El instalador describe el trabajo hablando desde el móvil, en la propia obra</w:t>
            </w:r>
          </w:p>
        </w:tc>
      </w:tr>
      <w:tr>
        <w:trPr/>
        <w:tc>
          <w:tcPr>
            <w:tcW w:w="24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2. Comprensión</w:t>
            </w:r>
          </w:p>
        </w:tc>
        <w:tc>
          <w:tcPr>
            <w:tcW w:w="68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La IA identifica el oficio y la actuación, sin necesidad de vocabulario técnico</w:t>
            </w:r>
          </w:p>
        </w:tc>
      </w:tr>
      <w:tr>
        <w:trPr/>
        <w:tc>
          <w:tcPr>
            <w:tcW w:w="24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3. Presupuesto</w:t>
            </w:r>
          </w:p>
        </w:tc>
        <w:tc>
          <w:tcPr>
            <w:tcW w:w="68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Se genera un documento profesional con precios reales de proveedor en menos de 3 minutos</w:t>
            </w:r>
          </w:p>
        </w:tc>
      </w:tr>
      <w:tr>
        <w:trPr/>
        <w:tc>
          <w:tcPr>
            <w:tcW w:w="2400" w:type="dxa"/>
            <w:tcBorders>
              <w:top w:val="single" w:sz="2" w:space="0" w:color="DDDDDD"/>
              <w:left w:val="single" w:sz="2" w:space="0" w:color="AAAAAA"/>
              <w:bottom w:val="single" w:sz="2" w:space="0" w:color="AAAAAA"/>
              <w:right w:val="single" w:sz="2" w:space="0" w:color="DDDDDD"/>
            </w:tcBorders>
            <w:shd w:fill="F4F4F4" w:val="clear"/>
            <w:vAlign w:val="center"/>
          </w:tcPr>
          <w:p>
            <w:pPr>
              <w:pStyle w:val="Normal"/>
              <w:widowControl w:val="false"/>
              <w:jc w:val="left"/>
              <w:rPr/>
            </w:pPr>
            <w:r>
              <w:rPr>
                <w:b w:val="false"/>
                <w:bCs w:val="false"/>
                <w:color w:val="222222"/>
                <w:sz w:val="19"/>
                <w:szCs w:val="19"/>
              </w:rPr>
              <w:t>4. Envío y cobro</w:t>
            </w:r>
          </w:p>
        </w:tc>
        <w:tc>
          <w:tcPr>
            <w:tcW w:w="6899" w:type="dxa"/>
            <w:tcBorders>
              <w:top w:val="single" w:sz="2" w:space="0" w:color="DDDDDD"/>
              <w:left w:val="single" w:sz="2" w:space="0" w:color="DDDDDD"/>
              <w:bottom w:val="single" w:sz="2" w:space="0" w:color="AAAAAA"/>
              <w:right w:val="single" w:sz="2" w:space="0" w:color="AAAAAA"/>
            </w:tcBorders>
            <w:shd w:fill="F4F4F4" w:val="clear"/>
            <w:vAlign w:val="center"/>
          </w:tcPr>
          <w:p>
            <w:pPr>
              <w:pStyle w:val="Normal"/>
              <w:widowControl w:val="false"/>
              <w:jc w:val="left"/>
              <w:rPr/>
            </w:pPr>
            <w:r>
              <w:rPr>
                <w:b w:val="false"/>
                <w:bCs w:val="false"/>
                <w:color w:val="222222"/>
                <w:sz w:val="19"/>
                <w:szCs w:val="19"/>
              </w:rPr>
              <w:t>El presupuesto se envía por WhatsApp; tras la aceptación, se emite factura conforme a VeriFactu</w:t>
            </w:r>
          </w:p>
        </w:tc>
      </w:tr>
    </w:tbl>
    <w:p>
      <w:pPr>
        <w:pStyle w:val="Normal"/>
        <w:spacing w:before="200" w:after="100"/>
        <w:rPr/>
      </w:pPr>
      <w:r>
        <w:rPr>
          <w:b/>
          <w:bCs/>
          <w:color w:val="B84E35"/>
          <w:sz w:val="22"/>
          <w:szCs w:val="22"/>
        </w:rPr>
        <w:t>Beneficios para el instalador</w:t>
      </w:r>
    </w:p>
    <w:p>
      <w:pPr>
        <w:pStyle w:val="Normal"/>
        <w:spacing w:before="0" w:after="80"/>
        <w:ind w:left="340" w:hanging="220"/>
        <w:jc w:val="both"/>
        <w:rPr/>
      </w:pPr>
      <w:r>
        <w:rPr>
          <w:b/>
          <w:bCs/>
          <w:color w:val="1A5A96"/>
          <w:sz w:val="20"/>
          <w:szCs w:val="20"/>
        </w:rPr>
        <w:t xml:space="preserve">▸  </w:t>
      </w:r>
      <w:r>
        <w:rPr>
          <w:color w:val="2A2A2A"/>
          <w:sz w:val="20"/>
          <w:szCs w:val="20"/>
        </w:rPr>
        <w:t>Recupera hasta una hora de tiempo facturable por cada presupuesto.</w:t>
      </w:r>
    </w:p>
    <w:p>
      <w:pPr>
        <w:pStyle w:val="Normal"/>
        <w:spacing w:before="0" w:after="80"/>
        <w:ind w:left="340" w:hanging="220"/>
        <w:jc w:val="both"/>
        <w:rPr/>
      </w:pPr>
      <w:r>
        <w:rPr>
          <w:b/>
          <w:bCs/>
          <w:color w:val="1A5A96"/>
          <w:sz w:val="20"/>
          <w:szCs w:val="20"/>
        </w:rPr>
        <w:t xml:space="preserve">▸  </w:t>
      </w:r>
      <w:r>
        <w:rPr>
          <w:color w:val="2A2A2A"/>
          <w:sz w:val="20"/>
          <w:szCs w:val="20"/>
        </w:rPr>
        <w:t>Proyecta una imagen profesional homogénea frente al cliente final.</w:t>
      </w:r>
    </w:p>
    <w:p>
      <w:pPr>
        <w:pStyle w:val="Normal"/>
        <w:spacing w:before="0" w:after="80"/>
        <w:ind w:left="340" w:hanging="220"/>
        <w:jc w:val="both"/>
        <w:rPr/>
      </w:pPr>
      <w:r>
        <w:rPr>
          <w:b/>
          <w:bCs/>
          <w:color w:val="1A5A96"/>
          <w:sz w:val="20"/>
          <w:szCs w:val="20"/>
        </w:rPr>
        <w:t xml:space="preserve">▸  </w:t>
      </w:r>
      <w:r>
        <w:rPr>
          <w:color w:val="2A2A2A"/>
          <w:sz w:val="20"/>
          <w:szCs w:val="20"/>
        </w:rPr>
        <w:t>Cumple automáticamente con la normativa fiscal de facturación.</w:t>
      </w:r>
    </w:p>
    <w:p>
      <w:pPr>
        <w:pStyle w:val="Normal"/>
        <w:spacing w:before="0" w:after="80"/>
        <w:ind w:left="340" w:hanging="220"/>
        <w:jc w:val="both"/>
        <w:rPr/>
      </w:pPr>
      <w:r>
        <w:rPr>
          <w:b/>
          <w:bCs/>
          <w:color w:val="1A5A96"/>
          <w:sz w:val="20"/>
          <w:szCs w:val="20"/>
        </w:rPr>
        <w:t xml:space="preserve">▸  </w:t>
      </w:r>
      <w:r>
        <w:rPr>
          <w:color w:val="2A2A2A"/>
          <w:sz w:val="20"/>
          <w:szCs w:val="20"/>
        </w:rPr>
        <w:t>Accede a precios de materiales actualizados sin llamar al distribuidor.</w:t>
      </w:r>
      <w:r>
        <w:br w:type="page"/>
      </w:r>
    </w:p>
    <w:p>
      <w:pPr>
        <w:pStyle w:val="Normal"/>
        <w:spacing w:before="0" w:after="0"/>
        <w:rPr/>
      </w:pPr>
      <w:r>
        <w:rPr/>
      </w:r>
    </w:p>
    <w:tbl>
      <w:tblPr>
        <w:tblW w:w="9300" w:type="dxa"/>
        <w:jc w:val="left"/>
        <w:tblInd w:w="0" w:type="dxa"/>
        <w:tblLayout w:type="fixed"/>
        <w:tblCellMar>
          <w:top w:w="0" w:type="dxa"/>
          <w:left w:w="108" w:type="dxa"/>
          <w:bottom w:w="0" w:type="dxa"/>
          <w:right w:w="108" w:type="dxa"/>
        </w:tblCellMar>
      </w:tblPr>
      <w:tblGrid>
        <w:gridCol w:w="140"/>
        <w:gridCol w:w="9159"/>
      </w:tblGrid>
      <w:tr>
        <w:trPr/>
        <w:tc>
          <w:tcPr>
            <w:tcW w:w="140" w:type="dxa"/>
            <w:tcBorders/>
            <w:shd w:fill="1A5A96" w:val="clear"/>
          </w:tcPr>
          <w:p>
            <w:pPr>
              <w:pStyle w:val="Normal"/>
              <w:widowControl w:val="false"/>
              <w:rPr/>
            </w:pPr>
            <w:r>
              <w:rPr/>
            </w:r>
          </w:p>
        </w:tc>
        <w:tc>
          <w:tcPr>
            <w:tcW w:w="9159" w:type="dxa"/>
            <w:tcBorders/>
            <w:tcMar>
              <w:left w:w="200" w:type="dxa"/>
            </w:tcMar>
            <w:vAlign w:val="center"/>
          </w:tcPr>
          <w:p>
            <w:pPr>
              <w:pStyle w:val="Normal"/>
              <w:widowControl w:val="false"/>
              <w:rPr/>
            </w:pPr>
            <w:r>
              <w:rPr>
                <w:b/>
                <w:bCs/>
                <w:color w:val="1A5A96"/>
                <w:sz w:val="18"/>
                <w:szCs w:val="18"/>
              </w:rPr>
              <w:t>04</w:t>
            </w:r>
          </w:p>
          <w:p>
            <w:pPr>
              <w:pStyle w:val="Normal"/>
              <w:widowControl w:val="false"/>
              <w:rPr/>
            </w:pPr>
            <w:r>
              <w:rPr>
                <w:b/>
                <w:bCs/>
                <w:color w:val="1C2535"/>
                <w:sz w:val="34"/>
                <w:szCs w:val="34"/>
              </w:rPr>
              <w:t>INNOVACIÓN</w:t>
            </w:r>
          </w:p>
        </w:tc>
      </w:tr>
    </w:tbl>
    <w:p>
      <w:pPr>
        <w:pStyle w:val="Normal"/>
        <w:spacing w:before="0" w:after="200"/>
        <w:rPr/>
      </w:pPr>
      <w:r>
        <w:rPr/>
      </w:r>
    </w:p>
    <w:p>
      <w:pPr>
        <w:pStyle w:val="Normal"/>
        <w:spacing w:lineRule="exact" w:line="268" w:before="0" w:after="140"/>
        <w:jc w:val="both"/>
        <w:rPr/>
      </w:pPr>
      <w:r>
        <w:rPr>
          <w:color w:val="2A2A2A"/>
          <w:sz w:val="20"/>
          <w:szCs w:val="20"/>
        </w:rPr>
        <w:t>El núcleo del proyecto es un motor de inteligencia artificial de dominio específico, diseñado para no improvisar nunca: detecta y recupera información verificada, en lugar de generar libremente contenido no contrastado, como haría un asistente de IA genérico.</w:t>
      </w:r>
    </w:p>
    <w:p>
      <w:pPr>
        <w:pStyle w:val="Normal"/>
        <w:spacing w:before="200" w:after="100"/>
        <w:rPr/>
      </w:pPr>
      <w:r>
        <w:rPr>
          <w:b/>
          <w:bCs/>
          <w:color w:val="B84E35"/>
          <w:sz w:val="22"/>
          <w:szCs w:val="22"/>
        </w:rPr>
        <w:t>Arquitectura tecnológica</w:t>
      </w:r>
    </w:p>
    <w:tbl>
      <w:tblPr>
        <w:tblW w:w="9300" w:type="dxa"/>
        <w:jc w:val="left"/>
        <w:tblInd w:w="0" w:type="dxa"/>
        <w:tblLayout w:type="fixed"/>
        <w:tblCellMar>
          <w:top w:w="90" w:type="dxa"/>
          <w:left w:w="110" w:type="dxa"/>
          <w:bottom w:w="90" w:type="dxa"/>
          <w:right w:w="110" w:type="dxa"/>
        </w:tblCellMar>
      </w:tblPr>
      <w:tblGrid>
        <w:gridCol w:w="2600"/>
        <w:gridCol w:w="6699"/>
      </w:tblGrid>
      <w:tr>
        <w:trPr>
          <w:tblHeader w:val="true"/>
        </w:trPr>
        <w:tc>
          <w:tcPr>
            <w:tcW w:w="2600" w:type="dxa"/>
            <w:tcBorders>
              <w:top w:val="single" w:sz="2" w:space="0" w:color="AAAAAA"/>
              <w:left w:val="single" w:sz="2" w:space="0" w:color="AAAAAA"/>
              <w:bottom w:val="single" w:sz="2" w:space="0" w:color="DDDDDD"/>
              <w:right w:val="single" w:sz="2" w:space="0" w:color="DDDDDD"/>
            </w:tcBorders>
            <w:shd w:fill="1C2535" w:val="clear"/>
            <w:vAlign w:val="center"/>
          </w:tcPr>
          <w:p>
            <w:pPr>
              <w:pStyle w:val="Normal"/>
              <w:widowControl w:val="false"/>
              <w:jc w:val="left"/>
              <w:rPr/>
            </w:pPr>
            <w:r>
              <w:rPr>
                <w:b/>
                <w:bCs/>
                <w:color w:val="FFFFFF"/>
                <w:sz w:val="19"/>
                <w:szCs w:val="19"/>
              </w:rPr>
              <w:t>Capa</w:t>
            </w:r>
          </w:p>
        </w:tc>
        <w:tc>
          <w:tcPr>
            <w:tcW w:w="6699" w:type="dxa"/>
            <w:tcBorders>
              <w:top w:val="single" w:sz="2" w:space="0" w:color="AAAAAA"/>
              <w:left w:val="single" w:sz="2" w:space="0" w:color="DDDDDD"/>
              <w:bottom w:val="single" w:sz="2" w:space="0" w:color="DDDDDD"/>
              <w:right w:val="single" w:sz="2" w:space="0" w:color="AAAAAA"/>
            </w:tcBorders>
            <w:shd w:fill="1C2535" w:val="clear"/>
            <w:vAlign w:val="center"/>
          </w:tcPr>
          <w:p>
            <w:pPr>
              <w:pStyle w:val="Normal"/>
              <w:widowControl w:val="false"/>
              <w:jc w:val="left"/>
              <w:rPr/>
            </w:pPr>
            <w:r>
              <w:rPr>
                <w:b/>
                <w:bCs/>
                <w:color w:val="FFFFFF"/>
                <w:sz w:val="19"/>
                <w:szCs w:val="19"/>
              </w:rPr>
              <w:t>Tecnología</w:t>
            </w:r>
          </w:p>
        </w:tc>
      </w:tr>
      <w:tr>
        <w:trPr/>
        <w:tc>
          <w:tcPr>
            <w:tcW w:w="26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Interfaz</w:t>
            </w:r>
          </w:p>
        </w:tc>
        <w:tc>
          <w:tcPr>
            <w:tcW w:w="66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React 19, TypeScript — aplicación móvil y web</w:t>
            </w:r>
          </w:p>
        </w:tc>
      </w:tr>
      <w:tr>
        <w:trPr/>
        <w:tc>
          <w:tcPr>
            <w:tcW w:w="26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Datos e infraestructura</w:t>
            </w:r>
          </w:p>
        </w:tc>
        <w:tc>
          <w:tcPr>
            <w:tcW w:w="66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Supabase (PostgreSQL + base vectorial), funciones serverless, Vercel</w:t>
            </w:r>
          </w:p>
        </w:tc>
      </w:tr>
      <w:tr>
        <w:trPr/>
        <w:tc>
          <w:tcPr>
            <w:tcW w:w="26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Inteligencia artificial</w:t>
            </w:r>
          </w:p>
        </w:tc>
        <w:tc>
          <w:tcPr>
            <w:tcW w:w="66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Modelos Claude (Anthropic) para comprensión y generación; embeddings Voyage AI para búsqueda semántica</w:t>
            </w:r>
          </w:p>
        </w:tc>
      </w:tr>
      <w:tr>
        <w:trPr/>
        <w:tc>
          <w:tcPr>
            <w:tcW w:w="2600" w:type="dxa"/>
            <w:tcBorders>
              <w:top w:val="single" w:sz="2" w:space="0" w:color="DDDDDD"/>
              <w:left w:val="single" w:sz="2" w:space="0" w:color="AAAAAA"/>
              <w:bottom w:val="single" w:sz="2" w:space="0" w:color="AAAAAA"/>
              <w:right w:val="single" w:sz="2" w:space="0" w:color="DDDDDD"/>
            </w:tcBorders>
            <w:shd w:fill="F4F4F4" w:val="clear"/>
            <w:vAlign w:val="center"/>
          </w:tcPr>
          <w:p>
            <w:pPr>
              <w:pStyle w:val="Normal"/>
              <w:widowControl w:val="false"/>
              <w:jc w:val="left"/>
              <w:rPr/>
            </w:pPr>
            <w:r>
              <w:rPr>
                <w:b w:val="false"/>
                <w:bCs w:val="false"/>
                <w:color w:val="222222"/>
                <w:sz w:val="19"/>
                <w:szCs w:val="19"/>
              </w:rPr>
              <w:t>Base de conocimiento propia</w:t>
            </w:r>
          </w:p>
        </w:tc>
        <w:tc>
          <w:tcPr>
            <w:tcW w:w="6699" w:type="dxa"/>
            <w:tcBorders>
              <w:top w:val="single" w:sz="2" w:space="0" w:color="DDDDDD"/>
              <w:left w:val="single" w:sz="2" w:space="0" w:color="DDDDDD"/>
              <w:bottom w:val="single" w:sz="2" w:space="0" w:color="AAAAAA"/>
              <w:right w:val="single" w:sz="2" w:space="0" w:color="AAAAAA"/>
            </w:tcBorders>
            <w:shd w:fill="F4F4F4" w:val="clear"/>
            <w:vAlign w:val="center"/>
          </w:tcPr>
          <w:p>
            <w:pPr>
              <w:pStyle w:val="Normal"/>
              <w:widowControl w:val="false"/>
              <w:jc w:val="left"/>
              <w:rPr/>
            </w:pPr>
            <w:r>
              <w:rPr>
                <w:b w:val="false"/>
                <w:bCs w:val="false"/>
                <w:color w:val="222222"/>
                <w:sz w:val="19"/>
                <w:szCs w:val="19"/>
              </w:rPr>
              <w:t>Más de 2.000 actuaciones normalizadas en 20 oficios técnicos</w:t>
            </w:r>
          </w:p>
        </w:tc>
      </w:tr>
    </w:tbl>
    <w:p>
      <w:pPr>
        <w:pStyle w:val="Normal"/>
        <w:spacing w:before="200" w:after="100"/>
        <w:rPr/>
      </w:pPr>
      <w:r>
        <w:rPr>
          <w:b/>
          <w:bCs/>
          <w:color w:val="B84E35"/>
          <w:sz w:val="22"/>
          <w:szCs w:val="22"/>
        </w:rPr>
        <w:t>Qué nos diferencia</w:t>
      </w:r>
    </w:p>
    <w:p>
      <w:pPr>
        <w:pStyle w:val="Normal"/>
        <w:spacing w:before="0" w:after="80"/>
        <w:ind w:left="340" w:hanging="220"/>
        <w:jc w:val="both"/>
        <w:rPr/>
      </w:pPr>
      <w:r>
        <w:rPr>
          <w:b/>
          <w:bCs/>
          <w:color w:val="1A5A96"/>
          <w:sz w:val="20"/>
          <w:szCs w:val="20"/>
        </w:rPr>
        <w:t xml:space="preserve">▸  </w:t>
      </w:r>
      <w:r>
        <w:rPr>
          <w:color w:val="2A2A2A"/>
          <w:sz w:val="20"/>
          <w:szCs w:val="20"/>
        </w:rPr>
        <w:t>Ningún competidor combina generación de presupuestos por voz mediante IA, una base de conocimiento de oficio propia y cumplimiento normativo español desde el diseño.</w:t>
      </w:r>
    </w:p>
    <w:p>
      <w:pPr>
        <w:pStyle w:val="Normal"/>
        <w:spacing w:before="0" w:after="80"/>
        <w:ind w:left="340" w:hanging="220"/>
        <w:jc w:val="both"/>
        <w:rPr/>
      </w:pPr>
      <w:r>
        <w:rPr>
          <w:b/>
          <w:bCs/>
          <w:color w:val="1A5A96"/>
          <w:sz w:val="20"/>
          <w:szCs w:val="20"/>
        </w:rPr>
        <w:t xml:space="preserve">▸  </w:t>
      </w:r>
      <w:r>
        <w:rPr>
          <w:color w:val="2A2A2A"/>
          <w:sz w:val="20"/>
          <w:szCs w:val="20"/>
        </w:rPr>
        <w:t>El sistema nunca inventa un precio: cualquier sugerencia no verificada se marca explícitamente para validación del instalador.</w:t>
      </w:r>
    </w:p>
    <w:p>
      <w:pPr>
        <w:pStyle w:val="Normal"/>
        <w:spacing w:before="0" w:after="80"/>
        <w:ind w:left="340" w:hanging="220"/>
        <w:jc w:val="both"/>
        <w:rPr/>
      </w:pPr>
      <w:r>
        <w:rPr>
          <w:b/>
          <w:bCs/>
          <w:color w:val="1A5A96"/>
          <w:sz w:val="20"/>
          <w:szCs w:val="20"/>
        </w:rPr>
        <w:t xml:space="preserve">▸  </w:t>
      </w:r>
      <w:r>
        <w:rPr>
          <w:color w:val="2A2A2A"/>
          <w:sz w:val="20"/>
          <w:szCs w:val="20"/>
        </w:rPr>
        <w:t>Arquitectura cloud, escalable, con coste marginal por cliente muy inferior al ingreso medio (aprox. 5€ de coste de IA frente a 45-60€ de ingreso mensual por cliente).</w:t>
      </w:r>
    </w:p>
    <w:p>
      <w:pPr>
        <w:pStyle w:val="Normal"/>
        <w:spacing w:lineRule="exact" w:line="268" w:before="0" w:after="140"/>
        <w:jc w:val="both"/>
        <w:rPr/>
      </w:pPr>
      <w:r>
        <w:rPr>
          <w:color w:val="2A2A2A"/>
          <w:sz w:val="20"/>
          <w:szCs w:val="20"/>
        </w:rPr>
        <w:t>Compañías internacionales del mismo sector de software para oficios (ServiceTitan, Jobber, Housecall Pro) han demostrado que este modelo de negocio es capaz de escalar hasta compañías de más de mil millones de euros de valoración, validando la magnitud de la oportunidad.</w:t>
      </w:r>
      <w:r>
        <w:br w:type="page"/>
      </w:r>
    </w:p>
    <w:p>
      <w:pPr>
        <w:pStyle w:val="Normal"/>
        <w:spacing w:before="0" w:after="0"/>
        <w:rPr/>
      </w:pPr>
      <w:r>
        <w:rPr/>
      </w:r>
    </w:p>
    <w:tbl>
      <w:tblPr>
        <w:tblW w:w="9300" w:type="dxa"/>
        <w:jc w:val="left"/>
        <w:tblInd w:w="0" w:type="dxa"/>
        <w:tblLayout w:type="fixed"/>
        <w:tblCellMar>
          <w:top w:w="0" w:type="dxa"/>
          <w:left w:w="108" w:type="dxa"/>
          <w:bottom w:w="0" w:type="dxa"/>
          <w:right w:w="108" w:type="dxa"/>
        </w:tblCellMar>
      </w:tblPr>
      <w:tblGrid>
        <w:gridCol w:w="140"/>
        <w:gridCol w:w="9159"/>
      </w:tblGrid>
      <w:tr>
        <w:trPr/>
        <w:tc>
          <w:tcPr>
            <w:tcW w:w="140" w:type="dxa"/>
            <w:tcBorders/>
            <w:shd w:fill="1A5A96" w:val="clear"/>
          </w:tcPr>
          <w:p>
            <w:pPr>
              <w:pStyle w:val="Normal"/>
              <w:widowControl w:val="false"/>
              <w:rPr/>
            </w:pPr>
            <w:r>
              <w:rPr/>
            </w:r>
          </w:p>
        </w:tc>
        <w:tc>
          <w:tcPr>
            <w:tcW w:w="9159" w:type="dxa"/>
            <w:tcBorders/>
            <w:tcMar>
              <w:left w:w="200" w:type="dxa"/>
            </w:tcMar>
            <w:vAlign w:val="center"/>
          </w:tcPr>
          <w:p>
            <w:pPr>
              <w:pStyle w:val="Normal"/>
              <w:widowControl w:val="false"/>
              <w:rPr/>
            </w:pPr>
            <w:r>
              <w:rPr>
                <w:b/>
                <w:bCs/>
                <w:color w:val="1A5A96"/>
                <w:sz w:val="18"/>
                <w:szCs w:val="18"/>
              </w:rPr>
              <w:t>05</w:t>
            </w:r>
          </w:p>
          <w:p>
            <w:pPr>
              <w:pStyle w:val="Normal"/>
              <w:widowControl w:val="false"/>
              <w:rPr/>
            </w:pPr>
            <w:r>
              <w:rPr>
                <w:b/>
                <w:bCs/>
                <w:color w:val="1C2535"/>
                <w:sz w:val="34"/>
                <w:szCs w:val="34"/>
              </w:rPr>
              <w:t>MERCADO</w:t>
            </w:r>
          </w:p>
        </w:tc>
      </w:tr>
    </w:tbl>
    <w:p>
      <w:pPr>
        <w:pStyle w:val="Normal"/>
        <w:spacing w:before="0" w:after="200"/>
        <w:rPr/>
      </w:pPr>
      <w:r>
        <w:rPr/>
      </w:r>
    </w:p>
    <w:tbl>
      <w:tblPr>
        <w:tblW w:w="9300" w:type="dxa"/>
        <w:jc w:val="left"/>
        <w:tblInd w:w="0" w:type="dxa"/>
        <w:tblLayout w:type="fixed"/>
        <w:tblCellMar>
          <w:top w:w="160" w:type="dxa"/>
          <w:left w:w="120" w:type="dxa"/>
          <w:bottom w:w="160" w:type="dxa"/>
          <w:right w:w="120" w:type="dxa"/>
        </w:tblCellMar>
      </w:tblPr>
      <w:tblGrid>
        <w:gridCol w:w="3100"/>
        <w:gridCol w:w="3100"/>
        <w:gridCol w:w="3100"/>
      </w:tblGrid>
      <w:tr>
        <w:trPr/>
        <w:tc>
          <w:tcPr>
            <w:tcW w:w="3100" w:type="dxa"/>
            <w:tcBorders/>
            <w:shd w:fill="EAF1F8" w:val="clear"/>
          </w:tcPr>
          <w:p>
            <w:pPr>
              <w:pStyle w:val="Normal"/>
              <w:widowControl w:val="false"/>
              <w:spacing w:before="0" w:after="40"/>
              <w:jc w:val="center"/>
              <w:rPr/>
            </w:pPr>
            <w:r>
              <w:rPr>
                <w:b/>
                <w:bCs/>
                <w:color w:val="1A5A96"/>
                <w:sz w:val="30"/>
                <w:szCs w:val="30"/>
              </w:rPr>
              <w:t>650.000+</w:t>
            </w:r>
          </w:p>
          <w:p>
            <w:pPr>
              <w:pStyle w:val="Normal"/>
              <w:widowControl w:val="false"/>
              <w:jc w:val="center"/>
              <w:rPr/>
            </w:pPr>
            <w:r>
              <w:rPr>
                <w:color w:val="1C2535"/>
                <w:sz w:val="15"/>
                <w:szCs w:val="15"/>
              </w:rPr>
              <w:t>Instaladores y pymes en España</w:t>
            </w:r>
          </w:p>
        </w:tc>
        <w:tc>
          <w:tcPr>
            <w:tcW w:w="3100" w:type="dxa"/>
            <w:tcBorders/>
            <w:shd w:fill="EAF1F8" w:val="clear"/>
          </w:tcPr>
          <w:p>
            <w:pPr>
              <w:pStyle w:val="Normal"/>
              <w:widowControl w:val="false"/>
              <w:spacing w:before="0" w:after="40"/>
              <w:jc w:val="center"/>
              <w:rPr/>
            </w:pPr>
            <w:r>
              <w:rPr>
                <w:b/>
                <w:bCs/>
                <w:color w:val="1A5A96"/>
                <w:sz w:val="30"/>
                <w:szCs w:val="30"/>
              </w:rPr>
              <w:t>2,1 M</w:t>
            </w:r>
          </w:p>
          <w:p>
            <w:pPr>
              <w:pStyle w:val="Normal"/>
              <w:widowControl w:val="false"/>
              <w:jc w:val="center"/>
              <w:rPr/>
            </w:pPr>
            <w:r>
              <w:rPr>
                <w:color w:val="1C2535"/>
                <w:sz w:val="15"/>
                <w:szCs w:val="15"/>
              </w:rPr>
              <w:t>Instaladores potenciales en LATAM</w:t>
            </w:r>
          </w:p>
        </w:tc>
        <w:tc>
          <w:tcPr>
            <w:tcW w:w="3100" w:type="dxa"/>
            <w:tcBorders/>
            <w:shd w:fill="EAF1F8" w:val="clear"/>
          </w:tcPr>
          <w:p>
            <w:pPr>
              <w:pStyle w:val="Normal"/>
              <w:widowControl w:val="false"/>
              <w:spacing w:before="0" w:after="40"/>
              <w:jc w:val="center"/>
              <w:rPr/>
            </w:pPr>
            <w:r>
              <w:rPr>
                <w:b/>
                <w:bCs/>
                <w:color w:val="1A5A96"/>
                <w:sz w:val="30"/>
                <w:szCs w:val="30"/>
              </w:rPr>
              <w:t>480 M€</w:t>
            </w:r>
          </w:p>
          <w:p>
            <w:pPr>
              <w:pStyle w:val="Normal"/>
              <w:widowControl w:val="false"/>
              <w:jc w:val="center"/>
              <w:rPr/>
            </w:pPr>
            <w:r>
              <w:rPr>
                <w:color w:val="1C2535"/>
                <w:sz w:val="15"/>
                <w:szCs w:val="15"/>
              </w:rPr>
              <w:t>Mercado servible anual (España)</w:t>
            </w:r>
          </w:p>
        </w:tc>
      </w:tr>
    </w:tbl>
    <w:p>
      <w:pPr>
        <w:pStyle w:val="Normal"/>
        <w:spacing w:before="0" w:after="140"/>
        <w:rPr/>
      </w:pPr>
      <w:r>
        <w:rPr/>
      </w:r>
    </w:p>
    <w:p>
      <w:pPr>
        <w:pStyle w:val="Normal"/>
        <w:spacing w:before="200" w:after="100"/>
        <w:rPr/>
      </w:pPr>
      <w:r>
        <w:rPr>
          <w:b/>
          <w:bCs/>
          <w:color w:val="B84E35"/>
          <w:sz w:val="22"/>
          <w:szCs w:val="22"/>
        </w:rPr>
        <w:t>Modelo de ingresos</w:t>
      </w:r>
    </w:p>
    <w:p>
      <w:pPr>
        <w:pStyle w:val="Normal"/>
        <w:spacing w:lineRule="exact" w:line="268" w:before="0" w:after="140"/>
        <w:jc w:val="both"/>
        <w:rPr/>
      </w:pPr>
      <w:r>
        <w:rPr>
          <w:color w:val="2A2A2A"/>
          <w:sz w:val="20"/>
          <w:szCs w:val="20"/>
        </w:rPr>
        <w:t>TradeFlow opera bajo un modelo de suscripción recurrente (SaaS), con planes desde 49€/mes hasta 179€/mes según el número de usuarios y funcionalidades, y vías futuras de ingreso adicionales mediante comisión de marketplace de proveedores y financiación embebida.</w:t>
      </w:r>
    </w:p>
    <w:p>
      <w:pPr>
        <w:pStyle w:val="Normal"/>
        <w:spacing w:before="200" w:after="100"/>
        <w:rPr/>
      </w:pPr>
      <w:r>
        <w:rPr>
          <w:b/>
          <w:bCs/>
          <w:color w:val="B84E35"/>
          <w:sz w:val="22"/>
          <w:szCs w:val="22"/>
        </w:rPr>
        <w:t>Escalabilidad</w:t>
      </w:r>
    </w:p>
    <w:p>
      <w:pPr>
        <w:pStyle w:val="Normal"/>
        <w:spacing w:before="0" w:after="80"/>
        <w:ind w:left="340" w:hanging="220"/>
        <w:jc w:val="both"/>
        <w:rPr/>
      </w:pPr>
      <w:r>
        <w:rPr>
          <w:b/>
          <w:bCs/>
          <w:color w:val="1A5A96"/>
          <w:sz w:val="20"/>
          <w:szCs w:val="20"/>
        </w:rPr>
        <w:t xml:space="preserve">▸  </w:t>
      </w:r>
      <w:r>
        <w:rPr>
          <w:color w:val="2A2A2A"/>
          <w:sz w:val="20"/>
          <w:szCs w:val="20"/>
        </w:rPr>
        <w:t>Escalabilidad de producto: el software es replicable a nuevos clientes con coste marginal mínimo.</w:t>
      </w:r>
    </w:p>
    <w:p>
      <w:pPr>
        <w:pStyle w:val="Normal"/>
        <w:spacing w:before="0" w:after="80"/>
        <w:ind w:left="340" w:hanging="220"/>
        <w:jc w:val="both"/>
        <w:rPr/>
      </w:pPr>
      <w:r>
        <w:rPr>
          <w:b/>
          <w:bCs/>
          <w:color w:val="1A5A96"/>
          <w:sz w:val="20"/>
          <w:szCs w:val="20"/>
        </w:rPr>
        <w:t xml:space="preserve">▸  </w:t>
      </w:r>
      <w:r>
        <w:rPr>
          <w:color w:val="2A2A2A"/>
          <w:sz w:val="20"/>
          <w:szCs w:val="20"/>
        </w:rPr>
        <w:t>Escalabilidad geográfica: expansión natural a Portugal y, posteriormente, a México, Colombia y Chile.</w:t>
      </w:r>
    </w:p>
    <w:p>
      <w:pPr>
        <w:pStyle w:val="Normal"/>
        <w:spacing w:before="0" w:after="80"/>
        <w:ind w:left="340" w:hanging="220"/>
        <w:jc w:val="both"/>
        <w:rPr/>
      </w:pPr>
      <w:r>
        <w:rPr>
          <w:b/>
          <w:bCs/>
          <w:color w:val="1A5A96"/>
          <w:sz w:val="20"/>
          <w:szCs w:val="20"/>
        </w:rPr>
        <w:t xml:space="preserve">▸  </w:t>
      </w:r>
      <w:r>
        <w:rPr>
          <w:color w:val="2A2A2A"/>
          <w:sz w:val="20"/>
          <w:szCs w:val="20"/>
        </w:rPr>
        <w:t>Escalabilidad de categoría: la misma tecnología es extensible a verticales adyacentes (certificación energética, inmobiliario, hostelería).</w:t>
      </w:r>
    </w:p>
    <w:tbl>
      <w:tblPr>
        <w:tblW w:w="9300" w:type="dxa"/>
        <w:jc w:val="left"/>
        <w:tblInd w:w="0" w:type="dxa"/>
        <w:tblLayout w:type="fixed"/>
        <w:tblCellMar>
          <w:top w:w="0" w:type="dxa"/>
          <w:left w:w="108" w:type="dxa"/>
          <w:bottom w:w="0" w:type="dxa"/>
          <w:right w:w="120" w:type="dxa"/>
        </w:tblCellMar>
      </w:tblPr>
      <w:tblGrid>
        <w:gridCol w:w="2600"/>
        <w:gridCol w:w="6699"/>
      </w:tblGrid>
      <w:tr>
        <w:trPr/>
        <w:tc>
          <w:tcPr>
            <w:tcW w:w="2600" w:type="dxa"/>
            <w:tcBorders/>
            <w:vAlign w:val="center"/>
          </w:tcPr>
          <w:p>
            <w:pPr>
              <w:pStyle w:val="Normal"/>
              <w:widowControl w:val="false"/>
              <w:rPr/>
            </w:pPr>
            <w:r>
              <w:rPr>
                <w:b/>
                <w:bCs/>
                <w:color w:val="1C2535"/>
                <w:sz w:val="18"/>
                <w:szCs w:val="18"/>
              </w:rPr>
              <w:t>España (fase 1)</w:t>
            </w:r>
          </w:p>
        </w:tc>
        <w:tc>
          <w:tcPr>
            <w:tcW w:w="6699" w:type="dxa"/>
            <w:tcBorders/>
            <w:tcMar>
              <w:right w:w="108" w:type="dxa"/>
            </w:tcMar>
          </w:tcPr>
          <w:tbl>
            <w:tblPr>
              <w:tblW w:w="6700" w:type="dxa"/>
              <w:jc w:val="left"/>
              <w:tblInd w:w="0" w:type="dxa"/>
              <w:tblLayout w:type="fixed"/>
              <w:tblCellMar>
                <w:top w:w="60" w:type="dxa"/>
                <w:left w:w="80" w:type="dxa"/>
                <w:bottom w:w="60" w:type="dxa"/>
                <w:right w:w="80" w:type="dxa"/>
              </w:tblCellMar>
            </w:tblPr>
            <w:tblGrid>
              <w:gridCol w:w="6700"/>
            </w:tblGrid>
            <w:tr>
              <w:trPr/>
              <w:tc>
                <w:tcPr>
                  <w:tcW w:w="6700" w:type="dxa"/>
                  <w:tcBorders/>
                  <w:shd w:fill="1A5A96" w:val="clear"/>
                </w:tcPr>
                <w:p>
                  <w:pPr>
                    <w:pStyle w:val="Normal"/>
                    <w:widowControl w:val="false"/>
                    <w:rPr/>
                  </w:pPr>
                  <w:r>
                    <w:rPr>
                      <w:b/>
                      <w:bCs/>
                      <w:color w:val="FFFFFF"/>
                      <w:sz w:val="17"/>
                      <w:szCs w:val="17"/>
                    </w:rPr>
                    <w:t>650.000+</w:t>
                  </w:r>
                </w:p>
              </w:tc>
            </w:tr>
          </w:tbl>
          <w:p>
            <w:pPr>
              <w:pStyle w:val="Normal"/>
              <w:widowControl w:val="false"/>
              <w:rPr/>
            </w:pPr>
            <w:r>
              <w:rPr/>
            </w:r>
          </w:p>
        </w:tc>
      </w:tr>
      <w:tr>
        <w:trPr/>
        <w:tc>
          <w:tcPr>
            <w:tcW w:w="2600" w:type="dxa"/>
            <w:tcBorders/>
            <w:vAlign w:val="center"/>
          </w:tcPr>
          <w:p>
            <w:pPr>
              <w:pStyle w:val="Normal"/>
              <w:widowControl w:val="false"/>
              <w:rPr/>
            </w:pPr>
            <w:r>
              <w:rPr>
                <w:b/>
                <w:bCs/>
                <w:color w:val="1C2535"/>
                <w:sz w:val="18"/>
                <w:szCs w:val="18"/>
              </w:rPr>
              <w:t>LATAM (fase 4)</w:t>
            </w:r>
          </w:p>
        </w:tc>
        <w:tc>
          <w:tcPr>
            <w:tcW w:w="6699" w:type="dxa"/>
            <w:tcBorders/>
            <w:tcMar>
              <w:right w:w="108" w:type="dxa"/>
            </w:tcMar>
          </w:tcPr>
          <w:tbl>
            <w:tblPr>
              <w:tblW w:w="6700" w:type="dxa"/>
              <w:jc w:val="left"/>
              <w:tblInd w:w="0" w:type="dxa"/>
              <w:tblLayout w:type="fixed"/>
              <w:tblCellMar>
                <w:top w:w="60" w:type="dxa"/>
                <w:left w:w="80" w:type="dxa"/>
                <w:bottom w:w="60" w:type="dxa"/>
                <w:right w:w="80" w:type="dxa"/>
              </w:tblCellMar>
            </w:tblPr>
            <w:tblGrid>
              <w:gridCol w:w="6700"/>
            </w:tblGrid>
            <w:tr>
              <w:trPr/>
              <w:tc>
                <w:tcPr>
                  <w:tcW w:w="6700" w:type="dxa"/>
                  <w:tcBorders/>
                  <w:shd w:fill="4A6741" w:val="clear"/>
                </w:tcPr>
                <w:p>
                  <w:pPr>
                    <w:pStyle w:val="Normal"/>
                    <w:widowControl w:val="false"/>
                    <w:rPr/>
                  </w:pPr>
                  <w:r>
                    <w:rPr>
                      <w:b/>
                      <w:bCs/>
                      <w:color w:val="FFFFFF"/>
                      <w:sz w:val="17"/>
                      <w:szCs w:val="17"/>
                    </w:rPr>
                    <w:t>2.100.000+</w:t>
                  </w:r>
                </w:p>
              </w:tc>
            </w:tr>
          </w:tbl>
          <w:p>
            <w:pPr>
              <w:pStyle w:val="Normal"/>
              <w:widowControl w:val="false"/>
              <w:rPr/>
            </w:pPr>
            <w:r>
              <w:rPr/>
            </w:r>
          </w:p>
        </w:tc>
      </w:tr>
    </w:tbl>
    <w:p>
      <w:pPr>
        <w:pStyle w:val="Normal"/>
        <w:spacing w:before="0" w:after="0"/>
        <w:rPr/>
      </w:pPr>
      <w:r>
        <w:br w:type="page"/>
      </w:r>
      <w:r>
        <w:rPr/>
      </w:r>
    </w:p>
    <w:tbl>
      <w:tblPr>
        <w:tblW w:w="9300" w:type="dxa"/>
        <w:jc w:val="left"/>
        <w:tblInd w:w="0" w:type="dxa"/>
        <w:tblLayout w:type="fixed"/>
        <w:tblCellMar>
          <w:top w:w="0" w:type="dxa"/>
          <w:left w:w="108" w:type="dxa"/>
          <w:bottom w:w="0" w:type="dxa"/>
          <w:right w:w="108" w:type="dxa"/>
        </w:tblCellMar>
      </w:tblPr>
      <w:tblGrid>
        <w:gridCol w:w="140"/>
        <w:gridCol w:w="9159"/>
      </w:tblGrid>
      <w:tr>
        <w:trPr/>
        <w:tc>
          <w:tcPr>
            <w:tcW w:w="140" w:type="dxa"/>
            <w:tcBorders/>
            <w:shd w:fill="1A5A96" w:val="clear"/>
          </w:tcPr>
          <w:p>
            <w:pPr>
              <w:pStyle w:val="Normal"/>
              <w:widowControl w:val="false"/>
              <w:rPr/>
            </w:pPr>
            <w:r>
              <w:rPr/>
            </w:r>
          </w:p>
        </w:tc>
        <w:tc>
          <w:tcPr>
            <w:tcW w:w="9159" w:type="dxa"/>
            <w:tcBorders/>
            <w:tcMar>
              <w:left w:w="200" w:type="dxa"/>
            </w:tcMar>
            <w:vAlign w:val="center"/>
          </w:tcPr>
          <w:p>
            <w:pPr>
              <w:pStyle w:val="Normal"/>
              <w:widowControl w:val="false"/>
              <w:rPr/>
            </w:pPr>
            <w:r>
              <w:rPr>
                <w:b/>
                <w:bCs/>
                <w:color w:val="1A5A96"/>
                <w:sz w:val="18"/>
                <w:szCs w:val="18"/>
              </w:rPr>
              <w:t>06</w:t>
            </w:r>
          </w:p>
          <w:p>
            <w:pPr>
              <w:pStyle w:val="Normal"/>
              <w:widowControl w:val="false"/>
              <w:rPr/>
            </w:pPr>
            <w:r>
              <w:rPr>
                <w:b/>
                <w:bCs/>
                <w:color w:val="1C2535"/>
                <w:sz w:val="34"/>
                <w:szCs w:val="34"/>
              </w:rPr>
              <w:t>ESTADO ACTUAL DEL PROYECTO</w:t>
            </w:r>
          </w:p>
        </w:tc>
      </w:tr>
    </w:tbl>
    <w:p>
      <w:pPr>
        <w:pStyle w:val="Normal"/>
        <w:spacing w:before="0" w:after="200"/>
        <w:rPr/>
      </w:pPr>
      <w:r>
        <w:rPr/>
      </w:r>
    </w:p>
    <w:p>
      <w:pPr>
        <w:pStyle w:val="Normal"/>
        <w:spacing w:before="200" w:after="100"/>
        <w:rPr/>
      </w:pPr>
      <w:r>
        <w:rPr>
          <w:b/>
          <w:bCs/>
          <w:color w:val="B84E35"/>
          <w:sz w:val="22"/>
          <w:szCs w:val="22"/>
        </w:rPr>
        <w:t>Ya construido y validado</w:t>
      </w:r>
    </w:p>
    <w:p>
      <w:pPr>
        <w:pStyle w:val="Normal"/>
        <w:spacing w:before="0" w:after="80"/>
        <w:ind w:left="340" w:hanging="220"/>
        <w:jc w:val="both"/>
        <w:rPr/>
      </w:pPr>
      <w:r>
        <w:rPr>
          <w:b/>
          <w:bCs/>
          <w:color w:val="1A5A96"/>
          <w:sz w:val="20"/>
          <w:szCs w:val="20"/>
        </w:rPr>
        <w:t xml:space="preserve">▸  </w:t>
      </w:r>
      <w:r>
        <w:rPr>
          <w:color w:val="2A2A2A"/>
          <w:sz w:val="20"/>
          <w:szCs w:val="20"/>
        </w:rPr>
        <w:t>Arquitectura tecnológica completa, diseñada y validada en coste y rendimiento.</w:t>
      </w:r>
    </w:p>
    <w:p>
      <w:pPr>
        <w:pStyle w:val="Normal"/>
        <w:spacing w:before="0" w:after="80"/>
        <w:ind w:left="340" w:hanging="220"/>
        <w:jc w:val="both"/>
        <w:rPr/>
      </w:pPr>
      <w:r>
        <w:rPr>
          <w:b/>
          <w:bCs/>
          <w:color w:val="1A5A96"/>
          <w:sz w:val="20"/>
          <w:szCs w:val="20"/>
        </w:rPr>
        <w:t xml:space="preserve">▸  </w:t>
      </w:r>
      <w:r>
        <w:rPr>
          <w:color w:val="2A2A2A"/>
          <w:sz w:val="20"/>
          <w:szCs w:val="20"/>
        </w:rPr>
        <w:t>Motor de IA en pruebas funcionales con datos reales: 93% de precisión sobre 400 consultas de validación en 20 oficios, con cero respuestas vacías.</w:t>
      </w:r>
    </w:p>
    <w:p>
      <w:pPr>
        <w:pStyle w:val="Normal"/>
        <w:spacing w:before="0" w:after="80"/>
        <w:ind w:left="340" w:hanging="220"/>
        <w:jc w:val="both"/>
        <w:rPr/>
      </w:pPr>
      <w:r>
        <w:rPr>
          <w:b/>
          <w:bCs/>
          <w:color w:val="1A5A96"/>
          <w:sz w:val="20"/>
          <w:szCs w:val="20"/>
        </w:rPr>
        <w:t xml:space="preserve">▸  </w:t>
      </w:r>
      <w:r>
        <w:rPr>
          <w:color w:val="2A2A2A"/>
          <w:sz w:val="20"/>
          <w:szCs w:val="20"/>
        </w:rPr>
        <w:t>Denominación social reservada en el Registro Mercantil Central.</w:t>
      </w:r>
    </w:p>
    <w:p>
      <w:pPr>
        <w:pStyle w:val="Normal"/>
        <w:spacing w:before="0" w:after="80"/>
        <w:ind w:left="340" w:hanging="220"/>
        <w:jc w:val="both"/>
        <w:rPr/>
      </w:pPr>
      <w:r>
        <w:rPr>
          <w:b/>
          <w:bCs/>
          <w:color w:val="1A5A96"/>
          <w:sz w:val="20"/>
          <w:szCs w:val="20"/>
        </w:rPr>
        <w:t xml:space="preserve">▸  </w:t>
      </w:r>
      <w:r>
        <w:rPr>
          <w:color w:val="2A2A2A"/>
          <w:sz w:val="20"/>
          <w:szCs w:val="20"/>
        </w:rPr>
        <w:t>Marca TradeFlow (M4383580) solicitada ante la OEPM.</w:t>
      </w:r>
    </w:p>
    <w:p>
      <w:pPr>
        <w:pStyle w:val="Normal"/>
        <w:spacing w:before="0" w:after="80"/>
        <w:ind w:left="340" w:hanging="220"/>
        <w:jc w:val="both"/>
        <w:rPr/>
      </w:pPr>
      <w:r>
        <w:rPr>
          <w:b/>
          <w:bCs/>
          <w:color w:val="1A5A96"/>
          <w:sz w:val="20"/>
          <w:szCs w:val="20"/>
        </w:rPr>
        <w:t xml:space="preserve">▸  </w:t>
      </w:r>
      <w:r>
        <w:rPr>
          <w:color w:val="2A2A2A"/>
          <w:sz w:val="20"/>
          <w:szCs w:val="20"/>
        </w:rPr>
        <w:t>Modelo financiero a 3 años, reconciliado por escenarios.</w:t>
      </w:r>
    </w:p>
    <w:p>
      <w:pPr>
        <w:pStyle w:val="Normal"/>
        <w:spacing w:before="0" w:after="80"/>
        <w:ind w:left="340" w:hanging="220"/>
        <w:jc w:val="both"/>
        <w:rPr/>
      </w:pPr>
      <w:r>
        <w:rPr>
          <w:b/>
          <w:bCs/>
          <w:color w:val="1A5A96"/>
          <w:sz w:val="20"/>
          <w:szCs w:val="20"/>
        </w:rPr>
        <w:t xml:space="preserve">▸  </w:t>
      </w:r>
      <w:r>
        <w:rPr>
          <w:color w:val="2A2A2A"/>
          <w:sz w:val="20"/>
          <w:szCs w:val="20"/>
        </w:rPr>
        <w:t>Piloto de integración de catálogo con un distribuidor de materiales de referencia (69 referencias).</w:t>
      </w:r>
    </w:p>
    <w:p>
      <w:pPr>
        <w:pStyle w:val="Normal"/>
        <w:spacing w:before="200" w:after="100"/>
        <w:rPr/>
      </w:pPr>
      <w:r>
        <w:rPr>
          <w:b/>
          <w:bCs/>
          <w:color w:val="B84E35"/>
          <w:sz w:val="22"/>
          <w:szCs w:val="22"/>
        </w:rPr>
        <w:t>Próximos hitos (12 meses)</w:t>
      </w:r>
    </w:p>
    <w:tbl>
      <w:tblPr>
        <w:tblW w:w="9300" w:type="dxa"/>
        <w:jc w:val="left"/>
        <w:tblInd w:w="0" w:type="dxa"/>
        <w:tblLayout w:type="fixed"/>
        <w:tblCellMar>
          <w:top w:w="90" w:type="dxa"/>
          <w:left w:w="110" w:type="dxa"/>
          <w:bottom w:w="90" w:type="dxa"/>
          <w:right w:w="110" w:type="dxa"/>
        </w:tblCellMar>
      </w:tblPr>
      <w:tblGrid>
        <w:gridCol w:w="6299"/>
        <w:gridCol w:w="3000"/>
      </w:tblGrid>
      <w:tr>
        <w:trPr>
          <w:tblHeader w:val="true"/>
        </w:trPr>
        <w:tc>
          <w:tcPr>
            <w:tcW w:w="6299" w:type="dxa"/>
            <w:tcBorders>
              <w:top w:val="single" w:sz="2" w:space="0" w:color="AAAAAA"/>
              <w:left w:val="single" w:sz="2" w:space="0" w:color="AAAAAA"/>
              <w:bottom w:val="single" w:sz="2" w:space="0" w:color="DDDDDD"/>
              <w:right w:val="single" w:sz="2" w:space="0" w:color="DDDDDD"/>
            </w:tcBorders>
            <w:shd w:fill="1C2535" w:val="clear"/>
            <w:vAlign w:val="center"/>
          </w:tcPr>
          <w:p>
            <w:pPr>
              <w:pStyle w:val="Normal"/>
              <w:widowControl w:val="false"/>
              <w:jc w:val="left"/>
              <w:rPr/>
            </w:pPr>
            <w:r>
              <w:rPr>
                <w:b/>
                <w:bCs/>
                <w:color w:val="FFFFFF"/>
                <w:sz w:val="19"/>
                <w:szCs w:val="19"/>
              </w:rPr>
              <w:t>Hito</w:t>
            </w:r>
          </w:p>
        </w:tc>
        <w:tc>
          <w:tcPr>
            <w:tcW w:w="3000" w:type="dxa"/>
            <w:tcBorders>
              <w:top w:val="single" w:sz="2" w:space="0" w:color="AAAAAA"/>
              <w:left w:val="single" w:sz="2" w:space="0" w:color="DDDDDD"/>
              <w:bottom w:val="single" w:sz="2" w:space="0" w:color="DDDDDD"/>
              <w:right w:val="single" w:sz="2" w:space="0" w:color="AAAAAA"/>
            </w:tcBorders>
            <w:shd w:fill="1C2535" w:val="clear"/>
            <w:vAlign w:val="center"/>
          </w:tcPr>
          <w:p>
            <w:pPr>
              <w:pStyle w:val="Normal"/>
              <w:widowControl w:val="false"/>
              <w:jc w:val="left"/>
              <w:rPr/>
            </w:pPr>
            <w:r>
              <w:rPr>
                <w:b/>
                <w:bCs/>
                <w:color w:val="FFFFFF"/>
                <w:sz w:val="19"/>
                <w:szCs w:val="19"/>
              </w:rPr>
              <w:t>Plazo</w:t>
            </w:r>
          </w:p>
        </w:tc>
      </w:tr>
      <w:tr>
        <w:trPr/>
        <w:tc>
          <w:tcPr>
            <w:tcW w:w="6299"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Constitución notarial de la sociedad</w:t>
            </w:r>
          </w:p>
        </w:tc>
        <w:tc>
          <w:tcPr>
            <w:tcW w:w="3000"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T1</w:t>
            </w:r>
          </w:p>
        </w:tc>
      </w:tr>
      <w:tr>
        <w:trPr/>
        <w:tc>
          <w:tcPr>
            <w:tcW w:w="6299"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Beta gratuita con cohortes reales de instaladores</w:t>
            </w:r>
          </w:p>
        </w:tc>
        <w:tc>
          <w:tcPr>
            <w:tcW w:w="3000"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T2</w:t>
            </w:r>
          </w:p>
        </w:tc>
      </w:tr>
      <w:tr>
        <w:trPr/>
        <w:tc>
          <w:tcPr>
            <w:tcW w:w="6299"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Certificación completa VeriFactu</w:t>
            </w:r>
          </w:p>
        </w:tc>
        <w:tc>
          <w:tcPr>
            <w:tcW w:w="3000"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T2-T3</w:t>
            </w:r>
          </w:p>
        </w:tc>
      </w:tr>
      <w:tr>
        <w:trPr/>
        <w:tc>
          <w:tcPr>
            <w:tcW w:w="6299"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Acuerdos formalizados con distribuidores y asociaciones sectoriales</w:t>
            </w:r>
          </w:p>
        </w:tc>
        <w:tc>
          <w:tcPr>
            <w:tcW w:w="3000"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T3</w:t>
            </w:r>
          </w:p>
        </w:tc>
      </w:tr>
      <w:tr>
        <w:trPr/>
        <w:tc>
          <w:tcPr>
            <w:tcW w:w="6299" w:type="dxa"/>
            <w:tcBorders>
              <w:top w:val="single" w:sz="2" w:space="0" w:color="DDDDDD"/>
              <w:left w:val="single" w:sz="2" w:space="0" w:color="AAAAAA"/>
              <w:bottom w:val="single" w:sz="2" w:space="0" w:color="AAAAAA"/>
              <w:right w:val="single" w:sz="2" w:space="0" w:color="DDDDDD"/>
            </w:tcBorders>
            <w:shd w:fill="FFFFFF" w:val="clear"/>
            <w:vAlign w:val="center"/>
          </w:tcPr>
          <w:p>
            <w:pPr>
              <w:pStyle w:val="Normal"/>
              <w:widowControl w:val="false"/>
              <w:jc w:val="left"/>
              <w:rPr/>
            </w:pPr>
            <w:r>
              <w:rPr>
                <w:b w:val="false"/>
                <w:bCs w:val="false"/>
                <w:color w:val="222222"/>
                <w:sz w:val="19"/>
                <w:szCs w:val="19"/>
              </w:rPr>
              <w:t>100 primeros clientes de pago</w:t>
            </w:r>
          </w:p>
        </w:tc>
        <w:tc>
          <w:tcPr>
            <w:tcW w:w="3000" w:type="dxa"/>
            <w:tcBorders>
              <w:top w:val="single" w:sz="2" w:space="0" w:color="DDDDDD"/>
              <w:left w:val="single" w:sz="2" w:space="0" w:color="DDDDDD"/>
              <w:bottom w:val="single" w:sz="2" w:space="0" w:color="AAAAAA"/>
              <w:right w:val="single" w:sz="2" w:space="0" w:color="AAAAAA"/>
            </w:tcBorders>
            <w:shd w:fill="FFFFFF" w:val="clear"/>
            <w:vAlign w:val="center"/>
          </w:tcPr>
          <w:p>
            <w:pPr>
              <w:pStyle w:val="Normal"/>
              <w:widowControl w:val="false"/>
              <w:jc w:val="left"/>
              <w:rPr/>
            </w:pPr>
            <w:r>
              <w:rPr>
                <w:b w:val="false"/>
                <w:bCs w:val="false"/>
                <w:color w:val="222222"/>
                <w:sz w:val="19"/>
                <w:szCs w:val="19"/>
              </w:rPr>
              <w:t>T4</w:t>
            </w:r>
          </w:p>
        </w:tc>
      </w:tr>
    </w:tbl>
    <w:p>
      <w:pPr>
        <w:pStyle w:val="Normal"/>
        <w:spacing w:before="0" w:after="0"/>
        <w:rPr/>
      </w:pPr>
      <w:r>
        <w:br w:type="page"/>
      </w:r>
      <w:r>
        <w:rPr/>
      </w:r>
    </w:p>
    <w:tbl>
      <w:tblPr>
        <w:tblW w:w="9300" w:type="dxa"/>
        <w:jc w:val="left"/>
        <w:tblInd w:w="0" w:type="dxa"/>
        <w:tblLayout w:type="fixed"/>
        <w:tblCellMar>
          <w:top w:w="0" w:type="dxa"/>
          <w:left w:w="108" w:type="dxa"/>
          <w:bottom w:w="0" w:type="dxa"/>
          <w:right w:w="108" w:type="dxa"/>
        </w:tblCellMar>
      </w:tblPr>
      <w:tblGrid>
        <w:gridCol w:w="140"/>
        <w:gridCol w:w="9159"/>
      </w:tblGrid>
      <w:tr>
        <w:trPr/>
        <w:tc>
          <w:tcPr>
            <w:tcW w:w="140" w:type="dxa"/>
            <w:tcBorders/>
            <w:shd w:fill="1A5A96" w:val="clear"/>
          </w:tcPr>
          <w:p>
            <w:pPr>
              <w:pStyle w:val="Normal"/>
              <w:widowControl w:val="false"/>
              <w:rPr/>
            </w:pPr>
            <w:r>
              <w:rPr/>
            </w:r>
          </w:p>
        </w:tc>
        <w:tc>
          <w:tcPr>
            <w:tcW w:w="9159" w:type="dxa"/>
            <w:tcBorders/>
            <w:tcMar>
              <w:left w:w="200" w:type="dxa"/>
            </w:tcMar>
            <w:vAlign w:val="center"/>
          </w:tcPr>
          <w:p>
            <w:pPr>
              <w:pStyle w:val="Normal"/>
              <w:widowControl w:val="false"/>
              <w:rPr/>
            </w:pPr>
            <w:r>
              <w:rPr>
                <w:b/>
                <w:bCs/>
                <w:color w:val="1A5A96"/>
                <w:sz w:val="18"/>
                <w:szCs w:val="18"/>
              </w:rPr>
              <w:t>07</w:t>
            </w:r>
          </w:p>
          <w:p>
            <w:pPr>
              <w:pStyle w:val="Normal"/>
              <w:widowControl w:val="false"/>
              <w:rPr/>
            </w:pPr>
            <w:r>
              <w:rPr>
                <w:b/>
                <w:bCs/>
                <w:color w:val="1C2535"/>
                <w:sz w:val="34"/>
                <w:szCs w:val="34"/>
              </w:rPr>
              <w:t>EQUIPO</w:t>
            </w:r>
          </w:p>
        </w:tc>
      </w:tr>
    </w:tbl>
    <w:p>
      <w:pPr>
        <w:pStyle w:val="Normal"/>
        <w:spacing w:before="0" w:after="200"/>
        <w:rPr/>
      </w:pPr>
      <w:r>
        <w:rPr/>
      </w:r>
    </w:p>
    <w:p>
      <w:pPr>
        <w:pStyle w:val="Normal"/>
        <w:spacing w:lineRule="exact" w:line="268" w:before="0" w:after="140"/>
        <w:jc w:val="both"/>
        <w:rPr/>
      </w:pPr>
      <w:r>
        <w:rPr>
          <w:color w:val="2A2A2A"/>
          <w:sz w:val="20"/>
          <w:szCs w:val="20"/>
        </w:rPr>
        <w:t>El proyecto está liderado por Fernando Carbonell Cabo, CEO y Administrador de TrabFlow Technologies, S.L., con domicilio social previsto en Castillo Pedroso, Corvera de Toranzo (Cantabria), responsable del diseño íntegro de la arquitectura de producto, el modelo de datos, el roadmap de inteligencia artificial y el modelo financiero del proyecto.</w:t>
      </w:r>
    </w:p>
    <w:p>
      <w:pPr>
        <w:pStyle w:val="Normal"/>
        <w:spacing w:before="200" w:after="100"/>
        <w:rPr/>
      </w:pPr>
      <w:r>
        <w:rPr>
          <w:b/>
          <w:bCs/>
          <w:color w:val="B84E35"/>
          <w:sz w:val="22"/>
          <w:szCs w:val="22"/>
        </w:rPr>
        <w:t>Un perfil poco frecuente: negocio y tecnología en una sola persona</w:t>
      </w:r>
    </w:p>
    <w:p>
      <w:pPr>
        <w:pStyle w:val="Normal"/>
        <w:spacing w:lineRule="exact" w:line="268" w:before="0" w:after="140"/>
        <w:jc w:val="both"/>
        <w:rPr/>
      </w:pPr>
      <w:r>
        <w:rPr>
          <w:color w:val="2A2A2A"/>
          <w:sz w:val="20"/>
          <w:szCs w:val="20"/>
        </w:rPr>
        <w:t>La combinación de visión estratégica de negocio con conocimiento técnico profundo de la arquitectura de datos e inteligencia artificial del producto —condición que el sector denomina founder-market fit— constituye un factor crítico de solvencia para la ejecución del proyecto en su fase actual.</w:t>
      </w:r>
    </w:p>
    <w:p>
      <w:pPr>
        <w:pStyle w:val="Normal"/>
        <w:spacing w:before="200" w:after="100"/>
        <w:rPr/>
      </w:pPr>
      <w:r>
        <w:rPr>
          <w:b/>
          <w:bCs/>
          <w:color w:val="B84E35"/>
          <w:sz w:val="22"/>
          <w:szCs w:val="22"/>
        </w:rPr>
        <w:t>Incorporaciones previstas</w:t>
      </w:r>
    </w:p>
    <w:tbl>
      <w:tblPr>
        <w:tblW w:w="9300" w:type="dxa"/>
        <w:jc w:val="left"/>
        <w:tblInd w:w="0" w:type="dxa"/>
        <w:tblLayout w:type="fixed"/>
        <w:tblCellMar>
          <w:top w:w="90" w:type="dxa"/>
          <w:left w:w="110" w:type="dxa"/>
          <w:bottom w:w="90" w:type="dxa"/>
          <w:right w:w="110" w:type="dxa"/>
        </w:tblCellMar>
      </w:tblPr>
      <w:tblGrid>
        <w:gridCol w:w="6299"/>
        <w:gridCol w:w="3000"/>
      </w:tblGrid>
      <w:tr>
        <w:trPr>
          <w:tblHeader w:val="true"/>
        </w:trPr>
        <w:tc>
          <w:tcPr>
            <w:tcW w:w="6299" w:type="dxa"/>
            <w:tcBorders>
              <w:top w:val="single" w:sz="2" w:space="0" w:color="AAAAAA"/>
              <w:left w:val="single" w:sz="2" w:space="0" w:color="AAAAAA"/>
              <w:bottom w:val="single" w:sz="2" w:space="0" w:color="DDDDDD"/>
              <w:right w:val="single" w:sz="2" w:space="0" w:color="DDDDDD"/>
            </w:tcBorders>
            <w:shd w:fill="1C2535" w:val="clear"/>
            <w:vAlign w:val="center"/>
          </w:tcPr>
          <w:p>
            <w:pPr>
              <w:pStyle w:val="Normal"/>
              <w:widowControl w:val="false"/>
              <w:jc w:val="left"/>
              <w:rPr/>
            </w:pPr>
            <w:r>
              <w:rPr>
                <w:b/>
                <w:bCs/>
                <w:color w:val="FFFFFF"/>
                <w:sz w:val="19"/>
                <w:szCs w:val="19"/>
              </w:rPr>
              <w:t>Rol</w:t>
            </w:r>
          </w:p>
        </w:tc>
        <w:tc>
          <w:tcPr>
            <w:tcW w:w="3000" w:type="dxa"/>
            <w:tcBorders>
              <w:top w:val="single" w:sz="2" w:space="0" w:color="AAAAAA"/>
              <w:left w:val="single" w:sz="2" w:space="0" w:color="DDDDDD"/>
              <w:bottom w:val="single" w:sz="2" w:space="0" w:color="DDDDDD"/>
              <w:right w:val="single" w:sz="2" w:space="0" w:color="AAAAAA"/>
            </w:tcBorders>
            <w:shd w:fill="1C2535" w:val="clear"/>
            <w:vAlign w:val="center"/>
          </w:tcPr>
          <w:p>
            <w:pPr>
              <w:pStyle w:val="Normal"/>
              <w:widowControl w:val="false"/>
              <w:jc w:val="left"/>
              <w:rPr/>
            </w:pPr>
            <w:r>
              <w:rPr>
                <w:b/>
                <w:bCs/>
                <w:color w:val="FFFFFF"/>
                <w:sz w:val="19"/>
                <w:szCs w:val="19"/>
              </w:rPr>
              <w:t>Momento previsto</w:t>
            </w:r>
          </w:p>
        </w:tc>
      </w:tr>
      <w:tr>
        <w:trPr/>
        <w:tc>
          <w:tcPr>
            <w:tcW w:w="6299"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CTO / responsable de desarrollo</w:t>
            </w:r>
          </w:p>
        </w:tc>
        <w:tc>
          <w:tcPr>
            <w:tcW w:w="3000"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Corto plazo</w:t>
            </w:r>
          </w:p>
        </w:tc>
      </w:tr>
      <w:tr>
        <w:trPr/>
        <w:tc>
          <w:tcPr>
            <w:tcW w:w="6299"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Responsable comercial y de alianzas institucionales</w:t>
            </w:r>
          </w:p>
        </w:tc>
        <w:tc>
          <w:tcPr>
            <w:tcW w:w="3000"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Medio plazo</w:t>
            </w:r>
          </w:p>
        </w:tc>
      </w:tr>
      <w:tr>
        <w:trPr/>
        <w:tc>
          <w:tcPr>
            <w:tcW w:w="6299"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Asesor sectorial (instalador senior)</w:t>
            </w:r>
          </w:p>
        </w:tc>
        <w:tc>
          <w:tcPr>
            <w:tcW w:w="3000"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Corto plazo</w:t>
            </w:r>
          </w:p>
        </w:tc>
      </w:tr>
      <w:tr>
        <w:trPr/>
        <w:tc>
          <w:tcPr>
            <w:tcW w:w="6299" w:type="dxa"/>
            <w:tcBorders>
              <w:top w:val="single" w:sz="2" w:space="0" w:color="DDDDDD"/>
              <w:left w:val="single" w:sz="2" w:space="0" w:color="AAAAAA"/>
              <w:bottom w:val="single" w:sz="2" w:space="0" w:color="AAAAAA"/>
              <w:right w:val="single" w:sz="2" w:space="0" w:color="DDDDDD"/>
            </w:tcBorders>
            <w:shd w:fill="F4F4F4" w:val="clear"/>
            <w:vAlign w:val="center"/>
          </w:tcPr>
          <w:p>
            <w:pPr>
              <w:pStyle w:val="Normal"/>
              <w:widowControl w:val="false"/>
              <w:jc w:val="left"/>
              <w:rPr/>
            </w:pPr>
            <w:r>
              <w:rPr>
                <w:b w:val="false"/>
                <w:bCs w:val="false"/>
                <w:color w:val="222222"/>
                <w:sz w:val="19"/>
                <w:szCs w:val="19"/>
              </w:rPr>
              <w:t>Perfil de datos e inteligencia artificial</w:t>
            </w:r>
          </w:p>
        </w:tc>
        <w:tc>
          <w:tcPr>
            <w:tcW w:w="3000" w:type="dxa"/>
            <w:tcBorders>
              <w:top w:val="single" w:sz="2" w:space="0" w:color="DDDDDD"/>
              <w:left w:val="single" w:sz="2" w:space="0" w:color="DDDDDD"/>
              <w:bottom w:val="single" w:sz="2" w:space="0" w:color="AAAAAA"/>
              <w:right w:val="single" w:sz="2" w:space="0" w:color="AAAAAA"/>
            </w:tcBorders>
            <w:shd w:fill="F4F4F4" w:val="clear"/>
            <w:vAlign w:val="center"/>
          </w:tcPr>
          <w:p>
            <w:pPr>
              <w:pStyle w:val="Normal"/>
              <w:widowControl w:val="false"/>
              <w:jc w:val="left"/>
              <w:rPr/>
            </w:pPr>
            <w:r>
              <w:rPr>
                <w:b w:val="false"/>
                <w:bCs w:val="false"/>
                <w:color w:val="222222"/>
                <w:sz w:val="19"/>
                <w:szCs w:val="19"/>
              </w:rPr>
              <w:t>Medio plazo</w:t>
            </w:r>
          </w:p>
        </w:tc>
      </w:tr>
    </w:tbl>
    <w:p>
      <w:pPr>
        <w:pStyle w:val="Normal"/>
        <w:spacing w:before="0" w:after="0"/>
        <w:rPr/>
      </w:pPr>
      <w:r>
        <w:br w:type="page"/>
      </w:r>
      <w:r>
        <w:rPr/>
      </w:r>
    </w:p>
    <w:tbl>
      <w:tblPr>
        <w:tblW w:w="9300" w:type="dxa"/>
        <w:jc w:val="left"/>
        <w:tblInd w:w="0" w:type="dxa"/>
        <w:tblLayout w:type="fixed"/>
        <w:tblCellMar>
          <w:top w:w="0" w:type="dxa"/>
          <w:left w:w="108" w:type="dxa"/>
          <w:bottom w:w="0" w:type="dxa"/>
          <w:right w:w="108" w:type="dxa"/>
        </w:tblCellMar>
      </w:tblPr>
      <w:tblGrid>
        <w:gridCol w:w="140"/>
        <w:gridCol w:w="9159"/>
      </w:tblGrid>
      <w:tr>
        <w:trPr/>
        <w:tc>
          <w:tcPr>
            <w:tcW w:w="140" w:type="dxa"/>
            <w:tcBorders/>
            <w:shd w:fill="1A5A96" w:val="clear"/>
          </w:tcPr>
          <w:p>
            <w:pPr>
              <w:pStyle w:val="Normal"/>
              <w:widowControl w:val="false"/>
              <w:rPr/>
            </w:pPr>
            <w:r>
              <w:rPr/>
            </w:r>
          </w:p>
        </w:tc>
        <w:tc>
          <w:tcPr>
            <w:tcW w:w="9159" w:type="dxa"/>
            <w:tcBorders/>
            <w:tcMar>
              <w:left w:w="200" w:type="dxa"/>
            </w:tcMar>
            <w:vAlign w:val="center"/>
          </w:tcPr>
          <w:p>
            <w:pPr>
              <w:pStyle w:val="Normal"/>
              <w:widowControl w:val="false"/>
              <w:rPr/>
            </w:pPr>
            <w:r>
              <w:rPr>
                <w:b/>
                <w:bCs/>
                <w:color w:val="1A5A96"/>
                <w:sz w:val="18"/>
                <w:szCs w:val="18"/>
              </w:rPr>
              <w:t>08</w:t>
            </w:r>
          </w:p>
          <w:p>
            <w:pPr>
              <w:pStyle w:val="Normal"/>
              <w:widowControl w:val="false"/>
              <w:rPr/>
            </w:pPr>
            <w:r>
              <w:rPr>
                <w:b/>
                <w:bCs/>
                <w:color w:val="1C2535"/>
                <w:sz w:val="34"/>
                <w:szCs w:val="34"/>
              </w:rPr>
              <w:t>IMPACTO ESPERADO</w:t>
            </w:r>
          </w:p>
        </w:tc>
      </w:tr>
    </w:tbl>
    <w:p>
      <w:pPr>
        <w:pStyle w:val="Normal"/>
        <w:spacing w:before="0" w:after="200"/>
        <w:rPr/>
      </w:pPr>
      <w:r>
        <w:rPr/>
      </w:r>
    </w:p>
    <w:tbl>
      <w:tblPr>
        <w:tblW w:w="9300" w:type="dxa"/>
        <w:jc w:val="left"/>
        <w:tblInd w:w="0" w:type="dxa"/>
        <w:tblLayout w:type="fixed"/>
        <w:tblCellMar>
          <w:top w:w="160" w:type="dxa"/>
          <w:left w:w="120" w:type="dxa"/>
          <w:bottom w:w="160" w:type="dxa"/>
          <w:right w:w="120" w:type="dxa"/>
        </w:tblCellMar>
      </w:tblPr>
      <w:tblGrid>
        <w:gridCol w:w="3100"/>
        <w:gridCol w:w="3100"/>
        <w:gridCol w:w="3100"/>
      </w:tblGrid>
      <w:tr>
        <w:trPr/>
        <w:tc>
          <w:tcPr>
            <w:tcW w:w="3100" w:type="dxa"/>
            <w:tcBorders/>
            <w:shd w:fill="EAF1F8" w:val="clear"/>
          </w:tcPr>
          <w:p>
            <w:pPr>
              <w:pStyle w:val="Normal"/>
              <w:widowControl w:val="false"/>
              <w:spacing w:before="0" w:after="40"/>
              <w:jc w:val="center"/>
              <w:rPr/>
            </w:pPr>
            <w:r>
              <w:rPr>
                <w:b/>
                <w:bCs/>
                <w:color w:val="1A5A96"/>
                <w:sz w:val="30"/>
                <w:szCs w:val="30"/>
              </w:rPr>
              <w:t>4-6</w:t>
            </w:r>
          </w:p>
          <w:p>
            <w:pPr>
              <w:pStyle w:val="Normal"/>
              <w:widowControl w:val="false"/>
              <w:jc w:val="center"/>
              <w:rPr/>
            </w:pPr>
            <w:r>
              <w:rPr>
                <w:color w:val="1C2535"/>
                <w:sz w:val="15"/>
                <w:szCs w:val="15"/>
              </w:rPr>
              <w:t>Empleos cualificados directos a 36 meses</w:t>
            </w:r>
          </w:p>
        </w:tc>
        <w:tc>
          <w:tcPr>
            <w:tcW w:w="3100" w:type="dxa"/>
            <w:tcBorders/>
            <w:shd w:fill="EAF1F8" w:val="clear"/>
          </w:tcPr>
          <w:p>
            <w:pPr>
              <w:pStyle w:val="Normal"/>
              <w:widowControl w:val="false"/>
              <w:spacing w:before="0" w:after="40"/>
              <w:jc w:val="center"/>
              <w:rPr/>
            </w:pPr>
            <w:r>
              <w:rPr>
                <w:b/>
                <w:bCs/>
                <w:color w:val="1A5A96"/>
                <w:sz w:val="30"/>
                <w:szCs w:val="30"/>
              </w:rPr>
              <w:t>318.000 €</w:t>
            </w:r>
          </w:p>
          <w:p>
            <w:pPr>
              <w:pStyle w:val="Normal"/>
              <w:widowControl w:val="false"/>
              <w:jc w:val="center"/>
              <w:rPr/>
            </w:pPr>
            <w:r>
              <w:rPr>
                <w:color w:val="1C2535"/>
                <w:sz w:val="15"/>
                <w:szCs w:val="15"/>
              </w:rPr>
              <w:t>ARR proyectado (escenario base, año 3)</w:t>
            </w:r>
          </w:p>
        </w:tc>
        <w:tc>
          <w:tcPr>
            <w:tcW w:w="3100" w:type="dxa"/>
            <w:tcBorders/>
            <w:shd w:fill="EAF1F8" w:val="clear"/>
          </w:tcPr>
          <w:p>
            <w:pPr>
              <w:pStyle w:val="Normal"/>
              <w:widowControl w:val="false"/>
              <w:spacing w:before="0" w:after="40"/>
              <w:jc w:val="center"/>
              <w:rPr/>
            </w:pPr>
            <w:r>
              <w:rPr>
                <w:b/>
                <w:bCs/>
                <w:color w:val="1A5A96"/>
                <w:sz w:val="30"/>
                <w:szCs w:val="30"/>
              </w:rPr>
              <w:t>500+</w:t>
            </w:r>
          </w:p>
          <w:p>
            <w:pPr>
              <w:pStyle w:val="Normal"/>
              <w:widowControl w:val="false"/>
              <w:jc w:val="center"/>
              <w:rPr/>
            </w:pPr>
            <w:r>
              <w:rPr>
                <w:color w:val="1C2535"/>
                <w:sz w:val="15"/>
                <w:szCs w:val="15"/>
              </w:rPr>
              <w:t>Pymes y autónomos digitalizados (objetivo 36 meses)</w:t>
            </w:r>
          </w:p>
        </w:tc>
      </w:tr>
    </w:tbl>
    <w:p>
      <w:pPr>
        <w:pStyle w:val="Normal"/>
        <w:spacing w:before="0" w:after="140"/>
        <w:rPr/>
      </w:pPr>
      <w:r>
        <w:rPr/>
      </w:r>
    </w:p>
    <w:tbl>
      <w:tblPr>
        <w:tblW w:w="9300" w:type="dxa"/>
        <w:jc w:val="left"/>
        <w:tblInd w:w="0" w:type="dxa"/>
        <w:tblLayout w:type="fixed"/>
        <w:tblCellMar>
          <w:top w:w="90" w:type="dxa"/>
          <w:left w:w="110" w:type="dxa"/>
          <w:bottom w:w="90" w:type="dxa"/>
          <w:right w:w="110" w:type="dxa"/>
        </w:tblCellMar>
      </w:tblPr>
      <w:tblGrid>
        <w:gridCol w:w="2400"/>
        <w:gridCol w:w="6899"/>
      </w:tblGrid>
      <w:tr>
        <w:trPr>
          <w:tblHeader w:val="true"/>
        </w:trPr>
        <w:tc>
          <w:tcPr>
            <w:tcW w:w="2400" w:type="dxa"/>
            <w:tcBorders>
              <w:top w:val="single" w:sz="2" w:space="0" w:color="AAAAAA"/>
              <w:left w:val="single" w:sz="2" w:space="0" w:color="AAAAAA"/>
              <w:bottom w:val="single" w:sz="2" w:space="0" w:color="DDDDDD"/>
              <w:right w:val="single" w:sz="2" w:space="0" w:color="DDDDDD"/>
            </w:tcBorders>
            <w:shd w:fill="1C2535" w:val="clear"/>
            <w:vAlign w:val="center"/>
          </w:tcPr>
          <w:p>
            <w:pPr>
              <w:pStyle w:val="Normal"/>
              <w:widowControl w:val="false"/>
              <w:jc w:val="left"/>
              <w:rPr/>
            </w:pPr>
            <w:r>
              <w:rPr>
                <w:b/>
                <w:bCs/>
                <w:color w:val="FFFFFF"/>
                <w:sz w:val="19"/>
                <w:szCs w:val="19"/>
              </w:rPr>
              <w:t>Dimensión</w:t>
            </w:r>
          </w:p>
        </w:tc>
        <w:tc>
          <w:tcPr>
            <w:tcW w:w="6899" w:type="dxa"/>
            <w:tcBorders>
              <w:top w:val="single" w:sz="2" w:space="0" w:color="AAAAAA"/>
              <w:left w:val="single" w:sz="2" w:space="0" w:color="DDDDDD"/>
              <w:bottom w:val="single" w:sz="2" w:space="0" w:color="DDDDDD"/>
              <w:right w:val="single" w:sz="2" w:space="0" w:color="AAAAAA"/>
            </w:tcBorders>
            <w:shd w:fill="1C2535" w:val="clear"/>
            <w:vAlign w:val="center"/>
          </w:tcPr>
          <w:p>
            <w:pPr>
              <w:pStyle w:val="Normal"/>
              <w:widowControl w:val="false"/>
              <w:jc w:val="left"/>
              <w:rPr/>
            </w:pPr>
            <w:r>
              <w:rPr>
                <w:b/>
                <w:bCs/>
                <w:color w:val="FFFFFF"/>
                <w:sz w:val="19"/>
                <w:szCs w:val="19"/>
              </w:rPr>
              <w:t>Impacto</w:t>
            </w:r>
          </w:p>
        </w:tc>
      </w:tr>
      <w:tr>
        <w:trPr/>
        <w:tc>
          <w:tcPr>
            <w:tcW w:w="24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Empleo</w:t>
            </w:r>
          </w:p>
        </w:tc>
        <w:tc>
          <w:tcPr>
            <w:tcW w:w="68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Creación de empleo tecnológico cualificado (desarrollo, datos, IA) y empleo comercial en fase de expansión</w:t>
            </w:r>
          </w:p>
        </w:tc>
      </w:tr>
      <w:tr>
        <w:trPr/>
        <w:tc>
          <w:tcPr>
            <w:tcW w:w="24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Transformación digital</w:t>
            </w:r>
          </w:p>
        </w:tc>
        <w:tc>
          <w:tcPr>
            <w:tcW w:w="68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Digitalización de un colectivo profesional históricamente desatendido por la innovación tecnológica</w:t>
            </w:r>
          </w:p>
        </w:tc>
      </w:tr>
      <w:tr>
        <w:trPr/>
        <w:tc>
          <w:tcPr>
            <w:tcW w:w="24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Innovación</w:t>
            </w:r>
          </w:p>
        </w:tc>
        <w:tc>
          <w:tcPr>
            <w:tcW w:w="68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Aplicación de IA generativa gobernada a un sector tradicional, con transferencia tecnológica replicable a otros verticales</w:t>
            </w:r>
          </w:p>
        </w:tc>
      </w:tr>
      <w:tr>
        <w:trPr/>
        <w:tc>
          <w:tcPr>
            <w:tcW w:w="24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Internacionalización</w:t>
            </w:r>
          </w:p>
        </w:tc>
        <w:tc>
          <w:tcPr>
            <w:tcW w:w="68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Producto cloud, sin infraestructura física en destino, con expansión planificada a Portugal y LATAM</w:t>
            </w:r>
          </w:p>
        </w:tc>
      </w:tr>
      <w:tr>
        <w:trPr/>
        <w:tc>
          <w:tcPr>
            <w:tcW w:w="2400" w:type="dxa"/>
            <w:tcBorders>
              <w:top w:val="single" w:sz="2" w:space="0" w:color="DDDDDD"/>
              <w:left w:val="single" w:sz="2" w:space="0" w:color="AAAAAA"/>
              <w:bottom w:val="single" w:sz="2" w:space="0" w:color="AAAAAA"/>
              <w:right w:val="single" w:sz="2" w:space="0" w:color="DDDDDD"/>
            </w:tcBorders>
            <w:shd w:fill="FFFFFF" w:val="clear"/>
            <w:vAlign w:val="center"/>
          </w:tcPr>
          <w:p>
            <w:pPr>
              <w:pStyle w:val="Normal"/>
              <w:widowControl w:val="false"/>
              <w:jc w:val="left"/>
              <w:rPr/>
            </w:pPr>
            <w:r>
              <w:rPr>
                <w:b w:val="false"/>
                <w:bCs w:val="false"/>
                <w:color w:val="222222"/>
                <w:sz w:val="19"/>
                <w:szCs w:val="19"/>
              </w:rPr>
              <w:t>Impacto en Cantabria</w:t>
            </w:r>
          </w:p>
        </w:tc>
        <w:tc>
          <w:tcPr>
            <w:tcW w:w="6899" w:type="dxa"/>
            <w:tcBorders>
              <w:top w:val="single" w:sz="2" w:space="0" w:color="DDDDDD"/>
              <w:left w:val="single" w:sz="2" w:space="0" w:color="DDDDDD"/>
              <w:bottom w:val="single" w:sz="2" w:space="0" w:color="AAAAAA"/>
              <w:right w:val="single" w:sz="2" w:space="0" w:color="AAAAAA"/>
            </w:tcBorders>
            <w:shd w:fill="FFFFFF" w:val="clear"/>
            <w:vAlign w:val="center"/>
          </w:tcPr>
          <w:p>
            <w:pPr>
              <w:pStyle w:val="Normal"/>
              <w:widowControl w:val="false"/>
              <w:jc w:val="left"/>
              <w:rPr/>
            </w:pPr>
            <w:r>
              <w:rPr>
                <w:b w:val="false"/>
                <w:bCs w:val="false"/>
                <w:color w:val="222222"/>
                <w:sz w:val="19"/>
                <w:szCs w:val="19"/>
              </w:rPr>
              <w:t>Domicilio social de TrabFlow Technologies, S.L. previsto en Castillo Pedroso, Corvera de Toranzo, generando empleo tecnológico de alto valor añadido y proyectando a Cantabria como origen de un proyecto de IA aplicada de proyección nacional e internacional</w:t>
            </w:r>
          </w:p>
        </w:tc>
      </w:tr>
    </w:tbl>
    <w:p>
      <w:pPr>
        <w:pStyle w:val="Normal"/>
        <w:spacing w:before="0" w:after="0"/>
        <w:rPr/>
      </w:pPr>
      <w:r>
        <w:br w:type="page"/>
      </w:r>
      <w:r>
        <w:rPr/>
      </w:r>
    </w:p>
    <w:tbl>
      <w:tblPr>
        <w:tblW w:w="9300" w:type="dxa"/>
        <w:jc w:val="left"/>
        <w:tblInd w:w="0" w:type="dxa"/>
        <w:tblLayout w:type="fixed"/>
        <w:tblCellMar>
          <w:top w:w="0" w:type="dxa"/>
          <w:left w:w="108" w:type="dxa"/>
          <w:bottom w:w="0" w:type="dxa"/>
          <w:right w:w="108" w:type="dxa"/>
        </w:tblCellMar>
      </w:tblPr>
      <w:tblGrid>
        <w:gridCol w:w="140"/>
        <w:gridCol w:w="9159"/>
      </w:tblGrid>
      <w:tr>
        <w:trPr/>
        <w:tc>
          <w:tcPr>
            <w:tcW w:w="140" w:type="dxa"/>
            <w:tcBorders/>
            <w:shd w:fill="1A5A96" w:val="clear"/>
          </w:tcPr>
          <w:p>
            <w:pPr>
              <w:pStyle w:val="Normal"/>
              <w:widowControl w:val="false"/>
              <w:rPr/>
            </w:pPr>
            <w:r>
              <w:rPr/>
            </w:r>
          </w:p>
        </w:tc>
        <w:tc>
          <w:tcPr>
            <w:tcW w:w="9159" w:type="dxa"/>
            <w:tcBorders/>
            <w:tcMar>
              <w:left w:w="200" w:type="dxa"/>
            </w:tcMar>
            <w:vAlign w:val="center"/>
          </w:tcPr>
          <w:p>
            <w:pPr>
              <w:pStyle w:val="Normal"/>
              <w:widowControl w:val="false"/>
              <w:rPr/>
            </w:pPr>
            <w:r>
              <w:rPr>
                <w:b/>
                <w:bCs/>
                <w:color w:val="1A5A96"/>
                <w:sz w:val="18"/>
                <w:szCs w:val="18"/>
              </w:rPr>
              <w:t>09</w:t>
            </w:r>
          </w:p>
          <w:p>
            <w:pPr>
              <w:pStyle w:val="Normal"/>
              <w:widowControl w:val="false"/>
              <w:rPr/>
            </w:pPr>
            <w:r>
              <w:rPr>
                <w:b/>
                <w:bCs/>
                <w:color w:val="1C2535"/>
                <w:sz w:val="34"/>
                <w:szCs w:val="34"/>
              </w:rPr>
              <w:t>NECESIDADES DEL PROYECTO</w:t>
            </w:r>
          </w:p>
        </w:tc>
      </w:tr>
    </w:tbl>
    <w:p>
      <w:pPr>
        <w:pStyle w:val="Normal"/>
        <w:spacing w:before="0" w:after="200"/>
        <w:rPr/>
      </w:pPr>
      <w:r>
        <w:rPr/>
      </w:r>
    </w:p>
    <w:p>
      <w:pPr>
        <w:pStyle w:val="Normal"/>
        <w:spacing w:lineRule="exact" w:line="268" w:before="0" w:after="140"/>
        <w:jc w:val="both"/>
        <w:rPr/>
      </w:pPr>
      <w:r>
        <w:rPr>
          <w:color w:val="2A2A2A"/>
          <w:sz w:val="20"/>
          <w:szCs w:val="20"/>
        </w:rPr>
        <w:t>TradeFlow estima una necesidad de financiación de entre 150.000 € y 250.000 € para su primera fase de aceleración (12-18 meses), destinada a completar la validación tecnológica y comercial del proyecto y a formalizar su primer equipo.</w:t>
      </w:r>
    </w:p>
    <w:p>
      <w:pPr>
        <w:pStyle w:val="Normal"/>
        <w:spacing w:before="200" w:after="100"/>
        <w:rPr/>
      </w:pPr>
      <w:r>
        <w:rPr>
          <w:b/>
          <w:bCs/>
          <w:color w:val="B84E35"/>
          <w:sz w:val="22"/>
          <w:szCs w:val="22"/>
        </w:rPr>
        <w:t>Distribución prevista del uso de capital</w:t>
      </w:r>
    </w:p>
    <w:tbl>
      <w:tblPr>
        <w:tblW w:w="9300" w:type="dxa"/>
        <w:jc w:val="left"/>
        <w:tblInd w:w="0" w:type="dxa"/>
        <w:tblLayout w:type="fixed"/>
        <w:tblCellMar>
          <w:top w:w="0" w:type="dxa"/>
          <w:left w:w="108" w:type="dxa"/>
          <w:bottom w:w="0" w:type="dxa"/>
          <w:right w:w="120" w:type="dxa"/>
        </w:tblCellMar>
      </w:tblPr>
      <w:tblGrid>
        <w:gridCol w:w="2600"/>
        <w:gridCol w:w="6699"/>
      </w:tblGrid>
      <w:tr>
        <w:trPr/>
        <w:tc>
          <w:tcPr>
            <w:tcW w:w="2600" w:type="dxa"/>
            <w:tcBorders/>
            <w:vAlign w:val="center"/>
          </w:tcPr>
          <w:p>
            <w:pPr>
              <w:pStyle w:val="Normal"/>
              <w:widowControl w:val="false"/>
              <w:rPr/>
            </w:pPr>
            <w:r>
              <w:rPr>
                <w:b/>
                <w:bCs/>
                <w:color w:val="1C2535"/>
                <w:sz w:val="18"/>
                <w:szCs w:val="18"/>
              </w:rPr>
              <w:t>Desarrollo tecnológico</w:t>
            </w:r>
          </w:p>
        </w:tc>
        <w:tc>
          <w:tcPr>
            <w:tcW w:w="6699" w:type="dxa"/>
            <w:tcBorders/>
            <w:tcMar>
              <w:right w:w="108" w:type="dxa"/>
            </w:tcMar>
          </w:tcPr>
          <w:tbl>
            <w:tblPr>
              <w:tblW w:w="6700" w:type="dxa"/>
              <w:jc w:val="left"/>
              <w:tblInd w:w="0" w:type="dxa"/>
              <w:tblLayout w:type="fixed"/>
              <w:tblCellMar>
                <w:top w:w="60" w:type="dxa"/>
                <w:left w:w="80" w:type="dxa"/>
                <w:bottom w:w="60" w:type="dxa"/>
                <w:right w:w="80" w:type="dxa"/>
              </w:tblCellMar>
            </w:tblPr>
            <w:tblGrid>
              <w:gridCol w:w="2680"/>
              <w:gridCol w:w="4019"/>
            </w:tblGrid>
            <w:tr>
              <w:trPr/>
              <w:tc>
                <w:tcPr>
                  <w:tcW w:w="2680" w:type="dxa"/>
                  <w:tcBorders/>
                  <w:shd w:fill="1A5A96" w:val="clear"/>
                </w:tcPr>
                <w:p>
                  <w:pPr>
                    <w:pStyle w:val="Normal"/>
                    <w:widowControl w:val="false"/>
                    <w:rPr/>
                  </w:pPr>
                  <w:r>
                    <w:rPr>
                      <w:b/>
                      <w:bCs/>
                      <w:color w:val="FFFFFF"/>
                      <w:sz w:val="17"/>
                      <w:szCs w:val="17"/>
                    </w:rPr>
                    <w:t>40%</w:t>
                  </w:r>
                </w:p>
              </w:tc>
              <w:tc>
                <w:tcPr>
                  <w:tcW w:w="4019" w:type="dxa"/>
                  <w:tcBorders/>
                  <w:shd w:fill="EDEDED" w:val="clear"/>
                  <w:tcMar>
                    <w:top w:w="0" w:type="dxa"/>
                    <w:left w:w="108" w:type="dxa"/>
                    <w:bottom w:w="0" w:type="dxa"/>
                    <w:right w:w="108" w:type="dxa"/>
                  </w:tcMar>
                </w:tcPr>
                <w:p>
                  <w:pPr>
                    <w:pStyle w:val="Normal"/>
                    <w:widowControl w:val="false"/>
                    <w:rPr/>
                  </w:pPr>
                  <w:r>
                    <w:rPr/>
                  </w:r>
                </w:p>
              </w:tc>
            </w:tr>
          </w:tbl>
          <w:p>
            <w:pPr>
              <w:pStyle w:val="Normal"/>
              <w:widowControl w:val="false"/>
              <w:rPr/>
            </w:pPr>
            <w:r>
              <w:rPr/>
            </w:r>
          </w:p>
        </w:tc>
      </w:tr>
      <w:tr>
        <w:trPr/>
        <w:tc>
          <w:tcPr>
            <w:tcW w:w="2600" w:type="dxa"/>
            <w:tcBorders/>
            <w:vAlign w:val="center"/>
          </w:tcPr>
          <w:p>
            <w:pPr>
              <w:pStyle w:val="Normal"/>
              <w:widowControl w:val="false"/>
              <w:rPr/>
            </w:pPr>
            <w:r>
              <w:rPr>
                <w:b/>
                <w:bCs/>
                <w:color w:val="1C2535"/>
                <w:sz w:val="18"/>
                <w:szCs w:val="18"/>
              </w:rPr>
              <w:t>IA y datos</w:t>
            </w:r>
          </w:p>
        </w:tc>
        <w:tc>
          <w:tcPr>
            <w:tcW w:w="6699" w:type="dxa"/>
            <w:tcBorders/>
            <w:tcMar>
              <w:right w:w="108" w:type="dxa"/>
            </w:tcMar>
          </w:tcPr>
          <w:tbl>
            <w:tblPr>
              <w:tblW w:w="6700" w:type="dxa"/>
              <w:jc w:val="left"/>
              <w:tblInd w:w="0" w:type="dxa"/>
              <w:tblLayout w:type="fixed"/>
              <w:tblCellMar>
                <w:top w:w="60" w:type="dxa"/>
                <w:left w:w="80" w:type="dxa"/>
                <w:bottom w:w="60" w:type="dxa"/>
                <w:right w:w="80" w:type="dxa"/>
              </w:tblCellMar>
            </w:tblPr>
            <w:tblGrid>
              <w:gridCol w:w="1340"/>
              <w:gridCol w:w="5359"/>
            </w:tblGrid>
            <w:tr>
              <w:trPr/>
              <w:tc>
                <w:tcPr>
                  <w:tcW w:w="1340" w:type="dxa"/>
                  <w:tcBorders/>
                  <w:shd w:fill="4A6741" w:val="clear"/>
                </w:tcPr>
                <w:p>
                  <w:pPr>
                    <w:pStyle w:val="Normal"/>
                    <w:widowControl w:val="false"/>
                    <w:rPr/>
                  </w:pPr>
                  <w:r>
                    <w:rPr>
                      <w:b/>
                      <w:bCs/>
                      <w:color w:val="FFFFFF"/>
                      <w:sz w:val="17"/>
                      <w:szCs w:val="17"/>
                    </w:rPr>
                    <w:t>20%</w:t>
                  </w:r>
                </w:p>
              </w:tc>
              <w:tc>
                <w:tcPr>
                  <w:tcW w:w="5359" w:type="dxa"/>
                  <w:tcBorders/>
                  <w:shd w:fill="EDEDED" w:val="clear"/>
                  <w:tcMar>
                    <w:top w:w="0" w:type="dxa"/>
                    <w:left w:w="108" w:type="dxa"/>
                    <w:bottom w:w="0" w:type="dxa"/>
                    <w:right w:w="108" w:type="dxa"/>
                  </w:tcMar>
                </w:tcPr>
                <w:p>
                  <w:pPr>
                    <w:pStyle w:val="Normal"/>
                    <w:widowControl w:val="false"/>
                    <w:rPr/>
                  </w:pPr>
                  <w:r>
                    <w:rPr/>
                  </w:r>
                </w:p>
              </w:tc>
            </w:tr>
          </w:tbl>
          <w:p>
            <w:pPr>
              <w:pStyle w:val="Normal"/>
              <w:widowControl w:val="false"/>
              <w:rPr/>
            </w:pPr>
            <w:r>
              <w:rPr/>
            </w:r>
          </w:p>
        </w:tc>
      </w:tr>
      <w:tr>
        <w:trPr/>
        <w:tc>
          <w:tcPr>
            <w:tcW w:w="2600" w:type="dxa"/>
            <w:tcBorders/>
            <w:vAlign w:val="center"/>
          </w:tcPr>
          <w:p>
            <w:pPr>
              <w:pStyle w:val="Normal"/>
              <w:widowControl w:val="false"/>
              <w:rPr/>
            </w:pPr>
            <w:r>
              <w:rPr>
                <w:b/>
                <w:bCs/>
                <w:color w:val="1C2535"/>
                <w:sz w:val="18"/>
                <w:szCs w:val="18"/>
              </w:rPr>
              <w:t>Comercialización</w:t>
            </w:r>
          </w:p>
        </w:tc>
        <w:tc>
          <w:tcPr>
            <w:tcW w:w="6699" w:type="dxa"/>
            <w:tcBorders/>
            <w:tcMar>
              <w:right w:w="108" w:type="dxa"/>
            </w:tcMar>
          </w:tcPr>
          <w:tbl>
            <w:tblPr>
              <w:tblW w:w="6700" w:type="dxa"/>
              <w:jc w:val="left"/>
              <w:tblInd w:w="0" w:type="dxa"/>
              <w:tblLayout w:type="fixed"/>
              <w:tblCellMar>
                <w:top w:w="60" w:type="dxa"/>
                <w:left w:w="80" w:type="dxa"/>
                <w:bottom w:w="60" w:type="dxa"/>
                <w:right w:w="80" w:type="dxa"/>
              </w:tblCellMar>
            </w:tblPr>
            <w:tblGrid>
              <w:gridCol w:w="1340"/>
              <w:gridCol w:w="5359"/>
            </w:tblGrid>
            <w:tr>
              <w:trPr/>
              <w:tc>
                <w:tcPr>
                  <w:tcW w:w="1340" w:type="dxa"/>
                  <w:tcBorders/>
                  <w:shd w:fill="C8922A" w:val="clear"/>
                </w:tcPr>
                <w:p>
                  <w:pPr>
                    <w:pStyle w:val="Normal"/>
                    <w:widowControl w:val="false"/>
                    <w:rPr/>
                  </w:pPr>
                  <w:r>
                    <w:rPr>
                      <w:b/>
                      <w:bCs/>
                      <w:color w:val="FFFFFF"/>
                      <w:sz w:val="17"/>
                      <w:szCs w:val="17"/>
                    </w:rPr>
                    <w:t>20%</w:t>
                  </w:r>
                </w:p>
              </w:tc>
              <w:tc>
                <w:tcPr>
                  <w:tcW w:w="5359" w:type="dxa"/>
                  <w:tcBorders/>
                  <w:shd w:fill="EDEDED" w:val="clear"/>
                  <w:tcMar>
                    <w:top w:w="0" w:type="dxa"/>
                    <w:left w:w="108" w:type="dxa"/>
                    <w:bottom w:w="0" w:type="dxa"/>
                    <w:right w:w="108" w:type="dxa"/>
                  </w:tcMar>
                </w:tcPr>
                <w:p>
                  <w:pPr>
                    <w:pStyle w:val="Normal"/>
                    <w:widowControl w:val="false"/>
                    <w:rPr/>
                  </w:pPr>
                  <w:r>
                    <w:rPr/>
                  </w:r>
                </w:p>
              </w:tc>
            </w:tr>
          </w:tbl>
          <w:p>
            <w:pPr>
              <w:pStyle w:val="Normal"/>
              <w:widowControl w:val="false"/>
              <w:rPr/>
            </w:pPr>
            <w:r>
              <w:rPr/>
            </w:r>
          </w:p>
        </w:tc>
      </w:tr>
      <w:tr>
        <w:trPr/>
        <w:tc>
          <w:tcPr>
            <w:tcW w:w="2600" w:type="dxa"/>
            <w:tcBorders/>
            <w:vAlign w:val="center"/>
          </w:tcPr>
          <w:p>
            <w:pPr>
              <w:pStyle w:val="Normal"/>
              <w:widowControl w:val="false"/>
              <w:rPr/>
            </w:pPr>
            <w:r>
              <w:rPr>
                <w:b/>
                <w:bCs/>
                <w:color w:val="1C2535"/>
                <w:sz w:val="18"/>
                <w:szCs w:val="18"/>
              </w:rPr>
              <w:t>Contrataciones</w:t>
            </w:r>
          </w:p>
        </w:tc>
        <w:tc>
          <w:tcPr>
            <w:tcW w:w="6699" w:type="dxa"/>
            <w:tcBorders/>
            <w:tcMar>
              <w:right w:w="108" w:type="dxa"/>
            </w:tcMar>
          </w:tcPr>
          <w:tbl>
            <w:tblPr>
              <w:tblW w:w="6700" w:type="dxa"/>
              <w:jc w:val="left"/>
              <w:tblInd w:w="0" w:type="dxa"/>
              <w:tblLayout w:type="fixed"/>
              <w:tblCellMar>
                <w:top w:w="60" w:type="dxa"/>
                <w:left w:w="80" w:type="dxa"/>
                <w:bottom w:w="60" w:type="dxa"/>
                <w:right w:w="80" w:type="dxa"/>
              </w:tblCellMar>
            </w:tblPr>
            <w:tblGrid>
              <w:gridCol w:w="1340"/>
              <w:gridCol w:w="5359"/>
            </w:tblGrid>
            <w:tr>
              <w:trPr/>
              <w:tc>
                <w:tcPr>
                  <w:tcW w:w="1340" w:type="dxa"/>
                  <w:tcBorders/>
                  <w:shd w:fill="B84E35" w:val="clear"/>
                </w:tcPr>
                <w:p>
                  <w:pPr>
                    <w:pStyle w:val="Normal"/>
                    <w:widowControl w:val="false"/>
                    <w:rPr/>
                  </w:pPr>
                  <w:r>
                    <w:rPr>
                      <w:b/>
                      <w:bCs/>
                      <w:color w:val="FFFFFF"/>
                      <w:sz w:val="17"/>
                      <w:szCs w:val="17"/>
                    </w:rPr>
                    <w:t>20%</w:t>
                  </w:r>
                </w:p>
              </w:tc>
              <w:tc>
                <w:tcPr>
                  <w:tcW w:w="5359" w:type="dxa"/>
                  <w:tcBorders/>
                  <w:shd w:fill="EDEDED" w:val="clear"/>
                  <w:tcMar>
                    <w:top w:w="0" w:type="dxa"/>
                    <w:left w:w="108" w:type="dxa"/>
                    <w:bottom w:w="0" w:type="dxa"/>
                    <w:right w:w="108" w:type="dxa"/>
                  </w:tcMar>
                </w:tcPr>
                <w:p>
                  <w:pPr>
                    <w:pStyle w:val="Normal"/>
                    <w:widowControl w:val="false"/>
                    <w:rPr/>
                  </w:pPr>
                  <w:r>
                    <w:rPr/>
                  </w:r>
                </w:p>
              </w:tc>
            </w:tr>
          </w:tbl>
          <w:p>
            <w:pPr>
              <w:pStyle w:val="Normal"/>
              <w:widowControl w:val="false"/>
              <w:rPr/>
            </w:pPr>
            <w:r>
              <w:rPr/>
            </w:r>
          </w:p>
        </w:tc>
      </w:tr>
    </w:tbl>
    <w:p>
      <w:pPr>
        <w:pStyle w:val="Normal"/>
        <w:spacing w:before="0" w:after="160"/>
        <w:rPr/>
      </w:pPr>
      <w:r>
        <w:rPr/>
      </w:r>
    </w:p>
    <w:tbl>
      <w:tblPr>
        <w:tblW w:w="9300" w:type="dxa"/>
        <w:jc w:val="left"/>
        <w:tblInd w:w="0" w:type="dxa"/>
        <w:tblLayout w:type="fixed"/>
        <w:tblCellMar>
          <w:top w:w="90" w:type="dxa"/>
          <w:left w:w="110" w:type="dxa"/>
          <w:bottom w:w="90" w:type="dxa"/>
          <w:right w:w="110" w:type="dxa"/>
        </w:tblCellMar>
      </w:tblPr>
      <w:tblGrid>
        <w:gridCol w:w="2400"/>
        <w:gridCol w:w="6899"/>
      </w:tblGrid>
      <w:tr>
        <w:trPr>
          <w:tblHeader w:val="true"/>
        </w:trPr>
        <w:tc>
          <w:tcPr>
            <w:tcW w:w="2400" w:type="dxa"/>
            <w:tcBorders>
              <w:top w:val="single" w:sz="2" w:space="0" w:color="AAAAAA"/>
              <w:left w:val="single" w:sz="2" w:space="0" w:color="AAAAAA"/>
              <w:bottom w:val="single" w:sz="2" w:space="0" w:color="DDDDDD"/>
              <w:right w:val="single" w:sz="2" w:space="0" w:color="DDDDDD"/>
            </w:tcBorders>
            <w:shd w:fill="1C2535" w:val="clear"/>
            <w:vAlign w:val="center"/>
          </w:tcPr>
          <w:p>
            <w:pPr>
              <w:pStyle w:val="Normal"/>
              <w:widowControl w:val="false"/>
              <w:jc w:val="left"/>
              <w:rPr/>
            </w:pPr>
            <w:r>
              <w:rPr>
                <w:b/>
                <w:bCs/>
                <w:color w:val="FFFFFF"/>
                <w:sz w:val="19"/>
                <w:szCs w:val="19"/>
              </w:rPr>
              <w:t>Partida</w:t>
            </w:r>
          </w:p>
        </w:tc>
        <w:tc>
          <w:tcPr>
            <w:tcW w:w="6899" w:type="dxa"/>
            <w:tcBorders>
              <w:top w:val="single" w:sz="2" w:space="0" w:color="AAAAAA"/>
              <w:left w:val="single" w:sz="2" w:space="0" w:color="DDDDDD"/>
              <w:bottom w:val="single" w:sz="2" w:space="0" w:color="DDDDDD"/>
              <w:right w:val="single" w:sz="2" w:space="0" w:color="AAAAAA"/>
            </w:tcBorders>
            <w:shd w:fill="1C2535" w:val="clear"/>
            <w:vAlign w:val="center"/>
          </w:tcPr>
          <w:p>
            <w:pPr>
              <w:pStyle w:val="Normal"/>
              <w:widowControl w:val="false"/>
              <w:jc w:val="left"/>
              <w:rPr/>
            </w:pPr>
            <w:r>
              <w:rPr>
                <w:b/>
                <w:bCs/>
                <w:color w:val="FFFFFF"/>
                <w:sz w:val="19"/>
                <w:szCs w:val="19"/>
              </w:rPr>
              <w:t>Destino</w:t>
            </w:r>
          </w:p>
        </w:tc>
      </w:tr>
      <w:tr>
        <w:trPr/>
        <w:tc>
          <w:tcPr>
            <w:tcW w:w="24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Desarrollo</w:t>
            </w:r>
          </w:p>
        </w:tc>
        <w:tc>
          <w:tcPr>
            <w:tcW w:w="68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Evolución del motor de IA, hardening de seguridad, certificación VeriFactu, integración de proveedores</w:t>
            </w:r>
          </w:p>
        </w:tc>
      </w:tr>
      <w:tr>
        <w:trPr/>
        <w:tc>
          <w:tcPr>
            <w:tcW w:w="24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IA y datos</w:t>
            </w:r>
          </w:p>
        </w:tc>
        <w:tc>
          <w:tcPr>
            <w:tcW w:w="68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Ampliación de la base de conocimiento de oficios, coste de infraestructura de inteligencia artificial y validación continua</w:t>
            </w:r>
          </w:p>
        </w:tc>
      </w:tr>
      <w:tr>
        <w:trPr/>
        <w:tc>
          <w:tcPr>
            <w:tcW w:w="24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Comercialización</w:t>
            </w:r>
          </w:p>
        </w:tc>
        <w:tc>
          <w:tcPr>
            <w:tcW w:w="68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Beta con cohortes reales, canal de asociaciones sectoriales, materiales comerciales y primeros clientes de pago</w:t>
            </w:r>
          </w:p>
        </w:tc>
      </w:tr>
      <w:tr>
        <w:trPr/>
        <w:tc>
          <w:tcPr>
            <w:tcW w:w="2400" w:type="dxa"/>
            <w:tcBorders>
              <w:top w:val="single" w:sz="2" w:space="0" w:color="DDDDDD"/>
              <w:left w:val="single" w:sz="2" w:space="0" w:color="AAAAAA"/>
              <w:bottom w:val="single" w:sz="2" w:space="0" w:color="AAAAAA"/>
              <w:right w:val="single" w:sz="2" w:space="0" w:color="DDDDDD"/>
            </w:tcBorders>
            <w:shd w:fill="F4F4F4" w:val="clear"/>
            <w:vAlign w:val="center"/>
          </w:tcPr>
          <w:p>
            <w:pPr>
              <w:pStyle w:val="Normal"/>
              <w:widowControl w:val="false"/>
              <w:jc w:val="left"/>
              <w:rPr/>
            </w:pPr>
            <w:r>
              <w:rPr>
                <w:b w:val="false"/>
                <w:bCs w:val="false"/>
                <w:color w:val="222222"/>
                <w:sz w:val="19"/>
                <w:szCs w:val="19"/>
              </w:rPr>
              <w:t>Contrataciones</w:t>
            </w:r>
          </w:p>
        </w:tc>
        <w:tc>
          <w:tcPr>
            <w:tcW w:w="6899" w:type="dxa"/>
            <w:tcBorders>
              <w:top w:val="single" w:sz="2" w:space="0" w:color="DDDDDD"/>
              <w:left w:val="single" w:sz="2" w:space="0" w:color="DDDDDD"/>
              <w:bottom w:val="single" w:sz="2" w:space="0" w:color="AAAAAA"/>
              <w:right w:val="single" w:sz="2" w:space="0" w:color="AAAAAA"/>
            </w:tcBorders>
            <w:shd w:fill="F4F4F4" w:val="clear"/>
            <w:vAlign w:val="center"/>
          </w:tcPr>
          <w:p>
            <w:pPr>
              <w:pStyle w:val="Normal"/>
              <w:widowControl w:val="false"/>
              <w:jc w:val="left"/>
              <w:rPr/>
            </w:pPr>
            <w:r>
              <w:rPr>
                <w:b w:val="false"/>
                <w:bCs w:val="false"/>
                <w:color w:val="222222"/>
                <w:sz w:val="19"/>
                <w:szCs w:val="19"/>
              </w:rPr>
              <w:t>Incorporación de CTO, perfil de datos/IA y responsable comercial</w:t>
            </w:r>
          </w:p>
        </w:tc>
      </w:tr>
    </w:tbl>
    <w:p>
      <w:pPr>
        <w:pStyle w:val="Normal"/>
        <w:spacing w:lineRule="exact" w:line="268" w:before="0" w:after="140"/>
        <w:jc w:val="both"/>
        <w:rPr/>
      </w:pPr>
      <w:r>
        <w:rPr>
          <w:color w:val="2A2A2A"/>
          <w:sz w:val="20"/>
          <w:szCs w:val="20"/>
        </w:rPr>
        <w:t>Esta financiación es complementaria a otras líneas ya identificadas por el proyecto (ENISA Jóvenes Emprendedores, Kit Digital como Agente Digitalizador), y el equipo promotor está abierto a explorar con SODERCAN el instrumento de apoyo más adecuado: subvención a la innovación, préstamo participativo, o acompañamiento en la puesta en marcha de la sede social en Cantabria.</w:t>
      </w:r>
      <w:r>
        <w:br w:type="page"/>
      </w:r>
    </w:p>
    <w:p>
      <w:pPr>
        <w:pStyle w:val="Normal"/>
        <w:spacing w:before="0" w:after="0"/>
        <w:rPr/>
      </w:pPr>
      <w:r>
        <w:rPr/>
      </w:r>
    </w:p>
    <w:tbl>
      <w:tblPr>
        <w:tblW w:w="9300" w:type="dxa"/>
        <w:jc w:val="left"/>
        <w:tblInd w:w="0" w:type="dxa"/>
        <w:tblLayout w:type="fixed"/>
        <w:tblCellMar>
          <w:top w:w="0" w:type="dxa"/>
          <w:left w:w="108" w:type="dxa"/>
          <w:bottom w:w="0" w:type="dxa"/>
          <w:right w:w="108" w:type="dxa"/>
        </w:tblCellMar>
      </w:tblPr>
      <w:tblGrid>
        <w:gridCol w:w="140"/>
        <w:gridCol w:w="9159"/>
      </w:tblGrid>
      <w:tr>
        <w:trPr/>
        <w:tc>
          <w:tcPr>
            <w:tcW w:w="140" w:type="dxa"/>
            <w:tcBorders/>
            <w:shd w:fill="1A5A96" w:val="clear"/>
          </w:tcPr>
          <w:p>
            <w:pPr>
              <w:pStyle w:val="Normal"/>
              <w:widowControl w:val="false"/>
              <w:rPr/>
            </w:pPr>
            <w:r>
              <w:rPr/>
            </w:r>
          </w:p>
        </w:tc>
        <w:tc>
          <w:tcPr>
            <w:tcW w:w="9159" w:type="dxa"/>
            <w:tcBorders/>
            <w:tcMar>
              <w:left w:w="200" w:type="dxa"/>
            </w:tcMar>
            <w:vAlign w:val="center"/>
          </w:tcPr>
          <w:p>
            <w:pPr>
              <w:pStyle w:val="Normal"/>
              <w:widowControl w:val="false"/>
              <w:rPr/>
            </w:pPr>
            <w:r>
              <w:rPr>
                <w:b/>
                <w:bCs/>
                <w:color w:val="1A5A96"/>
                <w:sz w:val="18"/>
                <w:szCs w:val="18"/>
              </w:rPr>
              <w:t>10</w:t>
            </w:r>
          </w:p>
          <w:p>
            <w:pPr>
              <w:pStyle w:val="Normal"/>
              <w:widowControl w:val="false"/>
              <w:rPr/>
            </w:pPr>
            <w:r>
              <w:rPr>
                <w:b/>
                <w:bCs/>
                <w:color w:val="1C2535"/>
                <w:sz w:val="34"/>
                <w:szCs w:val="34"/>
              </w:rPr>
              <w:t>¿POR QUÉ SODERCAN?</w:t>
            </w:r>
          </w:p>
        </w:tc>
      </w:tr>
    </w:tbl>
    <w:p>
      <w:pPr>
        <w:pStyle w:val="Normal"/>
        <w:spacing w:before="0" w:after="200"/>
        <w:rPr/>
      </w:pPr>
      <w:r>
        <w:rPr/>
      </w:r>
    </w:p>
    <w:p>
      <w:pPr>
        <w:pStyle w:val="Normal"/>
        <w:spacing w:lineRule="exact" w:line="280" w:before="0" w:after="200"/>
        <w:jc w:val="both"/>
        <w:rPr/>
      </w:pPr>
      <w:r>
        <w:rPr>
          <w:i/>
          <w:iCs/>
          <w:color w:val="1C2535"/>
          <w:sz w:val="22"/>
          <w:szCs w:val="22"/>
        </w:rPr>
        <w:t>TradeFlow encaja con la misión de SODERCAN de impulsar proyectos empresariales innovadores, tecnológicos y con capacidad de generar empleo cualificado y proyección exterior desde Cantabria.</w:t>
      </w:r>
    </w:p>
    <w:tbl>
      <w:tblPr>
        <w:tblW w:w="9300" w:type="dxa"/>
        <w:jc w:val="left"/>
        <w:tblInd w:w="0" w:type="dxa"/>
        <w:tblLayout w:type="fixed"/>
        <w:tblCellMar>
          <w:top w:w="90" w:type="dxa"/>
          <w:left w:w="110" w:type="dxa"/>
          <w:bottom w:w="90" w:type="dxa"/>
          <w:right w:w="110" w:type="dxa"/>
        </w:tblCellMar>
      </w:tblPr>
      <w:tblGrid>
        <w:gridCol w:w="3600"/>
        <w:gridCol w:w="5699"/>
      </w:tblGrid>
      <w:tr>
        <w:trPr>
          <w:tblHeader w:val="true"/>
        </w:trPr>
        <w:tc>
          <w:tcPr>
            <w:tcW w:w="3600" w:type="dxa"/>
            <w:tcBorders>
              <w:top w:val="single" w:sz="2" w:space="0" w:color="AAAAAA"/>
              <w:left w:val="single" w:sz="2" w:space="0" w:color="AAAAAA"/>
              <w:bottom w:val="single" w:sz="2" w:space="0" w:color="DDDDDD"/>
              <w:right w:val="single" w:sz="2" w:space="0" w:color="DDDDDD"/>
            </w:tcBorders>
            <w:shd w:fill="1C2535" w:val="clear"/>
            <w:vAlign w:val="center"/>
          </w:tcPr>
          <w:p>
            <w:pPr>
              <w:pStyle w:val="Normal"/>
              <w:widowControl w:val="false"/>
              <w:jc w:val="left"/>
              <w:rPr/>
            </w:pPr>
            <w:r>
              <w:rPr>
                <w:b/>
                <w:bCs/>
                <w:color w:val="FFFFFF"/>
                <w:sz w:val="19"/>
                <w:szCs w:val="19"/>
              </w:rPr>
              <w:t>Prioridad estratégica de SODERCAN</w:t>
            </w:r>
          </w:p>
        </w:tc>
        <w:tc>
          <w:tcPr>
            <w:tcW w:w="5699" w:type="dxa"/>
            <w:tcBorders>
              <w:top w:val="single" w:sz="2" w:space="0" w:color="AAAAAA"/>
              <w:left w:val="single" w:sz="2" w:space="0" w:color="DDDDDD"/>
              <w:bottom w:val="single" w:sz="2" w:space="0" w:color="DDDDDD"/>
              <w:right w:val="single" w:sz="2" w:space="0" w:color="AAAAAA"/>
            </w:tcBorders>
            <w:shd w:fill="1C2535" w:val="clear"/>
            <w:vAlign w:val="center"/>
          </w:tcPr>
          <w:p>
            <w:pPr>
              <w:pStyle w:val="Normal"/>
              <w:widowControl w:val="false"/>
              <w:jc w:val="left"/>
              <w:rPr/>
            </w:pPr>
            <w:r>
              <w:rPr>
                <w:b/>
                <w:bCs/>
                <w:color w:val="FFFFFF"/>
                <w:sz w:val="19"/>
                <w:szCs w:val="19"/>
              </w:rPr>
              <w:t>Encaje de TradeFlow</w:t>
            </w:r>
          </w:p>
        </w:tc>
      </w:tr>
      <w:tr>
        <w:trPr/>
        <w:tc>
          <w:tcPr>
            <w:tcW w:w="36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Impulso a la innovación tecnológica regional</w:t>
            </w:r>
          </w:p>
        </w:tc>
        <w:tc>
          <w:tcPr>
            <w:tcW w:w="56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Motor de IA propio, validado técnicamente, con alto componente de I+D aplicada</w:t>
            </w:r>
          </w:p>
        </w:tc>
      </w:tr>
      <w:tr>
        <w:trPr/>
        <w:tc>
          <w:tcPr>
            <w:tcW w:w="36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Digitalización del tejido empresarial</w:t>
            </w:r>
          </w:p>
        </w:tc>
        <w:tc>
          <w:tcPr>
            <w:tcW w:w="56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Producto diseñado específicamente para digitalizar pymes y autónomos de baja madurez tecnológica</w:t>
            </w:r>
          </w:p>
        </w:tc>
      </w:tr>
      <w:tr>
        <w:trPr/>
        <w:tc>
          <w:tcPr>
            <w:tcW w:w="36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Creación de empleo cualificado</w:t>
            </w:r>
          </w:p>
        </w:tc>
        <w:tc>
          <w:tcPr>
            <w:tcW w:w="56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Plan de incorporación de perfiles técnicos y comerciales de alto valor añadido</w:t>
            </w:r>
          </w:p>
        </w:tc>
      </w:tr>
      <w:tr>
        <w:trPr/>
        <w:tc>
          <w:tcPr>
            <w:tcW w:w="36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Proyección exterior de la economía cántabra</w:t>
            </w:r>
          </w:p>
        </w:tc>
        <w:tc>
          <w:tcPr>
            <w:tcW w:w="56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Producto cloud, exportable desde el primer día, con roadmap de expansión a Portugal y LATAM</w:t>
            </w:r>
          </w:p>
        </w:tc>
      </w:tr>
      <w:tr>
        <w:trPr/>
        <w:tc>
          <w:tcPr>
            <w:tcW w:w="3600" w:type="dxa"/>
            <w:tcBorders>
              <w:top w:val="single" w:sz="2" w:space="0" w:color="DDDDDD"/>
              <w:left w:val="single" w:sz="2" w:space="0" w:color="AAAAAA"/>
              <w:bottom w:val="single" w:sz="2" w:space="0" w:color="AAAAAA"/>
              <w:right w:val="single" w:sz="2" w:space="0" w:color="DDDDDD"/>
            </w:tcBorders>
            <w:shd w:fill="FFFFFF" w:val="clear"/>
            <w:vAlign w:val="center"/>
          </w:tcPr>
          <w:p>
            <w:pPr>
              <w:pStyle w:val="Normal"/>
              <w:widowControl w:val="false"/>
              <w:jc w:val="left"/>
              <w:rPr/>
            </w:pPr>
            <w:r>
              <w:rPr>
                <w:b w:val="false"/>
                <w:bCs w:val="false"/>
                <w:color w:val="222222"/>
                <w:sz w:val="19"/>
                <w:szCs w:val="19"/>
              </w:rPr>
              <w:t>Apoyo a startups de base tecnológica en fase temprana</w:t>
            </w:r>
          </w:p>
        </w:tc>
        <w:tc>
          <w:tcPr>
            <w:tcW w:w="5699" w:type="dxa"/>
            <w:tcBorders>
              <w:top w:val="single" w:sz="2" w:space="0" w:color="DDDDDD"/>
              <w:left w:val="single" w:sz="2" w:space="0" w:color="DDDDDD"/>
              <w:bottom w:val="single" w:sz="2" w:space="0" w:color="AAAAAA"/>
              <w:right w:val="single" w:sz="2" w:space="0" w:color="AAAAAA"/>
            </w:tcBorders>
            <w:shd w:fill="FFFFFF" w:val="clear"/>
            <w:vAlign w:val="center"/>
          </w:tcPr>
          <w:p>
            <w:pPr>
              <w:pStyle w:val="Normal"/>
              <w:widowControl w:val="false"/>
              <w:jc w:val="left"/>
              <w:rPr/>
            </w:pPr>
            <w:r>
              <w:rPr>
                <w:b w:val="false"/>
                <w:bCs w:val="false"/>
                <w:color w:val="222222"/>
                <w:sz w:val="19"/>
                <w:szCs w:val="19"/>
              </w:rPr>
              <w:t>Proyecto con TRL 6-7, arquitectura validada y modelo financiero reconciliado, listo para escalar</w:t>
            </w:r>
          </w:p>
        </w:tc>
      </w:tr>
    </w:tbl>
    <w:p>
      <w:pPr>
        <w:pStyle w:val="Normal"/>
        <w:spacing w:lineRule="exact" w:line="268" w:before="0" w:after="140"/>
        <w:jc w:val="both"/>
        <w:rPr/>
      </w:pPr>
      <w:r>
        <w:rPr>
          <w:color w:val="2A2A2A"/>
          <w:sz w:val="20"/>
          <w:szCs w:val="20"/>
        </w:rPr>
        <w:t>TradeFlow formaliza su sede social en Cantabria, en Castillo Pedroso (Corvera de Toranzo), aportando a la región un proyecto de inteligencia artificial aplicada con vocación de crecimiento nacional e internacional. Una colaboración con SODERCAN permitiría acompañar esta puesta en marcha desde el origen y ofrecer a la agencia un caso de referencia de digitalización de sectores tradicionales mediante IA de última generación.</w:t>
      </w:r>
      <w:r>
        <w:br w:type="page"/>
      </w:r>
    </w:p>
    <w:p>
      <w:pPr>
        <w:pStyle w:val="Normal"/>
        <w:spacing w:before="0" w:after="0"/>
        <w:rPr/>
      </w:pPr>
      <w:r>
        <w:rPr/>
      </w:r>
    </w:p>
    <w:tbl>
      <w:tblPr>
        <w:tblW w:w="9300" w:type="dxa"/>
        <w:jc w:val="left"/>
        <w:tblInd w:w="0" w:type="dxa"/>
        <w:tblLayout w:type="fixed"/>
        <w:tblCellMar>
          <w:top w:w="0" w:type="dxa"/>
          <w:left w:w="108" w:type="dxa"/>
          <w:bottom w:w="0" w:type="dxa"/>
          <w:right w:w="108" w:type="dxa"/>
        </w:tblCellMar>
      </w:tblPr>
      <w:tblGrid>
        <w:gridCol w:w="140"/>
        <w:gridCol w:w="9159"/>
      </w:tblGrid>
      <w:tr>
        <w:trPr/>
        <w:tc>
          <w:tcPr>
            <w:tcW w:w="140" w:type="dxa"/>
            <w:tcBorders/>
            <w:shd w:fill="1A5A96" w:val="clear"/>
          </w:tcPr>
          <w:p>
            <w:pPr>
              <w:pStyle w:val="Normal"/>
              <w:widowControl w:val="false"/>
              <w:rPr/>
            </w:pPr>
            <w:r>
              <w:rPr/>
            </w:r>
          </w:p>
        </w:tc>
        <w:tc>
          <w:tcPr>
            <w:tcW w:w="9159" w:type="dxa"/>
            <w:tcBorders/>
            <w:tcMar>
              <w:left w:w="200" w:type="dxa"/>
            </w:tcMar>
            <w:vAlign w:val="center"/>
          </w:tcPr>
          <w:p>
            <w:pPr>
              <w:pStyle w:val="Normal"/>
              <w:widowControl w:val="false"/>
              <w:rPr/>
            </w:pPr>
            <w:r>
              <w:rPr>
                <w:b/>
                <w:bCs/>
                <w:color w:val="1A5A96"/>
                <w:sz w:val="18"/>
                <w:szCs w:val="18"/>
              </w:rPr>
              <w:t>11</w:t>
            </w:r>
          </w:p>
          <w:p>
            <w:pPr>
              <w:pStyle w:val="Normal"/>
              <w:widowControl w:val="false"/>
              <w:rPr/>
            </w:pPr>
            <w:r>
              <w:rPr>
                <w:b/>
                <w:bCs/>
                <w:color w:val="1C2535"/>
                <w:sz w:val="34"/>
                <w:szCs w:val="34"/>
              </w:rPr>
              <w:t>PRÓXIMOS PASOS · CRONOGRAMA 18 MESES</w:t>
            </w:r>
          </w:p>
        </w:tc>
      </w:tr>
    </w:tbl>
    <w:p>
      <w:pPr>
        <w:pStyle w:val="Normal"/>
        <w:spacing w:before="0" w:after="200"/>
        <w:rPr/>
      </w:pPr>
      <w:r>
        <w:rPr/>
      </w:r>
    </w:p>
    <w:tbl>
      <w:tblPr>
        <w:tblW w:w="9300" w:type="dxa"/>
        <w:jc w:val="left"/>
        <w:tblInd w:w="0" w:type="dxa"/>
        <w:tblLayout w:type="fixed"/>
        <w:tblCellMar>
          <w:top w:w="90" w:type="dxa"/>
          <w:left w:w="110" w:type="dxa"/>
          <w:bottom w:w="90" w:type="dxa"/>
          <w:right w:w="110" w:type="dxa"/>
        </w:tblCellMar>
      </w:tblPr>
      <w:tblGrid>
        <w:gridCol w:w="2200"/>
        <w:gridCol w:w="7099"/>
      </w:tblGrid>
      <w:tr>
        <w:trPr>
          <w:tblHeader w:val="true"/>
        </w:trPr>
        <w:tc>
          <w:tcPr>
            <w:tcW w:w="2200" w:type="dxa"/>
            <w:tcBorders>
              <w:top w:val="single" w:sz="2" w:space="0" w:color="AAAAAA"/>
              <w:left w:val="single" w:sz="2" w:space="0" w:color="AAAAAA"/>
              <w:bottom w:val="single" w:sz="2" w:space="0" w:color="DDDDDD"/>
              <w:right w:val="single" w:sz="2" w:space="0" w:color="DDDDDD"/>
            </w:tcBorders>
            <w:shd w:fill="1C2535" w:val="clear"/>
            <w:vAlign w:val="center"/>
          </w:tcPr>
          <w:p>
            <w:pPr>
              <w:pStyle w:val="Normal"/>
              <w:widowControl w:val="false"/>
              <w:jc w:val="left"/>
              <w:rPr/>
            </w:pPr>
            <w:r>
              <w:rPr>
                <w:b/>
                <w:bCs/>
                <w:color w:val="FFFFFF"/>
                <w:sz w:val="19"/>
                <w:szCs w:val="19"/>
              </w:rPr>
              <w:t>Periodo</w:t>
            </w:r>
          </w:p>
        </w:tc>
        <w:tc>
          <w:tcPr>
            <w:tcW w:w="7099" w:type="dxa"/>
            <w:tcBorders>
              <w:top w:val="single" w:sz="2" w:space="0" w:color="AAAAAA"/>
              <w:left w:val="single" w:sz="2" w:space="0" w:color="DDDDDD"/>
              <w:bottom w:val="single" w:sz="2" w:space="0" w:color="DDDDDD"/>
              <w:right w:val="single" w:sz="2" w:space="0" w:color="AAAAAA"/>
            </w:tcBorders>
            <w:shd w:fill="1C2535" w:val="clear"/>
            <w:vAlign w:val="center"/>
          </w:tcPr>
          <w:p>
            <w:pPr>
              <w:pStyle w:val="Normal"/>
              <w:widowControl w:val="false"/>
              <w:jc w:val="left"/>
              <w:rPr/>
            </w:pPr>
            <w:r>
              <w:rPr>
                <w:b/>
                <w:bCs/>
                <w:color w:val="FFFFFF"/>
                <w:sz w:val="19"/>
                <w:szCs w:val="19"/>
              </w:rPr>
              <w:t>Hito</w:t>
            </w:r>
          </w:p>
        </w:tc>
      </w:tr>
      <w:tr>
        <w:trPr/>
        <w:tc>
          <w:tcPr>
            <w:tcW w:w="22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Meses 1-3</w:t>
            </w:r>
          </w:p>
        </w:tc>
        <w:tc>
          <w:tcPr>
            <w:tcW w:w="70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Constitución notarial · Reunión de seguimiento con SODERCAN · Hardening de seguridad</w:t>
            </w:r>
          </w:p>
        </w:tc>
      </w:tr>
      <w:tr>
        <w:trPr/>
        <w:tc>
          <w:tcPr>
            <w:tcW w:w="22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Meses 4-6</w:t>
            </w:r>
          </w:p>
        </w:tc>
        <w:tc>
          <w:tcPr>
            <w:tcW w:w="70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Beta gratuita con cohortes reales · Primeras métricas de retención y satisfacción</w:t>
            </w:r>
          </w:p>
        </w:tc>
      </w:tr>
      <w:tr>
        <w:trPr/>
        <w:tc>
          <w:tcPr>
            <w:tcW w:w="22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Meses 7-9</w:t>
            </w:r>
          </w:p>
        </w:tc>
        <w:tc>
          <w:tcPr>
            <w:tcW w:w="70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Certificación VeriFactu · Cierre de acuerdos con al menos un distribuidor o asociación sectorial</w:t>
            </w:r>
          </w:p>
        </w:tc>
      </w:tr>
      <w:tr>
        <w:trPr/>
        <w:tc>
          <w:tcPr>
            <w:tcW w:w="2200" w:type="dxa"/>
            <w:tcBorders>
              <w:top w:val="single" w:sz="2" w:space="0" w:color="DDDDDD"/>
              <w:left w:val="single" w:sz="2" w:space="0" w:color="AAAAAA"/>
              <w:bottom w:val="single" w:sz="2" w:space="0" w:color="DDDDDD"/>
              <w:right w:val="single" w:sz="2" w:space="0" w:color="DDDDDD"/>
            </w:tcBorders>
            <w:shd w:fill="F4F4F4" w:val="clear"/>
            <w:vAlign w:val="center"/>
          </w:tcPr>
          <w:p>
            <w:pPr>
              <w:pStyle w:val="Normal"/>
              <w:widowControl w:val="false"/>
              <w:jc w:val="left"/>
              <w:rPr/>
            </w:pPr>
            <w:r>
              <w:rPr>
                <w:b w:val="false"/>
                <w:bCs w:val="false"/>
                <w:color w:val="222222"/>
                <w:sz w:val="19"/>
                <w:szCs w:val="19"/>
              </w:rPr>
              <w:t>Meses 10-12</w:t>
            </w:r>
          </w:p>
        </w:tc>
        <w:tc>
          <w:tcPr>
            <w:tcW w:w="7099" w:type="dxa"/>
            <w:tcBorders>
              <w:top w:val="single" w:sz="2" w:space="0" w:color="DDDDDD"/>
              <w:left w:val="single" w:sz="2" w:space="0" w:color="DDDDDD"/>
              <w:bottom w:val="single" w:sz="2" w:space="0" w:color="DDDDDD"/>
              <w:right w:val="single" w:sz="2" w:space="0" w:color="AAAAAA"/>
            </w:tcBorders>
            <w:shd w:fill="F4F4F4" w:val="clear"/>
            <w:vAlign w:val="center"/>
          </w:tcPr>
          <w:p>
            <w:pPr>
              <w:pStyle w:val="Normal"/>
              <w:widowControl w:val="false"/>
              <w:jc w:val="left"/>
              <w:rPr/>
            </w:pPr>
            <w:r>
              <w:rPr>
                <w:b w:val="false"/>
                <w:bCs w:val="false"/>
                <w:color w:val="222222"/>
                <w:sz w:val="19"/>
                <w:szCs w:val="19"/>
              </w:rPr>
              <w:t>100 primeros clientes de pago · Canal de adquisición documentado y repetible</w:t>
            </w:r>
          </w:p>
        </w:tc>
      </w:tr>
      <w:tr>
        <w:trPr/>
        <w:tc>
          <w:tcPr>
            <w:tcW w:w="2200" w:type="dxa"/>
            <w:tcBorders>
              <w:top w:val="single" w:sz="2" w:space="0" w:color="DDDDDD"/>
              <w:left w:val="single" w:sz="2" w:space="0" w:color="AAAAAA"/>
              <w:bottom w:val="single" w:sz="2" w:space="0" w:color="DDDDDD"/>
              <w:right w:val="single" w:sz="2" w:space="0" w:color="DDDDDD"/>
            </w:tcBorders>
            <w:shd w:fill="FFFFFF" w:val="clear"/>
            <w:vAlign w:val="center"/>
          </w:tcPr>
          <w:p>
            <w:pPr>
              <w:pStyle w:val="Normal"/>
              <w:widowControl w:val="false"/>
              <w:jc w:val="left"/>
              <w:rPr/>
            </w:pPr>
            <w:r>
              <w:rPr>
                <w:b w:val="false"/>
                <w:bCs w:val="false"/>
                <w:color w:val="222222"/>
                <w:sz w:val="19"/>
                <w:szCs w:val="19"/>
              </w:rPr>
              <w:t>Meses 13-15</w:t>
            </w:r>
          </w:p>
        </w:tc>
        <w:tc>
          <w:tcPr>
            <w:tcW w:w="7099" w:type="dxa"/>
            <w:tcBorders>
              <w:top w:val="single" w:sz="2" w:space="0" w:color="DDDDDD"/>
              <w:left w:val="single" w:sz="2" w:space="0" w:color="DDDDDD"/>
              <w:bottom w:val="single" w:sz="2" w:space="0" w:color="DDDDDD"/>
              <w:right w:val="single" w:sz="2" w:space="0" w:color="AAAAAA"/>
            </w:tcBorders>
            <w:shd w:fill="FFFFFF" w:val="clear"/>
            <w:vAlign w:val="center"/>
          </w:tcPr>
          <w:p>
            <w:pPr>
              <w:pStyle w:val="Normal"/>
              <w:widowControl w:val="false"/>
              <w:jc w:val="left"/>
              <w:rPr/>
            </w:pPr>
            <w:r>
              <w:rPr>
                <w:b w:val="false"/>
                <w:bCs w:val="false"/>
                <w:color w:val="222222"/>
                <w:sz w:val="19"/>
                <w:szCs w:val="19"/>
              </w:rPr>
              <w:t>Evaluación conjunta con SODERCAN del instrumento de apoyo más adecuado para la siguiente fase</w:t>
            </w:r>
          </w:p>
        </w:tc>
      </w:tr>
      <w:tr>
        <w:trPr/>
        <w:tc>
          <w:tcPr>
            <w:tcW w:w="2200" w:type="dxa"/>
            <w:tcBorders>
              <w:top w:val="single" w:sz="2" w:space="0" w:color="DDDDDD"/>
              <w:left w:val="single" w:sz="2" w:space="0" w:color="AAAAAA"/>
              <w:bottom w:val="single" w:sz="2" w:space="0" w:color="AAAAAA"/>
              <w:right w:val="single" w:sz="2" w:space="0" w:color="DDDDDD"/>
            </w:tcBorders>
            <w:shd w:fill="F4F4F4" w:val="clear"/>
            <w:vAlign w:val="center"/>
          </w:tcPr>
          <w:p>
            <w:pPr>
              <w:pStyle w:val="Normal"/>
              <w:widowControl w:val="false"/>
              <w:jc w:val="left"/>
              <w:rPr/>
            </w:pPr>
            <w:r>
              <w:rPr>
                <w:b w:val="false"/>
                <w:bCs w:val="false"/>
                <w:color w:val="222222"/>
                <w:sz w:val="19"/>
                <w:szCs w:val="19"/>
              </w:rPr>
              <w:t>Meses 16-18</w:t>
            </w:r>
          </w:p>
        </w:tc>
        <w:tc>
          <w:tcPr>
            <w:tcW w:w="7099" w:type="dxa"/>
            <w:tcBorders>
              <w:top w:val="single" w:sz="2" w:space="0" w:color="DDDDDD"/>
              <w:left w:val="single" w:sz="2" w:space="0" w:color="DDDDDD"/>
              <w:bottom w:val="single" w:sz="2" w:space="0" w:color="AAAAAA"/>
              <w:right w:val="single" w:sz="2" w:space="0" w:color="AAAAAA"/>
            </w:tcBorders>
            <w:shd w:fill="F4F4F4" w:val="clear"/>
            <w:vAlign w:val="center"/>
          </w:tcPr>
          <w:p>
            <w:pPr>
              <w:pStyle w:val="Normal"/>
              <w:widowControl w:val="false"/>
              <w:jc w:val="left"/>
              <w:rPr/>
            </w:pPr>
            <w:r>
              <w:rPr>
                <w:b w:val="false"/>
                <w:bCs w:val="false"/>
                <w:color w:val="222222"/>
                <w:sz w:val="19"/>
                <w:szCs w:val="19"/>
              </w:rPr>
              <w:t>Preparación de la expansión a Portugal · Consolidación de la base operativa</w:t>
            </w:r>
          </w:p>
        </w:tc>
      </w:tr>
    </w:tbl>
    <w:p>
      <w:pPr>
        <w:pStyle w:val="Normal"/>
        <w:spacing w:before="0" w:after="200"/>
        <w:rPr/>
      </w:pPr>
      <w:r>
        <w:rPr/>
      </w:r>
    </w:p>
    <w:p>
      <w:pPr>
        <w:pStyle w:val="Normal"/>
        <w:spacing w:before="200" w:after="100"/>
        <w:rPr/>
      </w:pPr>
      <w:r>
        <w:rPr>
          <w:b/>
          <w:bCs/>
          <w:color w:val="B84E35"/>
          <w:sz w:val="22"/>
          <w:szCs w:val="22"/>
        </w:rPr>
        <w:t>Nuestra propuesta para esta primera reunión</w:t>
      </w:r>
    </w:p>
    <w:p>
      <w:pPr>
        <w:pStyle w:val="Normal"/>
        <w:spacing w:before="0" w:after="80"/>
        <w:ind w:left="340" w:hanging="220"/>
        <w:jc w:val="both"/>
        <w:rPr/>
      </w:pPr>
      <w:r>
        <w:rPr>
          <w:b/>
          <w:bCs/>
          <w:color w:val="1A5A96"/>
          <w:sz w:val="20"/>
          <w:szCs w:val="20"/>
        </w:rPr>
        <w:t xml:space="preserve">▸  </w:t>
      </w:r>
      <w:r>
        <w:rPr>
          <w:color w:val="2A2A2A"/>
          <w:sz w:val="20"/>
          <w:szCs w:val="20"/>
        </w:rPr>
        <w:t>Presentar el proyecto y resolver dudas técnicas y de modelo de negocio.</w:t>
      </w:r>
    </w:p>
    <w:p>
      <w:pPr>
        <w:pStyle w:val="Normal"/>
        <w:spacing w:before="0" w:after="80"/>
        <w:ind w:left="340" w:hanging="220"/>
        <w:jc w:val="both"/>
        <w:rPr/>
      </w:pPr>
      <w:r>
        <w:rPr>
          <w:b/>
          <w:bCs/>
          <w:color w:val="1A5A96"/>
          <w:sz w:val="20"/>
          <w:szCs w:val="20"/>
        </w:rPr>
        <w:t xml:space="preserve">▸  </w:t>
      </w:r>
      <w:r>
        <w:rPr>
          <w:color w:val="2A2A2A"/>
          <w:sz w:val="20"/>
          <w:szCs w:val="20"/>
        </w:rPr>
        <w:t>Conocer los programas de SODERCAN más alineados con la fase actual del proyecto.</w:t>
      </w:r>
    </w:p>
    <w:p>
      <w:pPr>
        <w:pStyle w:val="Normal"/>
        <w:spacing w:before="0" w:after="80"/>
        <w:ind w:left="340" w:hanging="220"/>
        <w:jc w:val="both"/>
        <w:rPr/>
      </w:pPr>
      <w:r>
        <w:rPr>
          <w:b/>
          <w:bCs/>
          <w:color w:val="1A5A96"/>
          <w:sz w:val="20"/>
          <w:szCs w:val="20"/>
        </w:rPr>
        <w:t xml:space="preserve">▸  </w:t>
      </w:r>
      <w:r>
        <w:rPr>
          <w:color w:val="2A2A2A"/>
          <w:sz w:val="20"/>
          <w:szCs w:val="20"/>
        </w:rPr>
        <w:t>Coordinar con SODERCAN los pasos de acompañamiento a la constitución de la sede social en Cantabria.</w:t>
      </w:r>
      <w:r>
        <w:br w:type="page"/>
      </w:r>
    </w:p>
    <w:p>
      <w:pPr>
        <w:pStyle w:val="Normal"/>
        <w:spacing w:before="2000" w:after="0"/>
        <w:rPr/>
      </w:pPr>
      <w:r>
        <w:rPr/>
      </w:r>
    </w:p>
    <w:p>
      <w:pPr>
        <w:pStyle w:val="Normal"/>
        <w:jc w:val="center"/>
        <w:rPr/>
      </w:pPr>
      <w:r>
        <w:rPr>
          <w:b/>
          <w:bCs/>
          <w:color w:val="1A5A96"/>
          <w:sz w:val="48"/>
          <w:szCs w:val="48"/>
        </w:rPr>
        <w:t>TradeFlow</w:t>
      </w:r>
    </w:p>
    <w:p>
      <w:pPr>
        <w:pStyle w:val="Normal"/>
        <w:spacing w:before="100" w:after="0"/>
        <w:jc w:val="center"/>
        <w:rPr/>
      </w:pPr>
      <w:r>
        <w:rPr>
          <w:color w:val="666666"/>
          <w:sz w:val="18"/>
          <w:szCs w:val="18"/>
        </w:rPr>
        <w:t>trabflow.com  ·  fercarboc@gmail.com  ·  672 336 572</w:t>
      </w:r>
    </w:p>
    <w:p>
      <w:pPr>
        <w:pStyle w:val="Normal"/>
        <w:spacing w:before="400" w:after="0"/>
        <w:jc w:val="center"/>
        <w:rPr/>
      </w:pPr>
      <w:r>
        <w:rPr>
          <w:i/>
          <w:iCs/>
          <w:color w:val="888888"/>
          <w:sz w:val="18"/>
          <w:szCs w:val="18"/>
        </w:rPr>
        <w:t>Gracias por su tiempo y por considerar este proyecto.</w:t>
      </w:r>
    </w:p>
    <w:sectPr>
      <w:headerReference w:type="default" r:id="rId2"/>
      <w:footerReference w:type="default" r:id="rId3"/>
      <w:type w:val="nextPage"/>
      <w:pgSz w:w="11906" w:h="16838"/>
      <w:pgMar w:left="1150" w:right="1150" w:gutter="0" w:header="708" w:top="1100" w:footer="708" w:bottom="11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4"/>
        <w:szCs w:val="14"/>
      </w:rPr>
      <w:t xml:space="preserve">Confidencial  ·  Página </w:t>
    </w:r>
    <w:r>
      <w:rPr/>
      <w:fldChar w:fldCharType="begin"/>
    </w:r>
    <w:r>
      <w:rPr/>
      <w:instrText xml:space="preserve"> PAGE </w:instrText>
    </w:r>
    <w:r>
      <w:rPr/>
      <w:fldChar w:fldCharType="separate"/>
    </w:r>
    <w:r>
      <w:rPr/>
      <w:t>13</w:t>
    </w:r>
    <w:r>
      <w:rPr/>
      <w:fldChar w:fldCharType="end"/>
    </w:r>
    <w:r>
      <w:rPr>
        <w:color w:val="999999"/>
        <w:sz w:val="14"/>
        <w:szCs w:val="14"/>
      </w:rPr>
      <w:t xml:space="preserve"> de </w:t>
    </w:r>
    <w:r>
      <w:rPr/>
      <w:fldChar w:fldCharType="begin"/>
    </w:r>
    <w:r>
      <w:rPr/>
      <w:instrText xml:space="preserve"> NUMPAGES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999999"/>
        <w:sz w:val="14"/>
        <w:szCs w:val="14"/>
      </w:rPr>
      <w:t>TradeFlow · Dossier ejecutivo SODERCAN</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s-ES"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0"/>
      <w:szCs w:val="20"/>
      <w:lang w:val="es-E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LibreOffice/7.4.3.2$Windows_X86_64 LibreOffice_project/1048a8393ae2eeec98dff31b5c133c5f1d08b890</Application>
  <AppVersion>15.0000</AppVersion>
  <Pages>13</Pages>
  <Words>1943</Words>
  <Characters>11418</Characters>
  <CharactersWithSpaces>13162</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2026-07-08T07:55:23Z</dcterms:created>
  <dc:creator>Un-named</dc:creator>
  <dc:description/>
  <dc:language>es-ES</dc:language>
  <cp:lastModifiedBy/>
  <dcterms:modified xsi:type="dcterms:W3CDTF">2026-07-08T09:57:14Z</dcterms:modified>
  <cp:revision>2</cp:revision>
  <dc:subject/>
  <dc:title/>
</cp:coreProperties>
</file>