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87"/>
        <w:gridCol w:w="4098"/>
      </w:tblGrid>
      <w:tr>
        <w:tc>
          <w:tcPr>
            <w:tcW w:type="dxa" w:w="6687"/>
            <w:shd w:fill="1C2535" w:val="clear"/>
            <w:tcMar>
              <w:top w:type="dxa" w:w="320"/>
              <w:left w:type="dxa" w:w="300"/>
              <w:bottom w:type="dxa" w:w="32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C8922A"/>
                <w:spacing w:val="10"/>
                <w:sz w:val="14"/>
                <w:szCs w:val="14"/>
              </w:rPr>
              <w:t xml:space="preserve">FICHA RESUMEN · PRESENTACIÓN INSTITUCIONAL SODERCAN</w:t>
            </w:r>
          </w:p>
          <w:p>
            <w:r>
              <w:rPr>
                <w:rFonts w:ascii="Cambria" w:cs="Cambria" w:eastAsia="Cambria" w:hAnsi="Cambria"/>
                <w:b/>
                <w:bCs/>
                <w:color w:val="FFFFFF"/>
                <w:sz w:val="58"/>
                <w:szCs w:val="58"/>
              </w:rPr>
              <w:t xml:space="preserve">TradeFlow</w:t>
            </w:r>
          </w:p>
          <w:p>
            <w:pPr>
              <w:spacing w:before="20"/>
            </w:pPr>
            <w:r>
              <w:rPr>
                <w:i/>
                <w:iCs/>
                <w:color w:val="CBD5E1"/>
                <w:sz w:val="19"/>
                <w:szCs w:val="19"/>
              </w:rPr>
              <w:t xml:space="preserve">El sistema operativo de IA del instalador autónomo</w:t>
            </w:r>
          </w:p>
        </w:tc>
        <w:tc>
          <w:tcPr>
            <w:tcW w:type="dxa" w:w="4098"/>
            <w:shd w:fill="1C2535" w:val="clear"/>
            <w:tcMar>
              <w:top w:type="dxa" w:w="320"/>
              <w:left w:type="dxa" w:w="200"/>
              <w:bottom w:type="dxa" w:w="320"/>
              <w:right w:type="dxa" w:w="3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TrabFlow Technologies, S.L.</w:t>
            </w:r>
          </w:p>
          <w:p>
            <w:pPr>
              <w:spacing w:after="20"/>
              <w:jc w:val="right"/>
            </w:pPr>
            <w:r>
              <w:rPr>
                <w:color w:val="CBD5E1"/>
                <w:sz w:val="14"/>
                <w:szCs w:val="14"/>
              </w:rPr>
              <w:t xml:space="preserve">Fernando Carbonell Cabo · Fundador</w:t>
            </w:r>
          </w:p>
          <w:p>
            <w:pPr>
              <w:spacing w:after="20"/>
              <w:jc w:val="right"/>
            </w:pPr>
            <w:r>
              <w:rPr>
                <w:color w:val="CBD5E1"/>
                <w:sz w:val="14"/>
                <w:szCs w:val="14"/>
              </w:rPr>
              <w:t xml:space="preserve">fercarboc@gmail.com</w:t>
            </w:r>
          </w:p>
          <w:p>
            <w:pPr>
              <w:jc w:val="right"/>
            </w:pPr>
            <w:r>
              <w:rPr>
                <w:b/>
                <w:bCs/>
                <w:color w:val="C8922A"/>
                <w:sz w:val="14"/>
                <w:szCs w:val="14"/>
              </w:rPr>
              <w:t xml:space="preserve">trabflow.com</w:t>
            </w:r>
          </w:p>
        </w:tc>
      </w:tr>
    </w:tbl>
    <w:p>
      <w:pPr>
        <w:spacing w:after="380"/>
      </w:pPr>
    </w:p>
    <w:tbl>
      <w:tblPr>
        <w:tblW w:type="dxa" w:w="107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786"/>
      </w:tblGrid>
      <w:tr>
        <w:tc>
          <w:tcPr>
            <w:tcW w:type="dxa" w:w="10786"/>
            <w:shd w:fill="EAF1F8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jc w:val="both"/>
            </w:pPr>
            <w:r>
              <w:rPr>
                <w:b/>
                <w:bCs/>
                <w:color w:val="1C2535"/>
                <w:sz w:val="23"/>
                <w:szCs w:val="23"/>
              </w:rPr>
              <w:t xml:space="preserve">TradeFlow </w:t>
            </w:r>
            <w:r>
              <w:rPr>
                <w:color w:val="1F2937"/>
                <w:sz w:val="23"/>
                <w:szCs w:val="23"/>
              </w:rPr>
              <w:t xml:space="preserve">convierte la voz de un instalador autónomo —electricista, fontanero, técnico de climatización— en un presupuesto profesional con precios reales de mercado en menos de 3 minutos, integrando facturación conforme a VeriFactu y gestión de mantenimientos. Sin inventar nunca un precio: la IA recupera información verificada de una base de conocimiento propia de más de 2.000 actuaciones de oficio.</w:t>
            </w:r>
          </w:p>
        </w:tc>
      </w:tr>
    </w:tbl>
    <w:p>
      <w:pPr>
        <w:spacing w:after="420"/>
      </w:pPr>
    </w:p>
    <w:tbl>
      <w:tblPr>
        <w:tblW w:type="dxa" w:w="107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93"/>
        <w:gridCol w:w="200"/>
        <w:gridCol w:w="5293"/>
      </w:tblGrid>
      <w:tr>
        <w:tc>
          <w:tcPr>
            <w:tcW w:type="dxa" w:w="529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b/>
                <w:bCs/>
                <w:color w:val="B84E35"/>
                <w:spacing w:val="10"/>
                <w:sz w:val="16"/>
                <w:szCs w:val="16"/>
              </w:rPr>
              <w:t xml:space="preserve">PROBLEMA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8"/>
                <w:szCs w:val="18"/>
              </w:rPr>
              <w:t xml:space="preserve">•  </w:t>
            </w:r>
            <w:r>
              <w:rPr>
                <w:color w:val="374151"/>
                <w:sz w:val="18"/>
                <w:szCs w:val="18"/>
              </w:rPr>
              <w:t xml:space="preserve">30-60 min para elaborar un presupuesto a mano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8"/>
                <w:szCs w:val="18"/>
              </w:rPr>
              <w:t xml:space="preserve">•  </w:t>
            </w:r>
            <w:r>
              <w:rPr>
                <w:color w:val="374151"/>
                <w:sz w:val="18"/>
                <w:szCs w:val="18"/>
              </w:rPr>
              <w:t xml:space="preserve">Menos del 20% del sector usa hoy IA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8"/>
                <w:szCs w:val="18"/>
              </w:rPr>
              <w:t xml:space="preserve">•  </w:t>
            </w:r>
            <w:r>
              <w:rPr>
                <w:color w:val="374151"/>
                <w:sz w:val="18"/>
                <w:szCs w:val="18"/>
              </w:rPr>
              <w:t xml:space="preserve">VeriFactu obligatorio en 2027, sin herramienta vertical adaptada</w:t>
            </w:r>
          </w:p>
        </w:tc>
        <w:tc>
          <w:tcPr>
            <w:tcW w:type="dxa" w:w="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/>
        </w:tc>
        <w:tc>
          <w:tcPr>
            <w:tcW w:type="dxa" w:w="529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b/>
                <w:bCs/>
                <w:color w:val="4A6741"/>
                <w:spacing w:val="10"/>
                <w:sz w:val="16"/>
                <w:szCs w:val="16"/>
              </w:rPr>
              <w:t xml:space="preserve">SOLUCIÓN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8"/>
                <w:szCs w:val="18"/>
              </w:rPr>
              <w:t xml:space="preserve">•  </w:t>
            </w:r>
            <w:r>
              <w:rPr>
                <w:color w:val="374151"/>
                <w:sz w:val="18"/>
                <w:szCs w:val="18"/>
              </w:rPr>
              <w:t xml:space="preserve">Presupuesto por voz en menos de 3 minutos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8"/>
                <w:szCs w:val="18"/>
              </w:rPr>
              <w:t xml:space="preserve">•  </w:t>
            </w:r>
            <w:r>
              <w:rPr>
                <w:color w:val="374151"/>
                <w:sz w:val="18"/>
                <w:szCs w:val="18"/>
              </w:rPr>
              <w:t xml:space="preserve">Precios reales de distribuidores integrados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8"/>
                <w:szCs w:val="18"/>
              </w:rPr>
              <w:t xml:space="preserve">•  </w:t>
            </w:r>
            <w:r>
              <w:rPr>
                <w:color w:val="374151"/>
                <w:sz w:val="18"/>
                <w:szCs w:val="18"/>
              </w:rPr>
              <w:t xml:space="preserve">Facturación y cumplimiento normativo integrados</w:t>
            </w:r>
          </w:p>
        </w:tc>
      </w:tr>
    </w:tbl>
    <w:p>
      <w:pPr>
        <w:spacing w:after="420"/>
      </w:pPr>
    </w:p>
    <w:tbl>
      <w:tblPr>
        <w:tblW w:type="dxa" w:w="107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88"/>
        <w:gridCol w:w="160"/>
        <w:gridCol w:w="3488"/>
        <w:gridCol w:w="160"/>
        <w:gridCol w:w="3488"/>
      </w:tblGrid>
      <w:tr>
        <w:tc>
          <w:tcPr>
            <w:tcW w:type="dxa" w:w="3488"/>
            <w:shd w:fill="F4F6F8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b/>
                <w:bCs/>
                <w:color w:val="1A5A96"/>
                <w:spacing w:val="10"/>
                <w:sz w:val="16"/>
                <w:szCs w:val="16"/>
              </w:rPr>
              <w:t xml:space="preserve">MERCADO OBJETIVO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650.000+ instaladores en España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2,1 M en LATAM (fase de expansión)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480 M€ mercado servible estimado</w:t>
            </w:r>
          </w:p>
        </w:tc>
        <w:tc>
          <w:tcPr>
            <w:tcW w:type="dxa" w:w="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/>
        </w:tc>
        <w:tc>
          <w:tcPr>
            <w:tcW w:type="dxa" w:w="3488"/>
            <w:shd w:fill="F4F6F8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b/>
                <w:bCs/>
                <w:color w:val="C8922A"/>
                <w:spacing w:val="10"/>
                <w:sz w:val="16"/>
                <w:szCs w:val="16"/>
              </w:rPr>
              <w:t xml:space="preserve">ESTADO ACTUAL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93% de precisión validada (400 consultas)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Marca M4383580 solicitada (OEPM)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Modelo financiero a 3 años reconciliado</w:t>
            </w:r>
          </w:p>
        </w:tc>
        <w:tc>
          <w:tcPr>
            <w:tcW w:type="dxa" w:w="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/>
        </w:tc>
        <w:tc>
          <w:tcPr>
            <w:tcW w:type="dxa" w:w="3488"/>
            <w:shd w:fill="F4F6F8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b/>
                <w:bCs/>
                <w:color w:val="4A6741"/>
                <w:spacing w:val="10"/>
                <w:sz w:val="16"/>
                <w:szCs w:val="16"/>
              </w:rPr>
              <w:t xml:space="preserve">TECNOLOGÍA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React, TypeScript · Supabase (PostgreSQL)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Modelos Claude (Anthropic) + embeddings</w:t>
            </w:r>
          </w:p>
          <w:p>
            <w:pPr>
              <w:spacing w:after="90"/>
              <w:ind w:left="160" w:hanging="160"/>
            </w:pPr>
            <w:r>
              <w:rPr>
                <w:b/>
                <w:bCs/>
                <w:color w:val="1A5A96"/>
                <w:sz w:val="16"/>
                <w:szCs w:val="16"/>
              </w:rPr>
              <w:t xml:space="preserve">•  </w:t>
            </w:r>
            <w:r>
              <w:rPr>
                <w:color w:val="374151"/>
                <w:sz w:val="16"/>
                <w:szCs w:val="16"/>
              </w:rPr>
              <w:t xml:space="preserve">Infraestructura cloud serverless (Vercel)</w:t>
            </w:r>
          </w:p>
        </w:tc>
      </w:tr>
    </w:tbl>
    <w:p>
      <w:pPr>
        <w:spacing w:after="420"/>
      </w:pPr>
    </w:p>
    <w:tbl>
      <w:tblPr>
        <w:tblW w:type="dxa" w:w="107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18"/>
        <w:gridCol w:w="3668"/>
      </w:tblGrid>
      <w:tr>
        <w:tc>
          <w:tcPr>
            <w:tcW w:type="dxa" w:w="7118"/>
            <w:shd w:fill="1C2535" w:val="clear"/>
            <w:tcMar>
              <w:top w:type="dxa" w:w="320"/>
              <w:left w:type="dxa" w:w="320"/>
              <w:bottom w:type="dxa" w:w="320"/>
              <w:right w:type="dxa" w:w="260"/>
            </w:tcMar>
            <w:vAlign w:val="top"/>
          </w:tcPr>
          <w:p>
            <w:pPr>
              <w:spacing w:after="90"/>
            </w:pPr>
            <w:r>
              <w:rPr>
                <w:b/>
                <w:bCs/>
                <w:color w:val="C8922A"/>
                <w:spacing w:val="10"/>
                <w:sz w:val="16"/>
                <w:szCs w:val="16"/>
              </w:rPr>
              <w:t xml:space="preserve">NECESIDADES DE FINANCIACIÓN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150.000 € – 250.000 €</w:t>
            </w:r>
          </w:p>
          <w:p>
            <w:r>
              <w:rPr>
                <w:color w:val="CBD5E1"/>
                <w:sz w:val="17"/>
                <w:szCs w:val="17"/>
              </w:rPr>
              <w:t xml:space="preserve">Primera fase de aceleración (12-18 meses): desarrollo tecnológico, IA y datos, comercialización y contrataciones. Complementaria a ENISA y Kit Digital.</w:t>
            </w:r>
          </w:p>
        </w:tc>
        <w:tc>
          <w:tcPr>
            <w:tcW w:type="dxa" w:w="3668"/>
            <w:shd w:fill="F4F6F8" w:val="clear"/>
            <w:tcMar>
              <w:top w:type="dxa" w:w="260"/>
              <w:left w:type="dxa" w:w="160"/>
              <w:bottom w:type="dxa" w:w="26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C2535"/>
                <w:sz w:val="14"/>
                <w:szCs w:val="14"/>
              </w:rPr>
              <w:t xml:space="preserve">Más información y demo</w:t>
            </w:r>
          </w:p>
          <w:p>
            <w:pPr>
              <w:jc w:val="center"/>
            </w:pPr>
            <w:r>
              <w:rPr>
                <w:color w:val="1A5A96"/>
                <w:sz w:val="14"/>
                <w:szCs w:val="14"/>
              </w:rPr>
              <w:t xml:space="preserve">trabflow.com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9AA5B1"/>
          <w:sz w:val="13"/>
          <w:szCs w:val="13"/>
        </w:rPr>
        <w:t xml:space="preserve">Documento confidencial · TrabFlow Technologies, S.L. · Julio 2026</w:t>
      </w:r>
    </w:p>
    <w:sectPr>
      <w:pgSz w:w="11906" w:h="16838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f045510f36edd55b41c9ba465e811b3a4571c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2026-07-06T21:40:26.007Z</dcterms:created>
  <dcterms:modified xsi:type="dcterms:W3CDTF">2026-07-06T21:40:26.007Z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