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rFonts w:eastAsia="Arial" w:cs="Arial"/>
          <w:b/>
          <w:bCs/>
          <w:sz w:val="40"/>
          <w:szCs w:val="40"/>
        </w:rPr>
        <w:t>ESTATUTOS SOCIALES</w:t>
      </w:r>
    </w:p>
    <w:p>
      <w:pPr>
        <w:pStyle w:val="Normal"/>
        <w:spacing w:before="0" w:after="200"/>
        <w:jc w:val="center"/>
        <w:rPr/>
      </w:pPr>
      <w:r>
        <w:rPr>
          <w:rFonts w:eastAsia="Arial" w:cs="Arial"/>
          <w:b/>
          <w:bCs/>
          <w:sz w:val="32"/>
          <w:szCs w:val="32"/>
        </w:rPr>
        <w:t>TRABFLOW TECHNOLOGIES, SOCIEDAD LIMITADA</w:t>
      </w:r>
    </w:p>
    <w:p>
      <w:pPr>
        <w:pStyle w:val="Normal"/>
        <w:spacing w:before="0" w:after="100"/>
        <w:jc w:val="center"/>
        <w:rPr/>
      </w:pPr>
      <w:r>
        <w:rPr>
          <w:rFonts w:eastAsia="Arial" w:cs="Arial"/>
          <w:i/>
          <w:iCs/>
          <w:sz w:val="22"/>
          <w:szCs w:val="22"/>
        </w:rPr>
        <w:t>Denominación reservada por el Registro Mercantil Central</w:t>
      </w:r>
    </w:p>
    <w:p>
      <w:pPr>
        <w:pStyle w:val="Normal"/>
        <w:spacing w:before="0" w:after="100"/>
        <w:jc w:val="center"/>
        <w:rPr/>
      </w:pPr>
      <w:r>
        <w:rPr>
          <w:rFonts w:eastAsia="Arial" w:cs="Arial"/>
          <w:i/>
          <w:iCs/>
          <w:sz w:val="20"/>
          <w:szCs w:val="20"/>
        </w:rPr>
        <w:t>Certificación nº 26103817 — CSV: 12814001-INC-26103817-INR-38071240</w:t>
      </w:r>
    </w:p>
    <w:p>
      <w:pPr>
        <w:pStyle w:val="Normal"/>
        <w:spacing w:before="200" w:after="2880"/>
        <w:jc w:val="center"/>
        <w:rPr/>
      </w:pPr>
      <w:r>
        <w:rPr>
          <w:rFonts w:eastAsia="Arial" w:cs="Arial"/>
          <w:i/>
          <w:iCs/>
          <w:sz w:val="22"/>
          <w:szCs w:val="22"/>
        </w:rPr>
        <w:t>Madrid, junio de 2026</w:t>
      </w:r>
    </w:p>
    <w:p>
      <w:pPr>
        <w:pStyle w:val="Normal"/>
        <w:rPr/>
      </w:pPr>
      <w:r>
        <w:rPr/>
      </w:r>
      <w:r>
        <w:br w:type="page"/>
      </w:r>
    </w:p>
    <w:p>
      <w:pPr>
        <w:pStyle w:val="Ttulo1"/>
        <w:spacing w:before="360" w:after="180"/>
        <w:jc w:val="center"/>
        <w:rPr/>
      </w:pPr>
      <w:r>
        <w:rPr>
          <w:rFonts w:eastAsia="Arial" w:cs="Arial" w:ascii="Arial" w:hAnsi="Arial"/>
          <w:b/>
          <w:bCs/>
          <w:sz w:val="28"/>
          <w:szCs w:val="28"/>
        </w:rPr>
        <w:t>TÍTULO I — DENOMINACIÓN, OBJETO SOCIAL, DOMICILIO Y DURACIÓN</w:t>
      </w:r>
    </w:p>
    <w:p>
      <w:pPr>
        <w:pStyle w:val="Normal"/>
        <w:spacing w:before="240" w:after="80"/>
        <w:rPr/>
      </w:pPr>
      <w:r>
        <w:rPr>
          <w:rFonts w:eastAsia="Arial" w:cs="Arial"/>
          <w:b/>
          <w:bCs/>
          <w:sz w:val="22"/>
          <w:szCs w:val="22"/>
        </w:rPr>
        <w:t xml:space="preserve">Artículo 1. </w:t>
      </w:r>
      <w:r>
        <w:rPr>
          <w:rFonts w:eastAsia="Arial" w:cs="Arial"/>
          <w:b/>
          <w:bCs/>
          <w:sz w:val="22"/>
          <w:szCs w:val="22"/>
          <w:u w:val="single"/>
        </w:rPr>
        <w:t>Denominación</w:t>
      </w:r>
    </w:p>
    <w:p>
      <w:pPr>
        <w:pStyle w:val="Normal"/>
        <w:spacing w:before="60" w:after="60"/>
        <w:jc w:val="both"/>
        <w:rPr/>
      </w:pPr>
      <w:r>
        <w:rPr>
          <w:rFonts w:eastAsia="Arial" w:cs="Arial"/>
          <w:sz w:val="22"/>
          <w:szCs w:val="22"/>
        </w:rPr>
        <w:t>La sociedad se denomina TRABFLOW TECHNOLOGIES, SOCIEDAD LIMITADA, y se regirá por la Ley de Sociedades de Capital (Real Decreto Legislativo 1/2010, de 2 de julio), por el Reglamento del Registro Mercantil, por los presentes Estatutos y, supletoriamente, por las demás normas mercantiles que le sean de aplicación.</w:t>
      </w:r>
    </w:p>
    <w:p>
      <w:pPr>
        <w:pStyle w:val="Normal"/>
        <w:spacing w:before="240" w:after="80"/>
        <w:rPr/>
      </w:pPr>
      <w:r>
        <w:rPr>
          <w:rFonts w:eastAsia="Arial" w:cs="Arial"/>
          <w:b/>
          <w:bCs/>
          <w:sz w:val="22"/>
          <w:szCs w:val="22"/>
        </w:rPr>
        <w:t xml:space="preserve">Artículo 2. </w:t>
      </w:r>
      <w:r>
        <w:rPr>
          <w:rFonts w:eastAsia="Arial" w:cs="Arial"/>
          <w:b/>
          <w:bCs/>
          <w:sz w:val="22"/>
          <w:szCs w:val="22"/>
          <w:u w:val="single"/>
        </w:rPr>
        <w:t>Objeto Social</w:t>
      </w:r>
    </w:p>
    <w:p>
      <w:pPr>
        <w:pStyle w:val="Normal"/>
        <w:spacing w:before="60" w:after="60"/>
        <w:jc w:val="both"/>
        <w:rPr/>
      </w:pPr>
      <w:r>
        <w:rPr>
          <w:rFonts w:eastAsia="Arial" w:cs="Arial"/>
          <w:sz w:val="22"/>
          <w:szCs w:val="22"/>
        </w:rPr>
        <w:t>Constituye el objeto social de la compañía, con carácter enunciativo y no limitativo, la realización de las siguientes actividades, tanto en España como en el extranjero, directamente o a través de participadas:</w:t>
      </w:r>
    </w:p>
    <w:p>
      <w:pPr>
        <w:pStyle w:val="Normal"/>
        <w:spacing w:before="60" w:after="60"/>
        <w:ind w:left="720" w:hanging="0"/>
        <w:jc w:val="both"/>
        <w:rPr/>
      </w:pPr>
      <w:r>
        <w:rPr>
          <w:rFonts w:eastAsia="Arial" w:cs="Arial"/>
          <w:sz w:val="22"/>
          <w:szCs w:val="22"/>
        </w:rPr>
        <w:t>a) Desarrollo, diseño, producción, comercialización, mantenimiento, explotación y licenciamiento de software, aplicaciones informáticas, plataformas digitales, soluciones SaaS (Software as a Service), PaaS (Platform as a Service), IaaS (Infrastructure as a Service) y cualquier producto o servicio de naturaleza tecnológica o digital.</w:t>
      </w:r>
    </w:p>
    <w:p>
      <w:pPr>
        <w:pStyle w:val="Normal"/>
        <w:spacing w:before="60" w:after="60"/>
        <w:ind w:left="720" w:hanging="0"/>
        <w:jc w:val="both"/>
        <w:rPr/>
      </w:pPr>
      <w:r>
        <w:rPr>
          <w:rFonts w:eastAsia="Arial" w:cs="Arial"/>
          <w:sz w:val="22"/>
          <w:szCs w:val="22"/>
        </w:rPr>
        <w:t>b) Servicios de inteligencia artificial, aprendizaje automático (machine learning), procesamiento del lenguaje natural, análisis de datos, automatización de procesos, robótica de software (RPA) e integración de sistemas.</w:t>
      </w:r>
    </w:p>
    <w:p>
      <w:pPr>
        <w:pStyle w:val="Normal"/>
        <w:spacing w:before="60" w:after="60"/>
        <w:ind w:left="720" w:hanging="0"/>
        <w:jc w:val="both"/>
        <w:rPr/>
      </w:pPr>
      <w:r>
        <w:rPr>
          <w:rFonts w:eastAsia="Arial" w:cs="Arial"/>
          <w:sz w:val="22"/>
          <w:szCs w:val="22"/>
        </w:rPr>
        <w:t>c) Desarrollo y gestión de plataformas y marketplaces digitales orientados a la gestión empresarial de gremios y oficios de la construcción, instalación, mantenimiento y reparación, incluyendo la generación y gestión de presupuestos, facturas, contratos, agendas y planificación de trabajos.</w:t>
      </w:r>
    </w:p>
    <w:p>
      <w:pPr>
        <w:pStyle w:val="Normal"/>
        <w:spacing w:before="60" w:after="60"/>
        <w:ind w:left="720" w:hanging="0"/>
        <w:jc w:val="both"/>
        <w:rPr/>
      </w:pPr>
      <w:r>
        <w:rPr>
          <w:rFonts w:eastAsia="Arial" w:cs="Arial"/>
          <w:sz w:val="22"/>
          <w:szCs w:val="22"/>
        </w:rPr>
        <w:t>d) Desarrollo y explotación de plataformas tecnológicas para la gestión de certificados de eficiencia energética, auditorías energéticas, instalaciones energéticas, y servicios conexos para instaladores, técnicos, administradores de fincas y propietarios.</w:t>
      </w:r>
    </w:p>
    <w:p>
      <w:pPr>
        <w:pStyle w:val="Normal"/>
        <w:spacing w:before="60" w:after="60"/>
        <w:ind w:left="720" w:hanging="0"/>
        <w:jc w:val="both"/>
        <w:rPr/>
      </w:pPr>
      <w:r>
        <w:rPr>
          <w:rFonts w:eastAsia="Arial" w:cs="Arial"/>
          <w:sz w:val="22"/>
          <w:szCs w:val="22"/>
        </w:rPr>
        <w:t>e) Prestación de servicios tecnológicos al sector inmobiliario, incluyendo plataformas de compraventa de inmuebles, arrendamiento urbano y rústico, gestión de activos inmobiliarios, captación de inversión inmobiliaria, valoración de activos, portales de alquiler vacacional y de temporada, y servicios para agentes inmobiliarios independientes.</w:t>
      </w:r>
    </w:p>
    <w:p>
      <w:pPr>
        <w:pStyle w:val="Normal"/>
        <w:spacing w:before="60" w:after="60"/>
        <w:ind w:left="720" w:hanging="0"/>
        <w:jc w:val="both"/>
        <w:rPr/>
      </w:pPr>
      <w:r>
        <w:rPr>
          <w:rFonts w:eastAsia="Arial" w:cs="Arial"/>
          <w:sz w:val="22"/>
          <w:szCs w:val="22"/>
        </w:rPr>
        <w:t>f) Desarrollo y explotación de plataformas SaaS para la gestión de alojamientos turísticos, casas rurales, apartamentos turísticos, hoteles, establecimientos de turismo rural y cualquier tipo de alojamiento de uso turístico o estacional, incluyendo sistemas de reservas, gestión de canales de distribución, revenue management, motor de reservas, gestión de experiencias y servicios al huésped.</w:t>
      </w:r>
    </w:p>
    <w:p>
      <w:pPr>
        <w:pStyle w:val="Normal"/>
        <w:spacing w:before="60" w:after="60"/>
        <w:ind w:left="720" w:hanging="0"/>
        <w:jc w:val="both"/>
        <w:rPr/>
      </w:pPr>
      <w:r>
        <w:rPr>
          <w:rFonts w:eastAsia="Arial" w:cs="Arial"/>
          <w:sz w:val="22"/>
          <w:szCs w:val="22"/>
        </w:rPr>
        <w:t>g) Desarrollo y explotación de plataformas tecnológicas para la gestión de incidencias, mantenimiento preventivo y correctivo, control de calidad, encuestas de satisfacción, gestión de proveedores y auditoría operativa en entornos hoteleros, residenciales y de hospitality, incluyendo sistemas de revenue intelligence y analítica avanzada para el sector.</w:t>
      </w:r>
    </w:p>
    <w:p>
      <w:pPr>
        <w:pStyle w:val="Normal"/>
        <w:spacing w:before="60" w:after="60"/>
        <w:ind w:left="720" w:hanging="0"/>
        <w:jc w:val="both"/>
        <w:rPr/>
      </w:pPr>
      <w:r>
        <w:rPr>
          <w:rFonts w:eastAsia="Arial" w:cs="Arial"/>
          <w:sz w:val="22"/>
          <w:szCs w:val="22"/>
        </w:rPr>
        <w:t>h) Desarrollo y gestión de plataformas SaaS para la gestión integral de trasteros, self-storage, almacenes particulares, espacios de coworking y otros activos de alquiler de espacio, incluyendo sistemas de control de acceso, facturación, contratos y comunicación con clientes.</w:t>
      </w:r>
    </w:p>
    <w:p>
      <w:pPr>
        <w:pStyle w:val="Normal"/>
        <w:spacing w:before="60" w:after="60"/>
        <w:ind w:left="720" w:hanging="0"/>
        <w:jc w:val="both"/>
        <w:rPr/>
      </w:pPr>
      <w:r>
        <w:rPr>
          <w:rFonts w:eastAsia="Arial" w:cs="Arial"/>
          <w:sz w:val="22"/>
          <w:szCs w:val="22"/>
        </w:rPr>
        <w:t>i) Prestación de servicios de consultoría tecnológica, transformación digital, estrategia de producto digital, diseño UX/UI, desarrollo de software a medida, integración de APIs y sistemas de terceros, e implementación de soluciones cloud.</w:t>
      </w:r>
    </w:p>
    <w:p>
      <w:pPr>
        <w:pStyle w:val="Normal"/>
        <w:spacing w:before="60" w:after="60"/>
        <w:ind w:left="720" w:hanging="0"/>
        <w:jc w:val="both"/>
        <w:rPr/>
      </w:pPr>
      <w:r>
        <w:rPr>
          <w:rFonts w:eastAsia="Arial" w:cs="Arial"/>
          <w:sz w:val="22"/>
          <w:szCs w:val="22"/>
        </w:rPr>
        <w:t>j) Actividades de comercio electrónico, venta online de productos físicos y digitales, intermediación comercial en plataformas propias o de terceros, gestión de comunidades digitales y servicios de suscripción en línea.</w:t>
      </w:r>
    </w:p>
    <w:p>
      <w:pPr>
        <w:pStyle w:val="Normal"/>
        <w:spacing w:before="60" w:after="60"/>
        <w:ind w:left="720" w:hanging="0"/>
        <w:jc w:val="both"/>
        <w:rPr/>
      </w:pPr>
      <w:r>
        <w:rPr>
          <w:rFonts w:eastAsia="Arial" w:cs="Arial"/>
          <w:sz w:val="22"/>
          <w:szCs w:val="22"/>
        </w:rPr>
        <w:t>k) Actividades de formación, capacitación y educación online y presencial en materias tecnológicas, digitales, empresariales y sectoriales relacionadas con los ámbitos de actividad de la sociedad.</w:t>
      </w:r>
    </w:p>
    <w:p>
      <w:pPr>
        <w:pStyle w:val="Normal"/>
        <w:spacing w:before="60" w:after="60"/>
        <w:ind w:left="720" w:hanging="0"/>
        <w:jc w:val="both"/>
        <w:rPr/>
      </w:pPr>
      <w:r>
        <w:rPr>
          <w:rFonts w:eastAsia="Arial" w:cs="Arial"/>
          <w:sz w:val="22"/>
          <w:szCs w:val="22"/>
        </w:rPr>
        <w:t>l) Adquisición, tenencia, disfrute, administración y enajenación de toda clase de valores mobiliarios, participaciones sociales, acciones y cuotas de participación en sociedades de cualquier clase, con las limitaciones establecidas en la legislación vigente. La sociedad podrá actuar como sociedad holding de sus filiales y participadas, prestándoles servicios de dirección, gestión, administración y financiación.</w:t>
      </w:r>
    </w:p>
    <w:p>
      <w:pPr>
        <w:pStyle w:val="Normal"/>
        <w:spacing w:before="60" w:after="60"/>
        <w:ind w:left="720" w:hanging="0"/>
        <w:jc w:val="both"/>
        <w:rPr/>
      </w:pPr>
      <w:r>
        <w:rPr>
          <w:rFonts w:eastAsia="Arial" w:cs="Arial"/>
          <w:sz w:val="22"/>
          <w:szCs w:val="22"/>
        </w:rPr>
        <w:t>m) Captación de inversión, estructuración de vehículos de inversión, sindicación de inversores, y asesoramiento en materia de inversión tecnológica e inmobiliaria, en los términos y límites establecidos por la legislación de mercados financieros y de capital riesgo aplicable.</w:t>
      </w:r>
    </w:p>
    <w:p>
      <w:pPr>
        <w:pStyle w:val="Normal"/>
        <w:spacing w:before="60" w:after="60"/>
        <w:ind w:left="720" w:hanging="0"/>
        <w:jc w:val="both"/>
        <w:rPr/>
      </w:pPr>
      <w:r>
        <w:rPr>
          <w:rFonts w:eastAsia="Arial" w:cs="Arial"/>
          <w:sz w:val="22"/>
          <w:szCs w:val="22"/>
        </w:rPr>
        <w:t>n) Gestión y explotación de plataformas de datos, analítica de negocio, business intelligence, cuadros de mando e informes de gestión para empresas y administraciones públicas.</w:t>
      </w:r>
    </w:p>
    <w:p>
      <w:pPr>
        <w:pStyle w:val="Normal"/>
        <w:spacing w:before="60" w:after="60"/>
        <w:ind w:left="720" w:hanging="0"/>
        <w:jc w:val="both"/>
        <w:rPr/>
      </w:pPr>
      <w:r>
        <w:rPr>
          <w:rFonts w:eastAsia="Arial" w:cs="Arial"/>
          <w:sz w:val="22"/>
          <w:szCs w:val="22"/>
        </w:rPr>
        <w:t>o) Cualquier otra actividad de contenido tecnológico, digital o empresarial que la Junta General o el órgano de administración consideren complementaria, accesoria o estratégicamente relacionada con las anteriores, con sujeción a la normativa que en cada caso resulte de aplicación.</w:t>
      </w:r>
    </w:p>
    <w:p>
      <w:pPr>
        <w:pStyle w:val="Normal"/>
        <w:spacing w:before="60" w:after="60"/>
        <w:jc w:val="both"/>
        <w:rPr/>
      </w:pPr>
      <w:r>
        <w:rPr>
          <w:rFonts w:eastAsia="Arial" w:cs="Arial"/>
          <w:sz w:val="22"/>
          <w:szCs w:val="22"/>
        </w:rPr>
        <w:t>Las actividades que lo requieran serán ejercidas por profesionales con la titulación exigida por la ley y con las habilitaciones, licencias o autorizaciones administrativas necesarias.</w:t>
      </w:r>
    </w:p>
    <w:p>
      <w:pPr>
        <w:pStyle w:val="Normal"/>
        <w:spacing w:before="240" w:after="80"/>
        <w:rPr/>
      </w:pPr>
      <w:r>
        <w:rPr>
          <w:rFonts w:eastAsia="Arial" w:cs="Arial"/>
          <w:b/>
          <w:bCs/>
          <w:sz w:val="22"/>
          <w:szCs w:val="22"/>
        </w:rPr>
        <w:t xml:space="preserve">Artículo 3. </w:t>
      </w:r>
      <w:r>
        <w:rPr>
          <w:rFonts w:eastAsia="Arial" w:cs="Arial"/>
          <w:b/>
          <w:bCs/>
          <w:sz w:val="22"/>
          <w:szCs w:val="22"/>
          <w:u w:val="single"/>
        </w:rPr>
        <w:t>Domicilio Social</w:t>
      </w:r>
    </w:p>
    <w:p>
      <w:pPr>
        <w:pStyle w:val="Normal"/>
        <w:spacing w:before="60" w:after="60"/>
        <w:jc w:val="both"/>
        <w:rPr/>
      </w:pPr>
      <w:r>
        <w:rPr>
          <w:rFonts w:eastAsia="Arial" w:cs="Arial"/>
          <w:sz w:val="22"/>
          <w:szCs w:val="22"/>
        </w:rPr>
        <w:t xml:space="preserve">El domicilio social se fija en </w:t>
      </w:r>
      <w:r>
        <w:rPr>
          <w:rFonts w:eastAsia="Arial" w:cs="Arial"/>
          <w:sz w:val="22"/>
          <w:szCs w:val="22"/>
        </w:rPr>
        <w:t>Barrio Castillo Pedroso, c/Las Varas,69, 39699 CASTILLO PEDROSO – CORVERA DE TORANZO-CANTABRIA-ESPAÑA – Tlf 672,336,572</w:t>
      </w:r>
      <w:r>
        <w:rPr>
          <w:rFonts w:eastAsia="Arial" w:cs="Arial"/>
          <w:sz w:val="22"/>
          <w:szCs w:val="22"/>
        </w:rPr>
        <w:t>. El órgano de administración queda facultado para cambiar el domicilio social dentro del mismo término municipal y para abrir, trasladar o suprimir sucursales, delegaciones, agencias o representaciones en cualquier lugar del territorio nacional o extranjero, mediante el correspondiente acuerdo, sin necesidad de modificación estatutaria cuando el cambio sea dentro del mismo término municipal.</w:t>
      </w:r>
    </w:p>
    <w:p>
      <w:pPr>
        <w:pStyle w:val="Normal"/>
        <w:spacing w:before="240" w:after="80"/>
        <w:rPr/>
      </w:pPr>
      <w:r>
        <w:rPr>
          <w:rFonts w:eastAsia="Arial" w:cs="Arial"/>
          <w:b/>
          <w:bCs/>
          <w:sz w:val="22"/>
          <w:szCs w:val="22"/>
        </w:rPr>
        <w:t xml:space="preserve">Artículo 4. </w:t>
      </w:r>
      <w:r>
        <w:rPr>
          <w:rFonts w:eastAsia="Arial" w:cs="Arial"/>
          <w:b/>
          <w:bCs/>
          <w:sz w:val="22"/>
          <w:szCs w:val="22"/>
          <w:u w:val="single"/>
        </w:rPr>
        <w:t>Duración</w:t>
      </w:r>
    </w:p>
    <w:p>
      <w:pPr>
        <w:pStyle w:val="Normal"/>
        <w:spacing w:before="60" w:after="60"/>
        <w:jc w:val="both"/>
        <w:rPr/>
      </w:pPr>
      <w:r>
        <w:rPr>
          <w:rFonts w:eastAsia="Arial" w:cs="Arial"/>
          <w:sz w:val="22"/>
          <w:szCs w:val="22"/>
        </w:rPr>
        <w:t>La sociedad se constituye por tiempo indefinido, iniciando sus operaciones en la fecha de otorgamiento de la escritura de constitución.</w:t>
      </w:r>
    </w:p>
    <w:p>
      <w:pPr>
        <w:pStyle w:val="Normal"/>
        <w:rPr/>
      </w:pPr>
      <w:r>
        <w:rPr/>
      </w:r>
      <w:r>
        <w:br w:type="page"/>
      </w:r>
    </w:p>
    <w:p>
      <w:pPr>
        <w:pStyle w:val="Ttulo1"/>
        <w:spacing w:before="360" w:after="180"/>
        <w:jc w:val="center"/>
        <w:rPr/>
      </w:pPr>
      <w:r>
        <w:rPr>
          <w:rFonts w:eastAsia="Arial" w:cs="Arial" w:ascii="Arial" w:hAnsi="Arial"/>
          <w:b/>
          <w:bCs/>
          <w:sz w:val="28"/>
          <w:szCs w:val="28"/>
        </w:rPr>
        <w:t>TÍTULO II — CAPITAL SOCIAL Y PARTICIPACIONES</w:t>
      </w:r>
    </w:p>
    <w:p>
      <w:pPr>
        <w:pStyle w:val="Normal"/>
        <w:spacing w:before="240" w:after="80"/>
        <w:rPr/>
      </w:pPr>
      <w:r>
        <w:rPr>
          <w:rFonts w:eastAsia="Arial" w:cs="Arial"/>
          <w:b/>
          <w:bCs/>
          <w:sz w:val="22"/>
          <w:szCs w:val="22"/>
        </w:rPr>
        <w:t xml:space="preserve">Artículo 5. </w:t>
      </w:r>
      <w:r>
        <w:rPr>
          <w:rFonts w:eastAsia="Arial" w:cs="Arial"/>
          <w:b/>
          <w:bCs/>
          <w:sz w:val="22"/>
          <w:szCs w:val="22"/>
          <w:u w:val="single"/>
        </w:rPr>
        <w:t>Capital Social</w:t>
      </w:r>
    </w:p>
    <w:p>
      <w:pPr>
        <w:pStyle w:val="Normal"/>
        <w:spacing w:before="60" w:after="60"/>
        <w:jc w:val="both"/>
        <w:rPr/>
      </w:pPr>
      <w:r>
        <w:rPr>
          <w:rFonts w:eastAsia="Arial" w:cs="Arial"/>
          <w:sz w:val="22"/>
          <w:szCs w:val="22"/>
        </w:rPr>
        <w:t>El capital social se fija en [IMPORTE EN EUROS] euros, íntegramente suscrito y desembolsado, dividido en [NÚMERO] participaciones sociales, iguales, acumulables e indivisibles, de [VALOR NOMINAL] euros de valor nominal cada una, numeradas correlativamente del 1 al [NÚMERO], pertenecientes a:</w:t>
      </w:r>
    </w:p>
    <w:p>
      <w:pPr>
        <w:pStyle w:val="Normal"/>
        <w:spacing w:before="60" w:after="60"/>
        <w:ind w:left="720" w:hanging="0"/>
        <w:jc w:val="both"/>
        <w:rPr/>
      </w:pPr>
      <w:r>
        <w:rPr>
          <w:rFonts w:eastAsia="Arial" w:cs="Arial"/>
          <w:sz w:val="22"/>
          <w:szCs w:val="22"/>
        </w:rPr>
        <w:t>[NOMBRE SOCIO 1]: [NÚMERO] participaciones (nº [X] a nº [Y]), que representan el [X]% del capital social.</w:t>
      </w:r>
    </w:p>
    <w:p>
      <w:pPr>
        <w:pStyle w:val="Normal"/>
        <w:spacing w:before="240" w:after="80"/>
        <w:rPr/>
      </w:pPr>
      <w:r>
        <w:rPr>
          <w:rFonts w:eastAsia="Arial" w:cs="Arial"/>
          <w:b/>
          <w:bCs/>
          <w:sz w:val="22"/>
          <w:szCs w:val="22"/>
        </w:rPr>
        <w:t xml:space="preserve">Artículo 6. </w:t>
      </w:r>
      <w:r>
        <w:rPr>
          <w:rFonts w:eastAsia="Arial" w:cs="Arial"/>
          <w:b/>
          <w:bCs/>
          <w:sz w:val="22"/>
          <w:szCs w:val="22"/>
          <w:u w:val="single"/>
        </w:rPr>
        <w:t>Carácter de las Participaciones</w:t>
      </w:r>
    </w:p>
    <w:p>
      <w:pPr>
        <w:pStyle w:val="Normal"/>
        <w:spacing w:before="60" w:after="60"/>
        <w:jc w:val="both"/>
        <w:rPr/>
      </w:pPr>
      <w:r>
        <w:rPr>
          <w:rFonts w:eastAsia="Arial" w:cs="Arial"/>
          <w:sz w:val="22"/>
          <w:szCs w:val="22"/>
        </w:rPr>
        <w:t>Las participaciones sociales no tendrán el carácter de valores mobiliarios, no podrán incorporarse a títulos negociables ni representarse mediante anotaciones en cuenta, y no podrán denominarse acciones. Sólo serán transmisibles con sujeción a lo establecido en la Ley de Sociedades de Capital y en los presentes Estatutos.</w:t>
      </w:r>
    </w:p>
    <w:p>
      <w:pPr>
        <w:pStyle w:val="Normal"/>
        <w:spacing w:before="240" w:after="80"/>
        <w:rPr/>
      </w:pPr>
      <w:r>
        <w:rPr>
          <w:rFonts w:eastAsia="Arial" w:cs="Arial"/>
          <w:b/>
          <w:bCs/>
          <w:sz w:val="22"/>
          <w:szCs w:val="22"/>
        </w:rPr>
        <w:t xml:space="preserve">Artículo 7. </w:t>
      </w:r>
      <w:r>
        <w:rPr>
          <w:rFonts w:eastAsia="Arial" w:cs="Arial"/>
          <w:b/>
          <w:bCs/>
          <w:sz w:val="22"/>
          <w:szCs w:val="22"/>
          <w:u w:val="single"/>
        </w:rPr>
        <w:t>Transmisión de Participaciones</w:t>
      </w:r>
    </w:p>
    <w:p>
      <w:pPr>
        <w:pStyle w:val="Normal"/>
        <w:spacing w:before="60" w:after="60"/>
        <w:jc w:val="both"/>
        <w:rPr/>
      </w:pPr>
      <w:r>
        <w:rPr>
          <w:rFonts w:eastAsia="Arial" w:cs="Arial"/>
          <w:sz w:val="22"/>
          <w:szCs w:val="22"/>
        </w:rPr>
        <w:t>La transmisión voluntaria de participaciones sociales por actos inter vivos, tanto a socios como a terceros, estará sujeta al consentimiento de la sociedad, expresado mediante acuerdo de la Junta General. En ningún caso procederá el ejercicio del derecho de adquisición preferente cuando la transmisión se realice a favor del cónyuge, descendiente o ascendiente del transmitente, o a favor de otra sociedad perteneciente al mismo grupo. La Junta General deberá resolver dentro de los tres meses siguientes a la fecha en que se hubiera comunicado a la sociedad el propósito de transmitir.</w:t>
      </w:r>
    </w:p>
    <w:p>
      <w:pPr>
        <w:pStyle w:val="Normal"/>
        <w:spacing w:before="240" w:after="80"/>
        <w:rPr/>
      </w:pPr>
      <w:r>
        <w:rPr>
          <w:rFonts w:eastAsia="Arial" w:cs="Arial"/>
          <w:b/>
          <w:bCs/>
          <w:sz w:val="22"/>
          <w:szCs w:val="22"/>
        </w:rPr>
        <w:t xml:space="preserve">Artículo 8. </w:t>
      </w:r>
      <w:r>
        <w:rPr>
          <w:rFonts w:eastAsia="Arial" w:cs="Arial"/>
          <w:b/>
          <w:bCs/>
          <w:sz w:val="22"/>
          <w:szCs w:val="22"/>
          <w:u w:val="single"/>
        </w:rPr>
        <w:t>Derechos de los Socios</w:t>
      </w:r>
    </w:p>
    <w:p>
      <w:pPr>
        <w:pStyle w:val="Normal"/>
        <w:spacing w:before="60" w:after="60"/>
        <w:jc w:val="both"/>
        <w:rPr/>
      </w:pPr>
      <w:r>
        <w:rPr>
          <w:rFonts w:eastAsia="Arial" w:cs="Arial"/>
          <w:sz w:val="22"/>
          <w:szCs w:val="22"/>
        </w:rPr>
        <w:t>Los socios tendrán, en proporción a sus participaciones, los siguientes derechos:</w:t>
      </w:r>
    </w:p>
    <w:p>
      <w:pPr>
        <w:pStyle w:val="Normal"/>
        <w:spacing w:before="60" w:after="60"/>
        <w:ind w:left="720" w:hanging="0"/>
        <w:jc w:val="both"/>
        <w:rPr/>
      </w:pPr>
      <w:r>
        <w:rPr>
          <w:rFonts w:eastAsia="Arial" w:cs="Arial"/>
          <w:sz w:val="22"/>
          <w:szCs w:val="22"/>
        </w:rPr>
        <w:t>a) Participar en el reparto de las ganancias sociales y en el patrimonio resultante de la liquidación.</w:t>
      </w:r>
    </w:p>
    <w:p>
      <w:pPr>
        <w:pStyle w:val="Normal"/>
        <w:spacing w:before="60" w:after="60"/>
        <w:ind w:left="720" w:hanging="0"/>
        <w:jc w:val="both"/>
        <w:rPr/>
      </w:pPr>
      <w:r>
        <w:rPr>
          <w:rFonts w:eastAsia="Arial" w:cs="Arial"/>
          <w:sz w:val="22"/>
          <w:szCs w:val="22"/>
        </w:rPr>
        <w:t>b) Asunción preferente en la creación de nuevas participaciones o en los aumentos de capital social.</w:t>
      </w:r>
    </w:p>
    <w:p>
      <w:pPr>
        <w:pStyle w:val="Normal"/>
        <w:spacing w:before="60" w:after="60"/>
        <w:ind w:left="720" w:hanging="0"/>
        <w:jc w:val="both"/>
        <w:rPr/>
      </w:pPr>
      <w:r>
        <w:rPr>
          <w:rFonts w:eastAsia="Arial" w:cs="Arial"/>
          <w:sz w:val="22"/>
          <w:szCs w:val="22"/>
        </w:rPr>
        <w:t>c) Asistir y votar en las Juntas Generales.</w:t>
      </w:r>
    </w:p>
    <w:p>
      <w:pPr>
        <w:pStyle w:val="Normal"/>
        <w:spacing w:before="60" w:after="60"/>
        <w:ind w:left="720" w:hanging="0"/>
        <w:jc w:val="both"/>
        <w:rPr/>
      </w:pPr>
      <w:r>
        <w:rPr>
          <w:rFonts w:eastAsia="Arial" w:cs="Arial"/>
          <w:sz w:val="22"/>
          <w:szCs w:val="22"/>
        </w:rPr>
        <w:t>d) Impugnar los acuerdos sociales.</w:t>
      </w:r>
    </w:p>
    <w:p>
      <w:pPr>
        <w:pStyle w:val="Normal"/>
        <w:spacing w:before="60" w:after="60"/>
        <w:ind w:left="720" w:hanging="0"/>
        <w:jc w:val="both"/>
        <w:rPr/>
      </w:pPr>
      <w:r>
        <w:rPr>
          <w:rFonts w:eastAsia="Arial" w:cs="Arial"/>
          <w:sz w:val="22"/>
          <w:szCs w:val="22"/>
        </w:rPr>
        <w:t>e) Ser informados sobre la marcha de la sociedad.</w:t>
      </w:r>
    </w:p>
    <w:p>
      <w:pPr>
        <w:pStyle w:val="Normal"/>
        <w:spacing w:before="60" w:after="60"/>
        <w:ind w:left="720" w:hanging="0"/>
        <w:jc w:val="both"/>
        <w:rPr/>
      </w:pPr>
      <w:r>
        <w:rPr>
          <w:rFonts w:eastAsia="Arial" w:cs="Arial"/>
          <w:sz w:val="22"/>
          <w:szCs w:val="22"/>
        </w:rPr>
        <w:t>f) Cualquier otro derecho reconocido por la ley o los presentes Estatutos.</w:t>
      </w:r>
    </w:p>
    <w:p>
      <w:pPr>
        <w:pStyle w:val="Normal"/>
        <w:rPr/>
      </w:pPr>
      <w:r>
        <w:rPr/>
      </w:r>
      <w:r>
        <w:br w:type="page"/>
      </w:r>
    </w:p>
    <w:p>
      <w:pPr>
        <w:pStyle w:val="Ttulo1"/>
        <w:spacing w:before="360" w:after="180"/>
        <w:jc w:val="center"/>
        <w:rPr/>
      </w:pPr>
      <w:r>
        <w:rPr>
          <w:rFonts w:eastAsia="Arial" w:cs="Arial" w:ascii="Arial" w:hAnsi="Arial"/>
          <w:b/>
          <w:bCs/>
          <w:sz w:val="28"/>
          <w:szCs w:val="28"/>
        </w:rPr>
        <w:t>TÍTULO III — ÓRGANOS SOCIALES</w:t>
      </w:r>
    </w:p>
    <w:p>
      <w:pPr>
        <w:pStyle w:val="Ttulo2"/>
        <w:spacing w:before="280" w:after="140"/>
        <w:rPr/>
      </w:pPr>
      <w:r>
        <w:rPr>
          <w:rFonts w:eastAsia="Arial" w:cs="Arial" w:ascii="Arial" w:hAnsi="Arial"/>
          <w:b/>
          <w:bCs/>
          <w:sz w:val="24"/>
          <w:szCs w:val="24"/>
        </w:rPr>
        <w:t>CAPÍTULO I — LA JUNTA GENERAL</w:t>
      </w:r>
    </w:p>
    <w:p>
      <w:pPr>
        <w:pStyle w:val="Normal"/>
        <w:spacing w:before="240" w:after="80"/>
        <w:rPr/>
      </w:pPr>
      <w:r>
        <w:rPr>
          <w:rFonts w:eastAsia="Arial" w:cs="Arial"/>
          <w:b/>
          <w:bCs/>
          <w:sz w:val="22"/>
          <w:szCs w:val="22"/>
        </w:rPr>
        <w:t xml:space="preserve">Artículo 9. </w:t>
      </w:r>
      <w:r>
        <w:rPr>
          <w:rFonts w:eastAsia="Arial" w:cs="Arial"/>
          <w:b/>
          <w:bCs/>
          <w:sz w:val="22"/>
          <w:szCs w:val="22"/>
          <w:u w:val="single"/>
        </w:rPr>
        <w:t>Junta General</w:t>
      </w:r>
    </w:p>
    <w:p>
      <w:pPr>
        <w:pStyle w:val="Normal"/>
        <w:spacing w:before="60" w:after="60"/>
        <w:jc w:val="both"/>
        <w:rPr/>
      </w:pPr>
      <w:r>
        <w:rPr>
          <w:rFonts w:eastAsia="Arial" w:cs="Arial"/>
          <w:sz w:val="22"/>
          <w:szCs w:val="22"/>
        </w:rPr>
        <w:t>La Junta General, debidamente convocada, es el órgano soberano de la sociedad. Sus acuerdos, adoptados con las mayorías legales o estatutariamente previstas, obligan a todos los socios, incluidos los disidentes y los ausentes, sin perjuicio de los derechos de impugnación que la ley les reconoce.</w:t>
      </w:r>
    </w:p>
    <w:p>
      <w:pPr>
        <w:pStyle w:val="Normal"/>
        <w:spacing w:before="240" w:after="80"/>
        <w:rPr/>
      </w:pPr>
      <w:r>
        <w:rPr>
          <w:rFonts w:eastAsia="Arial" w:cs="Arial"/>
          <w:b/>
          <w:bCs/>
          <w:sz w:val="22"/>
          <w:szCs w:val="22"/>
        </w:rPr>
        <w:t xml:space="preserve">Artículo 10. </w:t>
      </w:r>
      <w:r>
        <w:rPr>
          <w:rFonts w:eastAsia="Arial" w:cs="Arial"/>
          <w:b/>
          <w:bCs/>
          <w:sz w:val="22"/>
          <w:szCs w:val="22"/>
          <w:u w:val="single"/>
        </w:rPr>
        <w:t>Competencias de la Junta General</w:t>
      </w:r>
    </w:p>
    <w:p>
      <w:pPr>
        <w:pStyle w:val="Normal"/>
        <w:spacing w:before="60" w:after="60"/>
        <w:jc w:val="both"/>
        <w:rPr/>
      </w:pPr>
      <w:r>
        <w:rPr>
          <w:rFonts w:eastAsia="Arial" w:cs="Arial"/>
          <w:sz w:val="22"/>
          <w:szCs w:val="22"/>
        </w:rPr>
        <w:t>Son competencia exclusiva de la Junta General:</w:t>
      </w:r>
    </w:p>
    <w:p>
      <w:pPr>
        <w:pStyle w:val="Normal"/>
        <w:spacing w:before="60" w:after="60"/>
        <w:ind w:left="720" w:hanging="0"/>
        <w:jc w:val="both"/>
        <w:rPr/>
      </w:pPr>
      <w:r>
        <w:rPr>
          <w:rFonts w:eastAsia="Arial" w:cs="Arial"/>
          <w:sz w:val="22"/>
          <w:szCs w:val="22"/>
        </w:rPr>
        <w:t>a) La aprobación de las cuentas anuales, la aplicación del resultado y la aprobación de la gestión social.</w:t>
      </w:r>
    </w:p>
    <w:p>
      <w:pPr>
        <w:pStyle w:val="Normal"/>
        <w:spacing w:before="60" w:after="60"/>
        <w:ind w:left="720" w:hanging="0"/>
        <w:jc w:val="both"/>
        <w:rPr/>
      </w:pPr>
      <w:r>
        <w:rPr>
          <w:rFonts w:eastAsia="Arial" w:cs="Arial"/>
          <w:sz w:val="22"/>
          <w:szCs w:val="22"/>
        </w:rPr>
        <w:t>b) El nombramiento y separación de los administradores, liquidadores y, en su caso, auditores de cuentas.</w:t>
      </w:r>
    </w:p>
    <w:p>
      <w:pPr>
        <w:pStyle w:val="Normal"/>
        <w:spacing w:before="60" w:after="60"/>
        <w:ind w:left="720" w:hanging="0"/>
        <w:jc w:val="both"/>
        <w:rPr/>
      </w:pPr>
      <w:r>
        <w:rPr>
          <w:rFonts w:eastAsia="Arial" w:cs="Arial"/>
          <w:sz w:val="22"/>
          <w:szCs w:val="22"/>
        </w:rPr>
        <w:t>c) La modificación de los Estatutos Sociales.</w:t>
      </w:r>
    </w:p>
    <w:p>
      <w:pPr>
        <w:pStyle w:val="Normal"/>
        <w:spacing w:before="60" w:after="60"/>
        <w:ind w:left="720" w:hanging="0"/>
        <w:jc w:val="both"/>
        <w:rPr/>
      </w:pPr>
      <w:r>
        <w:rPr>
          <w:rFonts w:eastAsia="Arial" w:cs="Arial"/>
          <w:sz w:val="22"/>
          <w:szCs w:val="22"/>
        </w:rPr>
        <w:t>d) El aumento y la reducción del capital social.</w:t>
      </w:r>
    </w:p>
    <w:p>
      <w:pPr>
        <w:pStyle w:val="Normal"/>
        <w:spacing w:before="60" w:after="60"/>
        <w:ind w:left="720" w:hanging="0"/>
        <w:jc w:val="both"/>
        <w:rPr/>
      </w:pPr>
      <w:r>
        <w:rPr>
          <w:rFonts w:eastAsia="Arial" w:cs="Arial"/>
          <w:sz w:val="22"/>
          <w:szCs w:val="22"/>
        </w:rPr>
        <w:t>e) La supresión o limitación del derecho de adquisición preferente.</w:t>
      </w:r>
    </w:p>
    <w:p>
      <w:pPr>
        <w:pStyle w:val="Normal"/>
        <w:spacing w:before="60" w:after="60"/>
        <w:ind w:left="720" w:hanging="0"/>
        <w:jc w:val="both"/>
        <w:rPr/>
      </w:pPr>
      <w:r>
        <w:rPr>
          <w:rFonts w:eastAsia="Arial" w:cs="Arial"/>
          <w:sz w:val="22"/>
          <w:szCs w:val="22"/>
        </w:rPr>
        <w:t>f) La transformación, fusión, escisión o cesión global de activo y pasivo y el traslado del domicilio al extranjero.</w:t>
      </w:r>
    </w:p>
    <w:p>
      <w:pPr>
        <w:pStyle w:val="Normal"/>
        <w:spacing w:before="60" w:after="60"/>
        <w:ind w:left="720" w:hanging="0"/>
        <w:jc w:val="both"/>
        <w:rPr/>
      </w:pPr>
      <w:r>
        <w:rPr>
          <w:rFonts w:eastAsia="Arial" w:cs="Arial"/>
          <w:sz w:val="22"/>
          <w:szCs w:val="22"/>
        </w:rPr>
        <w:t>g) La disolución de la sociedad.</w:t>
      </w:r>
    </w:p>
    <w:p>
      <w:pPr>
        <w:pStyle w:val="Normal"/>
        <w:spacing w:before="60" w:after="60"/>
        <w:ind w:left="720" w:hanging="0"/>
        <w:jc w:val="both"/>
        <w:rPr/>
      </w:pPr>
      <w:r>
        <w:rPr>
          <w:rFonts w:eastAsia="Arial" w:cs="Arial"/>
          <w:sz w:val="22"/>
          <w:szCs w:val="22"/>
        </w:rPr>
        <w:t>h) La aprobación del balance final de liquidación.</w:t>
      </w:r>
    </w:p>
    <w:p>
      <w:pPr>
        <w:pStyle w:val="Normal"/>
        <w:spacing w:before="60" w:after="60"/>
        <w:ind w:left="720" w:hanging="0"/>
        <w:jc w:val="both"/>
        <w:rPr/>
      </w:pPr>
      <w:r>
        <w:rPr>
          <w:rFonts w:eastAsia="Arial" w:cs="Arial"/>
          <w:sz w:val="22"/>
          <w:szCs w:val="22"/>
        </w:rPr>
        <w:t>i) Cualquier asunto que el órgano de administración o los socios que representen al menos el cinco por ciento del capital social sometan a su deliberación y votación.</w:t>
      </w:r>
    </w:p>
    <w:p>
      <w:pPr>
        <w:pStyle w:val="Normal"/>
        <w:spacing w:before="240" w:after="80"/>
        <w:rPr/>
      </w:pPr>
      <w:r>
        <w:rPr>
          <w:rFonts w:eastAsia="Arial" w:cs="Arial"/>
          <w:b/>
          <w:bCs/>
          <w:sz w:val="22"/>
          <w:szCs w:val="22"/>
        </w:rPr>
        <w:t xml:space="preserve">Artículo 11. </w:t>
      </w:r>
      <w:r>
        <w:rPr>
          <w:rFonts w:eastAsia="Arial" w:cs="Arial"/>
          <w:b/>
          <w:bCs/>
          <w:sz w:val="22"/>
          <w:szCs w:val="22"/>
          <w:u w:val="single"/>
        </w:rPr>
        <w:t>Convocatoria de la Junta General</w:t>
      </w:r>
    </w:p>
    <w:p>
      <w:pPr>
        <w:pStyle w:val="Normal"/>
        <w:spacing w:before="60" w:after="60"/>
        <w:jc w:val="both"/>
        <w:rPr/>
      </w:pPr>
      <w:r>
        <w:rPr>
          <w:rFonts w:eastAsia="Arial" w:cs="Arial"/>
          <w:sz w:val="22"/>
          <w:szCs w:val="22"/>
        </w:rPr>
        <w:t>La Junta General será convocada por el órgano de administración mediante comunicación individual y escrita a cada uno de los socios, dirigida al domicilio designado al efecto o, si consta en el Libro de socios, mediante comunicación remitida a la dirección de correo electrónico que el socio haya designado. La convocatoria deberá expresar el orden del día e indicará el lugar y fecha de la reunión, con una antelación mínima de quince días a la fecha prevista para la celebración.</w:t>
      </w:r>
    </w:p>
    <w:p>
      <w:pPr>
        <w:pStyle w:val="Normal"/>
        <w:spacing w:before="240" w:after="80"/>
        <w:rPr/>
      </w:pPr>
      <w:r>
        <w:rPr>
          <w:rFonts w:eastAsia="Arial" w:cs="Arial"/>
          <w:b/>
          <w:bCs/>
          <w:sz w:val="22"/>
          <w:szCs w:val="22"/>
        </w:rPr>
        <w:t xml:space="preserve">Artículo 12. </w:t>
      </w:r>
      <w:r>
        <w:rPr>
          <w:rFonts w:eastAsia="Arial" w:cs="Arial"/>
          <w:b/>
          <w:bCs/>
          <w:sz w:val="22"/>
          <w:szCs w:val="22"/>
          <w:u w:val="single"/>
        </w:rPr>
        <w:t>Junta Universal</w:t>
      </w:r>
    </w:p>
    <w:p>
      <w:pPr>
        <w:pStyle w:val="Normal"/>
        <w:spacing w:before="60" w:after="60"/>
        <w:jc w:val="both"/>
        <w:rPr/>
      </w:pPr>
      <w:r>
        <w:rPr>
          <w:rFonts w:eastAsia="Arial" w:cs="Arial"/>
          <w:sz w:val="22"/>
          <w:szCs w:val="22"/>
        </w:rPr>
        <w:t>La Junta General quedará válidamente constituida para tratar cualquier asunto, sin necesidad de previa convocatoria, siempre que esté presente o representada la totalidad del capital social y los concurrentes acepten por unanimidad la celebración de la reunión y el orden del día de la misma.</w:t>
      </w:r>
    </w:p>
    <w:p>
      <w:pPr>
        <w:pStyle w:val="Normal"/>
        <w:spacing w:before="240" w:after="80"/>
        <w:rPr/>
      </w:pPr>
      <w:r>
        <w:rPr>
          <w:rFonts w:eastAsia="Arial" w:cs="Arial"/>
          <w:b/>
          <w:bCs/>
          <w:sz w:val="22"/>
          <w:szCs w:val="22"/>
        </w:rPr>
        <w:t xml:space="preserve">Artículo 13. </w:t>
      </w:r>
      <w:r>
        <w:rPr>
          <w:rFonts w:eastAsia="Arial" w:cs="Arial"/>
          <w:b/>
          <w:bCs/>
          <w:sz w:val="22"/>
          <w:szCs w:val="22"/>
          <w:u w:val="single"/>
        </w:rPr>
        <w:t>Quórums y Mayorías</w:t>
      </w:r>
    </w:p>
    <w:p>
      <w:pPr>
        <w:pStyle w:val="Normal"/>
        <w:spacing w:before="60" w:after="60"/>
        <w:jc w:val="both"/>
        <w:rPr/>
      </w:pPr>
      <w:r>
        <w:rPr>
          <w:rFonts w:eastAsia="Arial" w:cs="Arial"/>
          <w:sz w:val="22"/>
          <w:szCs w:val="22"/>
        </w:rPr>
        <w:t>Los acuerdos sociales se adoptarán por mayoría ordinaria de los votos válidamente emitidos, siempre que representen al menos un tercio de los votos correspondientes a las participaciones sociales en que se divida el capital social. Los acuerdos de modificación de estatutos, aumento o reducción de capital, transformación, fusión, escisión y disolución requerirán el voto favorable de más de la mitad de los votos correspondientes a las participaciones en que se divida el capital social. Para los acuerdos que impliquen nuevas obligaciones para los socios se requerirá el consentimiento de todos los socios afectados.</w:t>
      </w:r>
    </w:p>
    <w:p>
      <w:pPr>
        <w:pStyle w:val="Ttulo2"/>
        <w:spacing w:before="280" w:after="140"/>
        <w:rPr/>
      </w:pPr>
      <w:r>
        <w:rPr>
          <w:rFonts w:eastAsia="Arial" w:cs="Arial" w:ascii="Arial" w:hAnsi="Arial"/>
          <w:b/>
          <w:bCs/>
          <w:sz w:val="24"/>
          <w:szCs w:val="24"/>
        </w:rPr>
        <w:t>CAPÍTULO II — ÓRGANO DE ADMINISTRACIÓN</w:t>
      </w:r>
    </w:p>
    <w:p>
      <w:pPr>
        <w:pStyle w:val="Normal"/>
        <w:spacing w:before="240" w:after="80"/>
        <w:rPr/>
      </w:pPr>
      <w:r>
        <w:rPr>
          <w:rFonts w:eastAsia="Arial" w:cs="Arial"/>
          <w:b/>
          <w:bCs/>
          <w:sz w:val="22"/>
          <w:szCs w:val="22"/>
        </w:rPr>
        <w:t xml:space="preserve">Artículo 14. </w:t>
      </w:r>
      <w:r>
        <w:rPr>
          <w:rFonts w:eastAsia="Arial" w:cs="Arial"/>
          <w:b/>
          <w:bCs/>
          <w:sz w:val="22"/>
          <w:szCs w:val="22"/>
          <w:u w:val="single"/>
        </w:rPr>
        <w:t>Estructura del Órgano de Administración</w:t>
      </w:r>
    </w:p>
    <w:p>
      <w:pPr>
        <w:pStyle w:val="Normal"/>
        <w:spacing w:before="60" w:after="60"/>
        <w:jc w:val="both"/>
        <w:rPr/>
      </w:pPr>
      <w:r>
        <w:rPr>
          <w:rFonts w:eastAsia="Arial" w:cs="Arial"/>
          <w:sz w:val="22"/>
          <w:szCs w:val="22"/>
        </w:rPr>
        <w:t>La sociedad será administrada por un Administrador Único, por varios Administradores solidarios o mancomunados, o por un Consejo de Administración, según decida la Junta General en cada momento. La Junta General determinará la estructura concreta del órgano de administración en cada nombramiento, sin que sea necesaria la modificación estatutaria para cambiar de una forma de administración a otra.</w:t>
      </w:r>
    </w:p>
    <w:p>
      <w:pPr>
        <w:pStyle w:val="Normal"/>
        <w:spacing w:before="240" w:after="80"/>
        <w:rPr/>
      </w:pPr>
      <w:r>
        <w:rPr>
          <w:rFonts w:eastAsia="Arial" w:cs="Arial"/>
          <w:b/>
          <w:bCs/>
          <w:sz w:val="22"/>
          <w:szCs w:val="22"/>
        </w:rPr>
        <w:t xml:space="preserve">Artículo 15. </w:t>
      </w:r>
      <w:r>
        <w:rPr>
          <w:rFonts w:eastAsia="Arial" w:cs="Arial"/>
          <w:b/>
          <w:bCs/>
          <w:sz w:val="22"/>
          <w:szCs w:val="22"/>
          <w:u w:val="single"/>
        </w:rPr>
        <w:t>Nombramiento y Duración del Cargo</w:t>
      </w:r>
    </w:p>
    <w:p>
      <w:pPr>
        <w:pStyle w:val="Normal"/>
        <w:spacing w:before="60" w:after="60"/>
        <w:jc w:val="both"/>
        <w:rPr/>
      </w:pPr>
      <w:r>
        <w:rPr>
          <w:rFonts w:eastAsia="Arial" w:cs="Arial"/>
          <w:sz w:val="22"/>
          <w:szCs w:val="22"/>
        </w:rPr>
        <w:t>Los administradores serán nombrados por la Junta General, que también podrá separarlos libremente en cualquier momento, aunque la separación no conste en el orden del día. Los administradores ejercerán su cargo por tiempo indefinido, salvo que la Junta General acuerde en el nombramiento un plazo determinado. El cargo de administrador será retribuido o gratuito según acuerde la Junta General.</w:t>
      </w:r>
    </w:p>
    <w:p>
      <w:pPr>
        <w:pStyle w:val="Normal"/>
        <w:spacing w:before="240" w:after="80"/>
        <w:rPr/>
      </w:pPr>
      <w:r>
        <w:rPr>
          <w:rFonts w:eastAsia="Arial" w:cs="Arial"/>
          <w:b/>
          <w:bCs/>
          <w:sz w:val="22"/>
          <w:szCs w:val="22"/>
        </w:rPr>
        <w:t xml:space="preserve">Artículo 16. </w:t>
      </w:r>
      <w:r>
        <w:rPr>
          <w:rFonts w:eastAsia="Arial" w:cs="Arial"/>
          <w:b/>
          <w:bCs/>
          <w:sz w:val="22"/>
          <w:szCs w:val="22"/>
          <w:u w:val="single"/>
        </w:rPr>
        <w:t>Facultades del Órgano de Administración</w:t>
      </w:r>
    </w:p>
    <w:p>
      <w:pPr>
        <w:pStyle w:val="Normal"/>
        <w:spacing w:before="60" w:after="60"/>
        <w:jc w:val="both"/>
        <w:rPr/>
      </w:pPr>
      <w:r>
        <w:rPr>
          <w:rFonts w:eastAsia="Arial" w:cs="Arial"/>
          <w:sz w:val="22"/>
          <w:szCs w:val="22"/>
        </w:rPr>
        <w:t>El órgano de administración ostenta la representación de la sociedad en juicio y fuera de él, y tiene plenas facultades de actuación en nombre de la sociedad para todos los actos comprendidos en el objeto social y los necesarios para el desarrollo de la actividad empresarial, con las limitaciones establecidas por la ley y los presentes estatutos. En particular, podrá:</w:t>
      </w:r>
    </w:p>
    <w:p>
      <w:pPr>
        <w:pStyle w:val="Normal"/>
        <w:spacing w:before="60" w:after="60"/>
        <w:ind w:left="720" w:hanging="0"/>
        <w:jc w:val="both"/>
        <w:rPr/>
      </w:pPr>
      <w:r>
        <w:rPr>
          <w:rFonts w:eastAsia="Arial" w:cs="Arial"/>
          <w:sz w:val="22"/>
          <w:szCs w:val="22"/>
        </w:rPr>
        <w:t>a) Adquirir, enajenar, gravar y en general disponer de toda clase de bienes inmuebles, muebles y derechos, incluyendo participaciones en otras sociedades.</w:t>
      </w:r>
    </w:p>
    <w:p>
      <w:pPr>
        <w:pStyle w:val="Normal"/>
        <w:spacing w:before="60" w:after="60"/>
        <w:ind w:left="720" w:hanging="0"/>
        <w:jc w:val="both"/>
        <w:rPr/>
      </w:pPr>
      <w:r>
        <w:rPr>
          <w:rFonts w:eastAsia="Arial" w:cs="Arial"/>
          <w:sz w:val="22"/>
          <w:szCs w:val="22"/>
        </w:rPr>
        <w:t>b) Suscribir contratos de cualquier naturaleza, conceder y recibir préstamos y créditos, abrir y cancelar cuentas bancarias.</w:t>
      </w:r>
    </w:p>
    <w:p>
      <w:pPr>
        <w:pStyle w:val="Normal"/>
        <w:spacing w:before="60" w:after="60"/>
        <w:ind w:left="720" w:hanging="0"/>
        <w:jc w:val="both"/>
        <w:rPr/>
      </w:pPr>
      <w:r>
        <w:rPr>
          <w:rFonts w:eastAsia="Arial" w:cs="Arial"/>
          <w:sz w:val="22"/>
          <w:szCs w:val="22"/>
        </w:rPr>
        <w:t>c) Delegar sus facultades en apoderados generales o especiales, revocar dichos poderes y contratar personal.</w:t>
      </w:r>
    </w:p>
    <w:p>
      <w:pPr>
        <w:pStyle w:val="Normal"/>
        <w:spacing w:before="60" w:after="60"/>
        <w:ind w:left="720" w:hanging="0"/>
        <w:jc w:val="both"/>
        <w:rPr/>
      </w:pPr>
      <w:r>
        <w:rPr>
          <w:rFonts w:eastAsia="Arial" w:cs="Arial"/>
          <w:sz w:val="22"/>
          <w:szCs w:val="22"/>
        </w:rPr>
        <w:t>d) Decidir la creación, supresión y traslado de sucursales, delegaciones y oficinas dentro y fuera de España.</w:t>
      </w:r>
    </w:p>
    <w:p>
      <w:pPr>
        <w:pStyle w:val="Normal"/>
        <w:spacing w:before="60" w:after="60"/>
        <w:ind w:left="720" w:hanging="0"/>
        <w:jc w:val="both"/>
        <w:rPr/>
      </w:pPr>
      <w:r>
        <w:rPr>
          <w:rFonts w:eastAsia="Arial" w:cs="Arial"/>
          <w:sz w:val="22"/>
          <w:szCs w:val="22"/>
        </w:rPr>
        <w:t>e) Acordar participar en concursos, licitaciones, subastas y concursos públicos y privados.</w:t>
      </w:r>
    </w:p>
    <w:p>
      <w:pPr>
        <w:pStyle w:val="Normal"/>
        <w:spacing w:before="60" w:after="60"/>
        <w:ind w:left="720" w:hanging="0"/>
        <w:jc w:val="both"/>
        <w:rPr/>
      </w:pPr>
      <w:r>
        <w:rPr>
          <w:rFonts w:eastAsia="Arial" w:cs="Arial"/>
          <w:sz w:val="22"/>
          <w:szCs w:val="22"/>
        </w:rPr>
        <w:t>f) Aprobar el presupuesto anual, el plan de negocio y las políticas de la sociedad.</w:t>
      </w:r>
    </w:p>
    <w:p>
      <w:pPr>
        <w:pStyle w:val="Normal"/>
        <w:spacing w:before="60" w:after="60"/>
        <w:ind w:left="720" w:hanging="0"/>
        <w:jc w:val="both"/>
        <w:rPr/>
      </w:pPr>
      <w:r>
        <w:rPr>
          <w:rFonts w:eastAsia="Arial" w:cs="Arial"/>
          <w:sz w:val="22"/>
          <w:szCs w:val="22"/>
        </w:rPr>
        <w:t>g) Establecer la política de remuneración del personal, incluyendo planes de opciones sobre participaciones (stock options) y planes de participación en beneficios.</w:t>
      </w:r>
    </w:p>
    <w:p>
      <w:pPr>
        <w:pStyle w:val="Normal"/>
        <w:spacing w:before="60" w:after="60"/>
        <w:ind w:left="720" w:hanging="0"/>
        <w:jc w:val="both"/>
        <w:rPr/>
      </w:pPr>
      <w:r>
        <w:rPr>
          <w:rFonts w:eastAsia="Arial" w:cs="Arial"/>
          <w:sz w:val="22"/>
          <w:szCs w:val="22"/>
        </w:rPr>
        <w:t>h) Realizar actos de administración y disposición que requieran, conforme a la ley, autorización de la Junta General cuando el valor del activo o pasivo afectado supere el veinticinco por ciento del valor de los activos que figuren en el último balance aprobado.</w:t>
      </w:r>
    </w:p>
    <w:p>
      <w:pPr>
        <w:pStyle w:val="Normal"/>
        <w:rPr/>
      </w:pPr>
      <w:r>
        <w:rPr/>
      </w:r>
      <w:r>
        <w:br w:type="page"/>
      </w:r>
    </w:p>
    <w:p>
      <w:pPr>
        <w:pStyle w:val="Ttulo1"/>
        <w:spacing w:before="360" w:after="180"/>
        <w:jc w:val="center"/>
        <w:rPr/>
      </w:pPr>
      <w:r>
        <w:rPr>
          <w:rFonts w:eastAsia="Arial" w:cs="Arial" w:ascii="Arial" w:hAnsi="Arial"/>
          <w:b/>
          <w:bCs/>
          <w:sz w:val="28"/>
          <w:szCs w:val="28"/>
        </w:rPr>
        <w:t>TÍTULO IV — EJERCICIO SOCIAL, CUENTAS ANUALES Y DISTRIBUCIÓN DE BENEFICIOS</w:t>
      </w:r>
    </w:p>
    <w:p>
      <w:pPr>
        <w:pStyle w:val="Normal"/>
        <w:spacing w:before="240" w:after="80"/>
        <w:rPr/>
      </w:pPr>
      <w:r>
        <w:rPr>
          <w:rFonts w:eastAsia="Arial" w:cs="Arial"/>
          <w:b/>
          <w:bCs/>
          <w:sz w:val="22"/>
          <w:szCs w:val="22"/>
        </w:rPr>
        <w:t xml:space="preserve">Artículo 17. </w:t>
      </w:r>
      <w:r>
        <w:rPr>
          <w:rFonts w:eastAsia="Arial" w:cs="Arial"/>
          <w:b/>
          <w:bCs/>
          <w:sz w:val="22"/>
          <w:szCs w:val="22"/>
          <w:u w:val="single"/>
        </w:rPr>
        <w:t>Ejercicio Social</w:t>
      </w:r>
    </w:p>
    <w:p>
      <w:pPr>
        <w:pStyle w:val="Normal"/>
        <w:spacing w:before="60" w:after="60"/>
        <w:jc w:val="both"/>
        <w:rPr/>
      </w:pPr>
      <w:r>
        <w:rPr>
          <w:rFonts w:eastAsia="Arial" w:cs="Arial"/>
          <w:sz w:val="22"/>
          <w:szCs w:val="22"/>
        </w:rPr>
        <w:t>El ejercicio social comenzará el 1 de enero y terminará el 31 de diciembre de cada año. El primer ejercicio social comenzará en la fecha de otorgamiento de la escritura de constitución y terminará el 31 de diciembre del mismo año.</w:t>
      </w:r>
    </w:p>
    <w:p>
      <w:pPr>
        <w:pStyle w:val="Normal"/>
        <w:spacing w:before="240" w:after="80"/>
        <w:rPr/>
      </w:pPr>
      <w:r>
        <w:rPr>
          <w:rFonts w:eastAsia="Arial" w:cs="Arial"/>
          <w:b/>
          <w:bCs/>
          <w:sz w:val="22"/>
          <w:szCs w:val="22"/>
        </w:rPr>
        <w:t xml:space="preserve">Artículo 18. </w:t>
      </w:r>
      <w:r>
        <w:rPr>
          <w:rFonts w:eastAsia="Arial" w:cs="Arial"/>
          <w:b/>
          <w:bCs/>
          <w:sz w:val="22"/>
          <w:szCs w:val="22"/>
          <w:u w:val="single"/>
        </w:rPr>
        <w:t>Cuentas Anuales</w:t>
      </w:r>
    </w:p>
    <w:p>
      <w:pPr>
        <w:pStyle w:val="Normal"/>
        <w:spacing w:before="60" w:after="60"/>
        <w:jc w:val="both"/>
        <w:rPr/>
      </w:pPr>
      <w:r>
        <w:rPr>
          <w:rFonts w:eastAsia="Arial" w:cs="Arial"/>
          <w:sz w:val="22"/>
          <w:szCs w:val="22"/>
        </w:rPr>
        <w:t>Al cierre de cada ejercicio social, el órgano de administración formulará las cuentas anuales, el informe de gestión y la propuesta de aplicación del resultado, conforme a lo establecido en la Ley de Sociedades de Capital y el Plan General de Contabilidad. Las cuentas anuales comprenderán el balance, la cuenta de pérdidas y ganancias, el estado de cambios en el patrimonio neto, el estado de flujos de efectivo y la memoria.</w:t>
      </w:r>
    </w:p>
    <w:p>
      <w:pPr>
        <w:pStyle w:val="Normal"/>
        <w:spacing w:before="240" w:after="80"/>
        <w:rPr/>
      </w:pPr>
      <w:r>
        <w:rPr>
          <w:rFonts w:eastAsia="Arial" w:cs="Arial"/>
          <w:b/>
          <w:bCs/>
          <w:sz w:val="22"/>
          <w:szCs w:val="22"/>
        </w:rPr>
        <w:t xml:space="preserve">Artículo 19. </w:t>
      </w:r>
      <w:r>
        <w:rPr>
          <w:rFonts w:eastAsia="Arial" w:cs="Arial"/>
          <w:b/>
          <w:bCs/>
          <w:sz w:val="22"/>
          <w:szCs w:val="22"/>
          <w:u w:val="single"/>
        </w:rPr>
        <w:t>Distribución de Beneficios y Reservas</w:t>
      </w:r>
    </w:p>
    <w:p>
      <w:pPr>
        <w:pStyle w:val="Normal"/>
        <w:spacing w:before="60" w:after="60"/>
        <w:jc w:val="both"/>
        <w:rPr/>
      </w:pPr>
      <w:r>
        <w:rPr>
          <w:rFonts w:eastAsia="Arial" w:cs="Arial"/>
          <w:sz w:val="22"/>
          <w:szCs w:val="22"/>
        </w:rPr>
        <w:t>De los beneficios obtenidos en cada ejercicio se deducirán las pérdidas de ejercicios anteriores y la cantidad necesaria para dotar la reserva legal en la cuantía establecida por la ley. El saldo restante podrá distribuirse entre los socios en proporción a su participación en el capital social, o bien destinarse a reservas voluntarias o al fondo de autocartera, según acuerdo de la Junta General.</w:t>
      </w:r>
    </w:p>
    <w:p>
      <w:pPr>
        <w:pStyle w:val="Normal"/>
        <w:spacing w:before="60" w:after="60"/>
        <w:jc w:val="both"/>
        <w:rPr/>
      </w:pPr>
      <w:r>
        <w:rPr>
          <w:rFonts w:eastAsia="Arial" w:cs="Arial"/>
          <w:sz w:val="22"/>
          <w:szCs w:val="22"/>
        </w:rPr>
        <w:t>La Junta General podrá acordar la distribución de dividendos a cuenta del ejercicio en curso, dentro de los límites establecidos por la Ley de Sociedades de Capital, mediante propuesta razonada formulada por el órgano de administración.</w:t>
      </w:r>
    </w:p>
    <w:p>
      <w:pPr>
        <w:pStyle w:val="Normal"/>
        <w:rPr/>
      </w:pPr>
      <w:r>
        <w:rPr/>
      </w:r>
      <w:r>
        <w:br w:type="page"/>
      </w:r>
    </w:p>
    <w:p>
      <w:pPr>
        <w:pStyle w:val="Ttulo1"/>
        <w:spacing w:before="360" w:after="180"/>
        <w:jc w:val="center"/>
        <w:rPr/>
      </w:pPr>
      <w:r>
        <w:rPr>
          <w:rFonts w:eastAsia="Arial" w:cs="Arial" w:ascii="Arial" w:hAnsi="Arial"/>
          <w:b/>
          <w:bCs/>
          <w:sz w:val="28"/>
          <w:szCs w:val="28"/>
        </w:rPr>
        <w:t>TÍTULO V — FINANCIACIÓN, INVERSORES Y PACTOS DE SOCIOS</w:t>
      </w:r>
    </w:p>
    <w:p>
      <w:pPr>
        <w:pStyle w:val="Normal"/>
        <w:spacing w:before="240" w:after="80"/>
        <w:rPr/>
      </w:pPr>
      <w:r>
        <w:rPr>
          <w:rFonts w:eastAsia="Arial" w:cs="Arial"/>
          <w:b/>
          <w:bCs/>
          <w:sz w:val="22"/>
          <w:szCs w:val="22"/>
        </w:rPr>
        <w:t xml:space="preserve">Artículo 20. </w:t>
      </w:r>
      <w:r>
        <w:rPr>
          <w:rFonts w:eastAsia="Arial" w:cs="Arial"/>
          <w:b/>
          <w:bCs/>
          <w:sz w:val="22"/>
          <w:szCs w:val="22"/>
          <w:u w:val="single"/>
        </w:rPr>
        <w:t>Ampliaciones de Capital</w:t>
      </w:r>
    </w:p>
    <w:p>
      <w:pPr>
        <w:pStyle w:val="Normal"/>
        <w:spacing w:before="60" w:after="60"/>
        <w:jc w:val="both"/>
        <w:rPr/>
      </w:pPr>
      <w:r>
        <w:rPr>
          <w:rFonts w:eastAsia="Arial" w:cs="Arial"/>
          <w:sz w:val="22"/>
          <w:szCs w:val="22"/>
        </w:rPr>
        <w:t>La Junta General podrá acordar aumentos de capital social mediante la emisión de nuevas participaciones sociales o el incremento del valor nominal de las existentes, con cargo a nuevas aportaciones dinerarias o no dinerarias, o con cargo a reservas o beneficios. En los aumentos de capital con desembolso dinerario, los socios existentes gozarán del derecho de asunción preferente en proporción a sus participaciones, salvo que la Junta General acuerde suprimir o limitar dicho derecho por razones justificadas.</w:t>
      </w:r>
    </w:p>
    <w:p>
      <w:pPr>
        <w:pStyle w:val="Normal"/>
        <w:spacing w:before="240" w:after="80"/>
        <w:rPr/>
      </w:pPr>
      <w:r>
        <w:rPr>
          <w:rFonts w:eastAsia="Arial" w:cs="Arial"/>
          <w:b/>
          <w:bCs/>
          <w:sz w:val="22"/>
          <w:szCs w:val="22"/>
        </w:rPr>
        <w:t xml:space="preserve">Artículo 21. </w:t>
      </w:r>
      <w:r>
        <w:rPr>
          <w:rFonts w:eastAsia="Arial" w:cs="Arial"/>
          <w:b/>
          <w:bCs/>
          <w:sz w:val="22"/>
          <w:szCs w:val="22"/>
          <w:u w:val="single"/>
        </w:rPr>
        <w:t>Admisión de Inversores Externos</w:t>
      </w:r>
    </w:p>
    <w:p>
      <w:pPr>
        <w:pStyle w:val="Normal"/>
        <w:spacing w:before="60" w:after="60"/>
        <w:jc w:val="both"/>
        <w:rPr/>
      </w:pPr>
      <w:r>
        <w:rPr>
          <w:rFonts w:eastAsia="Arial" w:cs="Arial"/>
          <w:sz w:val="22"/>
          <w:szCs w:val="22"/>
        </w:rPr>
        <w:t>La sociedad podrá admitir inversores externos, tanto personas físicas como jurídicas, incluyendo fondos de capital riesgo (venture capital), business angels, family offices, fondos de deuda, y cualesquiera otros vehículos de inversión, mediante la emisión de nuevas participaciones o la transmisión de participaciones existentes, con sujeción a lo establecido en los presentes estatutos y en los pactos de socios que en su caso se suscriban. Los pactos de socios que se suscriban tendrán carácter extraestatutario salvo que la Junta General acuerde su incorporación a los estatutos mediante su modificación.</w:t>
      </w:r>
    </w:p>
    <w:p>
      <w:pPr>
        <w:pStyle w:val="Normal"/>
        <w:spacing w:before="240" w:after="80"/>
        <w:rPr/>
      </w:pPr>
      <w:r>
        <w:rPr>
          <w:rFonts w:eastAsia="Arial" w:cs="Arial"/>
          <w:b/>
          <w:bCs/>
          <w:sz w:val="22"/>
          <w:szCs w:val="22"/>
        </w:rPr>
        <w:t xml:space="preserve">Artículo 22. </w:t>
      </w:r>
      <w:r>
        <w:rPr>
          <w:rFonts w:eastAsia="Arial" w:cs="Arial"/>
          <w:b/>
          <w:bCs/>
          <w:sz w:val="22"/>
          <w:szCs w:val="22"/>
          <w:u w:val="single"/>
        </w:rPr>
        <w:t>Participaciones con Derechos Especiales</w:t>
      </w:r>
    </w:p>
    <w:p>
      <w:pPr>
        <w:pStyle w:val="Normal"/>
        <w:spacing w:before="60" w:after="60"/>
        <w:jc w:val="both"/>
        <w:rPr/>
      </w:pPr>
      <w:r>
        <w:rPr>
          <w:rFonts w:eastAsia="Arial" w:cs="Arial"/>
          <w:sz w:val="22"/>
          <w:szCs w:val="22"/>
        </w:rPr>
        <w:t>La Junta General podrá crear, en el marco de las ampliaciones de capital, participaciones sociales con derechos económicos especiales, tales como preferencia en el reparto de dividendos, participación mínima garantizada en la liquidación (liquidation preference), derechos de conversión, derechos de arrastre (drag-along) o de acompañamiento (tag-along), o cualquier otro derecho económico admitido por la ley, siempre que se describan con precisión en el acuerdo de emisión y quede garantizada la igualdad de trato entre los socios de la misma clase o serie.</w:t>
      </w:r>
    </w:p>
    <w:p>
      <w:pPr>
        <w:pStyle w:val="Normal"/>
        <w:spacing w:before="240" w:after="80"/>
        <w:rPr/>
      </w:pPr>
      <w:r>
        <w:rPr>
          <w:rFonts w:eastAsia="Arial" w:cs="Arial"/>
          <w:b/>
          <w:bCs/>
          <w:sz w:val="22"/>
          <w:szCs w:val="22"/>
        </w:rPr>
        <w:t xml:space="preserve">Artículo 23. </w:t>
      </w:r>
      <w:r>
        <w:rPr>
          <w:rFonts w:eastAsia="Arial" w:cs="Arial"/>
          <w:b/>
          <w:bCs/>
          <w:sz w:val="22"/>
          <w:szCs w:val="22"/>
          <w:u w:val="single"/>
        </w:rPr>
        <w:t>Financiación Mediante Préstamo Participativo y Deuda Convertible</w:t>
      </w:r>
    </w:p>
    <w:p>
      <w:pPr>
        <w:pStyle w:val="Normal"/>
        <w:spacing w:before="60" w:after="60"/>
        <w:jc w:val="both"/>
        <w:rPr/>
      </w:pPr>
      <w:r>
        <w:rPr>
          <w:rFonts w:eastAsia="Arial" w:cs="Arial"/>
          <w:sz w:val="22"/>
          <w:szCs w:val="22"/>
        </w:rPr>
        <w:t>La sociedad podrá obtener financiación mediante préstamos participativos, notas convertibles, instrumentos de deuda convertible en participaciones sociales (SAFE, CLA, obligaciones convertibles u otros), con sujeción a la normativa aplicable. La conversión en participaciones sociales requerirá el correspondiente acuerdo de ampliación de capital adoptado por la Junta General o, si los estatutos lo prevén, por el órgano de administración dentro del capital autorizado.</w:t>
      </w:r>
    </w:p>
    <w:p>
      <w:pPr>
        <w:pStyle w:val="Normal"/>
        <w:spacing w:before="240" w:after="80"/>
        <w:rPr/>
      </w:pPr>
      <w:r>
        <w:rPr>
          <w:rFonts w:eastAsia="Arial" w:cs="Arial"/>
          <w:b/>
          <w:bCs/>
          <w:sz w:val="22"/>
          <w:szCs w:val="22"/>
        </w:rPr>
        <w:t xml:space="preserve">Artículo 24. </w:t>
      </w:r>
      <w:r>
        <w:rPr>
          <w:rFonts w:eastAsia="Arial" w:cs="Arial"/>
          <w:b/>
          <w:bCs/>
          <w:sz w:val="22"/>
          <w:szCs w:val="22"/>
          <w:u w:val="single"/>
        </w:rPr>
        <w:t>Derecho de Arrastre (Drag-Along)</w:t>
      </w:r>
    </w:p>
    <w:p>
      <w:pPr>
        <w:pStyle w:val="Normal"/>
        <w:spacing w:before="60" w:after="60"/>
        <w:jc w:val="both"/>
        <w:rPr/>
      </w:pPr>
      <w:r>
        <w:rPr>
          <w:rFonts w:eastAsia="Arial" w:cs="Arial"/>
          <w:sz w:val="22"/>
          <w:szCs w:val="22"/>
        </w:rPr>
        <w:t>En el supuesto de que socios que representen más del setenta por ciento del capital social acuerden la transmisión de la totalidad o parte sustancial de las participaciones a un tercero adquirente, podrán exigir a los demás socios que transmitan sus participaciones al mismo adquirente y en las mismas condiciones. El derecho de arrastre sólo podrá ejercerse cuando el precio ofrecido por el adquirente sea igual para todas las participaciones de la misma clase y no discrimine a ningún socio. Los socios arrastrados tendrán derecho a recibir un informe independiente de valoración de las participaciones con cargo a la sociedad cuando lo soliciten con al menos quince días de antelación.</w:t>
      </w:r>
    </w:p>
    <w:p>
      <w:pPr>
        <w:pStyle w:val="Normal"/>
        <w:spacing w:before="240" w:after="80"/>
        <w:rPr/>
      </w:pPr>
      <w:r>
        <w:rPr>
          <w:rFonts w:eastAsia="Arial" w:cs="Arial"/>
          <w:b/>
          <w:bCs/>
          <w:sz w:val="22"/>
          <w:szCs w:val="22"/>
        </w:rPr>
        <w:t xml:space="preserve">Artículo 25. </w:t>
      </w:r>
      <w:r>
        <w:rPr>
          <w:rFonts w:eastAsia="Arial" w:cs="Arial"/>
          <w:b/>
          <w:bCs/>
          <w:sz w:val="22"/>
          <w:szCs w:val="22"/>
          <w:u w:val="single"/>
        </w:rPr>
        <w:t>Derecho de Acompañamiento (Tag-Along)</w:t>
      </w:r>
    </w:p>
    <w:p>
      <w:pPr>
        <w:pStyle w:val="Normal"/>
        <w:spacing w:before="60" w:after="60"/>
        <w:jc w:val="both"/>
        <w:rPr/>
      </w:pPr>
      <w:r>
        <w:rPr>
          <w:rFonts w:eastAsia="Arial" w:cs="Arial"/>
          <w:sz w:val="22"/>
          <w:szCs w:val="22"/>
        </w:rPr>
        <w:t>Cuando cualquier socio reciba de un tercero una oferta de adquisición de sus participaciones, deberá notificarlo a los demás socios con al menos veinte días de antelación a la fecha prevista para la transmisión. Los demás socios tendrán derecho a integrarse en la transmisión y vender sus participaciones al mismo adquirente y en las mismas condiciones que el socio transmitente, en proporción a sus respectivas participaciones.</w:t>
      </w:r>
    </w:p>
    <w:p>
      <w:pPr>
        <w:pStyle w:val="Normal"/>
        <w:rPr/>
      </w:pPr>
      <w:r>
        <w:rPr/>
      </w:r>
      <w:r>
        <w:br w:type="page"/>
      </w:r>
    </w:p>
    <w:p>
      <w:pPr>
        <w:pStyle w:val="Ttulo1"/>
        <w:spacing w:before="360" w:after="180"/>
        <w:jc w:val="center"/>
        <w:rPr/>
      </w:pPr>
      <w:r>
        <w:rPr>
          <w:rFonts w:eastAsia="Arial" w:cs="Arial" w:ascii="Arial" w:hAnsi="Arial"/>
          <w:b/>
          <w:bCs/>
          <w:sz w:val="28"/>
          <w:szCs w:val="28"/>
        </w:rPr>
        <w:t>TÍTULO VI — PROPIEDAD INTELECTUAL, TECNOLOGÍA Y DATOS</w:t>
      </w:r>
    </w:p>
    <w:p>
      <w:pPr>
        <w:pStyle w:val="Normal"/>
        <w:spacing w:before="240" w:after="80"/>
        <w:rPr/>
      </w:pPr>
      <w:r>
        <w:rPr>
          <w:rFonts w:eastAsia="Arial" w:cs="Arial"/>
          <w:b/>
          <w:bCs/>
          <w:sz w:val="22"/>
          <w:szCs w:val="22"/>
        </w:rPr>
        <w:t xml:space="preserve">Artículo 26. </w:t>
      </w:r>
      <w:r>
        <w:rPr>
          <w:rFonts w:eastAsia="Arial" w:cs="Arial"/>
          <w:b/>
          <w:bCs/>
          <w:sz w:val="22"/>
          <w:szCs w:val="22"/>
          <w:u w:val="single"/>
        </w:rPr>
        <w:t>Propiedad Intelectual y Software</w:t>
      </w:r>
    </w:p>
    <w:p>
      <w:pPr>
        <w:pStyle w:val="Normal"/>
        <w:spacing w:before="60" w:after="60"/>
        <w:jc w:val="both"/>
        <w:rPr/>
      </w:pPr>
      <w:r>
        <w:rPr>
          <w:rFonts w:eastAsia="Arial" w:cs="Arial"/>
          <w:sz w:val="22"/>
          <w:szCs w:val="22"/>
        </w:rPr>
        <w:t>La totalidad de los derechos de propiedad intelectual sobre el software, código fuente, aplicaciones, plataformas, algoritmos, bases de datos, diseños, marcas, nombres comerciales, nombres de dominio, materiales de formación y cualquier otra creación intelectual desarrollada por la sociedad, sus administradores, empleados, colaboradores y contratistas en el marco de sus actividades para la sociedad, pertenecerán exclusivamente a la sociedad. Los presentes estatutos no atribuyen a los socios ningún derecho sobre dicha propiedad intelectual por el mero hecho de serlo.</w:t>
      </w:r>
    </w:p>
    <w:p>
      <w:pPr>
        <w:pStyle w:val="Normal"/>
        <w:spacing w:before="60" w:after="60"/>
        <w:jc w:val="both"/>
        <w:rPr/>
      </w:pPr>
      <w:r>
        <w:rPr>
          <w:rFonts w:eastAsia="Arial" w:cs="Arial"/>
          <w:sz w:val="22"/>
          <w:szCs w:val="22"/>
        </w:rPr>
        <w:t>Todo administrador, empleado o colaborador de la sociedad que, en el ejercicio de sus funciones para ella, desarrolle creaciones intelectuales de cualquier clase, queda obligado a ceder a la sociedad, con carácter exclusivo y sin limitación territorial ni temporal, todos los derechos patrimoniales de explotación sobre dichas creaciones. Dicha cesión será recogida en el correspondiente contrato laboral, de prestación de servicios o acuerdo de confidencialidad.</w:t>
      </w:r>
    </w:p>
    <w:p>
      <w:pPr>
        <w:pStyle w:val="Normal"/>
        <w:spacing w:before="240" w:after="80"/>
        <w:rPr/>
      </w:pPr>
      <w:r>
        <w:rPr>
          <w:rFonts w:eastAsia="Arial" w:cs="Arial"/>
          <w:b/>
          <w:bCs/>
          <w:sz w:val="22"/>
          <w:szCs w:val="22"/>
        </w:rPr>
        <w:t xml:space="preserve">Artículo 27. </w:t>
      </w:r>
      <w:r>
        <w:rPr>
          <w:rFonts w:eastAsia="Arial" w:cs="Arial"/>
          <w:b/>
          <w:bCs/>
          <w:sz w:val="22"/>
          <w:szCs w:val="22"/>
          <w:u w:val="single"/>
        </w:rPr>
        <w:t>Protección de Datos y Cumplimiento RGPD</w:t>
      </w:r>
    </w:p>
    <w:p>
      <w:pPr>
        <w:pStyle w:val="Normal"/>
        <w:spacing w:before="60" w:after="60"/>
        <w:jc w:val="both"/>
        <w:rPr/>
      </w:pPr>
      <w:r>
        <w:rPr>
          <w:rFonts w:eastAsia="Arial" w:cs="Arial"/>
          <w:sz w:val="22"/>
          <w:szCs w:val="22"/>
        </w:rPr>
        <w:t>La sociedad tratará los datos personales de socios, administradores, empleados, clientes, proveedores y terceros conforme al Reglamento (UE) 2016/679 (RGPD), a la Ley Orgánica 3/2018 (LOPDGDD) y demás normativa aplicable. El órgano de administración aprobará y mantendrá actualizado el Registro de Actividades de Tratamiento y establecerá las medidas técnicas y organizativas necesarias para garantizar un nivel de seguridad adecuado al riesgo.</w:t>
      </w:r>
    </w:p>
    <w:p>
      <w:pPr>
        <w:pStyle w:val="Normal"/>
        <w:rPr/>
      </w:pPr>
      <w:r>
        <w:rPr/>
      </w:r>
      <w:r>
        <w:br w:type="page"/>
      </w:r>
    </w:p>
    <w:p>
      <w:pPr>
        <w:pStyle w:val="Ttulo1"/>
        <w:spacing w:before="360" w:after="180"/>
        <w:jc w:val="center"/>
        <w:rPr/>
      </w:pPr>
      <w:r>
        <w:rPr>
          <w:rFonts w:eastAsia="Arial" w:cs="Arial" w:ascii="Arial" w:hAnsi="Arial"/>
          <w:b/>
          <w:bCs/>
          <w:sz w:val="28"/>
          <w:szCs w:val="28"/>
        </w:rPr>
        <w:t>TÍTULO VII — DISOLUCIÓN Y LIQUIDACIÓN</w:t>
      </w:r>
    </w:p>
    <w:p>
      <w:pPr>
        <w:pStyle w:val="Normal"/>
        <w:spacing w:before="240" w:after="80"/>
        <w:rPr/>
      </w:pPr>
      <w:r>
        <w:rPr>
          <w:rFonts w:eastAsia="Arial" w:cs="Arial"/>
          <w:b/>
          <w:bCs/>
          <w:sz w:val="22"/>
          <w:szCs w:val="22"/>
        </w:rPr>
        <w:t xml:space="preserve">Artículo 28. </w:t>
      </w:r>
      <w:r>
        <w:rPr>
          <w:rFonts w:eastAsia="Arial" w:cs="Arial"/>
          <w:b/>
          <w:bCs/>
          <w:sz w:val="22"/>
          <w:szCs w:val="22"/>
          <w:u w:val="single"/>
        </w:rPr>
        <w:t>Causas de Disolución</w:t>
      </w:r>
    </w:p>
    <w:p>
      <w:pPr>
        <w:pStyle w:val="Normal"/>
        <w:spacing w:before="60" w:after="60"/>
        <w:jc w:val="both"/>
        <w:rPr/>
      </w:pPr>
      <w:r>
        <w:rPr>
          <w:rFonts w:eastAsia="Arial" w:cs="Arial"/>
          <w:sz w:val="22"/>
          <w:szCs w:val="22"/>
        </w:rPr>
        <w:t>La sociedad se disolverá por las causas establecidas en el artículo 363 de la Ley de Sociedades de Capital, entre ellas: por acuerdo de la Junta General adoptado con la mayoría legalmente establecida; por el transcurso del tiempo fijado en los estatutos si se hubiera establecido una duración determinada; por la conclusión de la empresa que constituya su objeto; por la reducción del patrimonio neto por debajo de la mitad del capital social; y por las demás causas establecidas en la ley.</w:t>
      </w:r>
    </w:p>
    <w:p>
      <w:pPr>
        <w:pStyle w:val="Normal"/>
        <w:spacing w:before="240" w:after="80"/>
        <w:rPr/>
      </w:pPr>
      <w:r>
        <w:rPr>
          <w:rFonts w:eastAsia="Arial" w:cs="Arial"/>
          <w:b/>
          <w:bCs/>
          <w:sz w:val="22"/>
          <w:szCs w:val="22"/>
        </w:rPr>
        <w:t xml:space="preserve">Artículo 29. </w:t>
      </w:r>
      <w:r>
        <w:rPr>
          <w:rFonts w:eastAsia="Arial" w:cs="Arial"/>
          <w:b/>
          <w:bCs/>
          <w:sz w:val="22"/>
          <w:szCs w:val="22"/>
          <w:u w:val="single"/>
        </w:rPr>
        <w:t>Liquidación</w:t>
      </w:r>
    </w:p>
    <w:p>
      <w:pPr>
        <w:pStyle w:val="Normal"/>
        <w:spacing w:before="60" w:after="60"/>
        <w:jc w:val="both"/>
        <w:rPr/>
      </w:pPr>
      <w:r>
        <w:rPr>
          <w:rFonts w:eastAsia="Arial" w:cs="Arial"/>
          <w:sz w:val="22"/>
          <w:szCs w:val="22"/>
        </w:rPr>
        <w:t>Disuelta la sociedad se abrirá el período de liquidación. Durante dicho período la sociedad conservará su personalidad jurídica y añadirá a su denominación la expresión "en liquidación". La liquidación se llevará a cabo de acuerdo con lo establecido en la Ley de Sociedades de Capital.</w:t>
      </w:r>
    </w:p>
    <w:p>
      <w:pPr>
        <w:pStyle w:val="Normal"/>
        <w:rPr/>
      </w:pPr>
      <w:r>
        <w:rPr/>
      </w:r>
      <w:r>
        <w:br w:type="page"/>
      </w:r>
    </w:p>
    <w:p>
      <w:pPr>
        <w:pStyle w:val="Ttulo1"/>
        <w:spacing w:before="360" w:after="180"/>
        <w:jc w:val="center"/>
        <w:rPr/>
      </w:pPr>
      <w:r>
        <w:rPr>
          <w:rFonts w:eastAsia="Arial" w:cs="Arial" w:ascii="Arial" w:hAnsi="Arial"/>
          <w:b/>
          <w:bCs/>
          <w:sz w:val="28"/>
          <w:szCs w:val="28"/>
        </w:rPr>
        <w:t>TÍTULO VIII — DISPOSICIONES FINALES</w:t>
      </w:r>
    </w:p>
    <w:p>
      <w:pPr>
        <w:pStyle w:val="Normal"/>
        <w:spacing w:before="240" w:after="80"/>
        <w:rPr/>
      </w:pPr>
      <w:r>
        <w:rPr>
          <w:rFonts w:eastAsia="Arial" w:cs="Arial"/>
          <w:b/>
          <w:bCs/>
          <w:sz w:val="22"/>
          <w:szCs w:val="22"/>
        </w:rPr>
        <w:t xml:space="preserve">Artículo 30. </w:t>
      </w:r>
      <w:r>
        <w:rPr>
          <w:rFonts w:eastAsia="Arial" w:cs="Arial"/>
          <w:b/>
          <w:bCs/>
          <w:sz w:val="22"/>
          <w:szCs w:val="22"/>
          <w:u w:val="single"/>
        </w:rPr>
        <w:t>Resolución de Conflictos</w:t>
      </w:r>
    </w:p>
    <w:p>
      <w:pPr>
        <w:pStyle w:val="Normal"/>
        <w:spacing w:before="60" w:after="60"/>
        <w:jc w:val="both"/>
        <w:rPr/>
      </w:pPr>
      <w:r>
        <w:rPr>
          <w:rFonts w:eastAsia="Arial" w:cs="Arial"/>
          <w:sz w:val="22"/>
          <w:szCs w:val="22"/>
        </w:rPr>
        <w:t>Para cualquier litigio, discrepancia o controversia que se derive de la interpretación o ejecución de los presentes estatutos o de la relación societaria, los socios y la sociedad se someten a la jurisdicción de los juzgados y tribunales de Madrid, con renuncia a cualquier otro fuero que pudiera corresponderles. Sin perjuicio de lo anterior, la Junta General podrá acordar someter a arbitraje de derecho, administrado por árbitros designados conforme al Reglamento de la Corte de Arbitraje de Madrid (CAM) u otra institución arbitral de reconocido prestigio, los litigios que surjan entre socios o entre socios y la sociedad con ocasión de la impugnación de acuerdos sociales o la valoración de participaciones.</w:t>
      </w:r>
    </w:p>
    <w:p>
      <w:pPr>
        <w:pStyle w:val="Normal"/>
        <w:spacing w:before="240" w:after="80"/>
        <w:rPr/>
      </w:pPr>
      <w:r>
        <w:rPr>
          <w:rFonts w:eastAsia="Arial" w:cs="Arial"/>
          <w:b/>
          <w:bCs/>
          <w:sz w:val="22"/>
          <w:szCs w:val="22"/>
        </w:rPr>
        <w:t xml:space="preserve">Artículo 31. </w:t>
      </w:r>
      <w:r>
        <w:rPr>
          <w:rFonts w:eastAsia="Arial" w:cs="Arial"/>
          <w:b/>
          <w:bCs/>
          <w:sz w:val="22"/>
          <w:szCs w:val="22"/>
          <w:u w:val="single"/>
        </w:rPr>
        <w:t>Normativa Supletoria</w:t>
      </w:r>
    </w:p>
    <w:p>
      <w:pPr>
        <w:pStyle w:val="Normal"/>
        <w:spacing w:before="60" w:after="60"/>
        <w:jc w:val="both"/>
        <w:rPr/>
      </w:pPr>
      <w:r>
        <w:rPr>
          <w:rFonts w:eastAsia="Arial" w:cs="Arial"/>
          <w:sz w:val="22"/>
          <w:szCs w:val="22"/>
        </w:rPr>
        <w:t>En todo lo no previsto en los presentes Estatutos, se aplicará la Ley de Sociedades de Capital (Real Decreto Legislativo 1/2010), el Reglamento del Registro Mercantil y las demás normas mercantiles y civiles de aplicación en España.</w:t>
      </w:r>
    </w:p>
    <w:p>
      <w:pPr>
        <w:pStyle w:val="Normal"/>
        <w:spacing w:before="480" w:after="480"/>
        <w:jc w:val="center"/>
        <w:rPr/>
      </w:pPr>
      <w:r>
        <w:rPr>
          <w:rFonts w:eastAsia="Arial" w:cs="Arial"/>
          <w:b w:val="false"/>
          <w:bCs w:val="false"/>
          <w:sz w:val="22"/>
          <w:szCs w:val="22"/>
        </w:rPr>
        <w:t>* * *</w:t>
      </w:r>
    </w:p>
    <w:p>
      <w:pPr>
        <w:pStyle w:val="Normal"/>
        <w:spacing w:before="0" w:after="480"/>
        <w:jc w:val="both"/>
        <w:rPr/>
      </w:pPr>
      <w:r>
        <w:rPr>
          <w:rFonts w:eastAsia="Arial" w:cs="Arial"/>
          <w:i/>
          <w:iCs/>
          <w:sz w:val="20"/>
          <w:szCs w:val="20"/>
        </w:rPr>
        <w:t>Los presentes Estatutos Sociales han sido aprobados por los socios fundadores en el acto de constitución de la sociedad, y serán incorporados a la escritura pública de constitución otorgada ante Notario.</w:t>
      </w:r>
    </w:p>
    <w:p>
      <w:pPr>
        <w:pStyle w:val="Normal"/>
        <w:spacing w:before="0" w:after="720"/>
        <w:jc w:val="left"/>
        <w:rPr/>
      </w:pPr>
      <w:r>
        <w:rPr>
          <w:rFonts w:eastAsia="Arial" w:cs="Arial"/>
          <w:sz w:val="22"/>
          <w:szCs w:val="22"/>
        </w:rPr>
        <w:t>En ________________, a _____ de ______________ de 2026.</w:t>
      </w:r>
    </w:p>
    <w:p>
      <w:pPr>
        <w:pStyle w:val="Normal"/>
        <w:spacing w:before="0" w:after="80"/>
        <w:jc w:val="left"/>
        <w:rPr/>
      </w:pPr>
      <w:r>
        <w:rPr>
          <w:rFonts w:eastAsia="Arial" w:cs="Arial"/>
          <w:sz w:val="22"/>
          <w:szCs w:val="22"/>
        </w:rPr>
        <w:t>________________________________</w:t>
      </w:r>
    </w:p>
    <w:p>
      <w:pPr>
        <w:pStyle w:val="Normal"/>
        <w:spacing w:before="0" w:after="80"/>
        <w:jc w:val="left"/>
        <w:rPr/>
      </w:pPr>
      <w:r>
        <w:rPr>
          <w:rFonts w:eastAsia="Arial" w:cs="Arial"/>
          <w:sz w:val="22"/>
          <w:szCs w:val="22"/>
        </w:rPr>
        <w:t>D./Dª. [NOMBRE DEL SOCIO FUNDADOR]</w:t>
      </w:r>
    </w:p>
    <w:p>
      <w:pPr>
        <w:pStyle w:val="Normal"/>
        <w:spacing w:before="0" w:after="0"/>
        <w:jc w:val="left"/>
        <w:rPr/>
      </w:pPr>
      <w:r>
        <w:rPr>
          <w:rFonts w:eastAsia="Arial" w:cs="Arial"/>
          <w:sz w:val="22"/>
          <w:szCs w:val="22"/>
        </w:rPr>
        <w:t>NIF: [COMPLETAR]</w:t>
      </w:r>
    </w:p>
    <w:sectPr>
      <w:footerReference w:type="default" r:id="rId2"/>
      <w:type w:val="nextPage"/>
      <w:pgSz w:w="11906" w:h="16838"/>
      <w:pgMar w:left="180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Trabflow Technologies, S.L. — Estatutos Sociales — </w:t>
    </w:r>
    <w:r>
      <w:rPr/>
      <w:fldChar w:fldCharType="begin"/>
    </w:r>
    <w:r>
      <w:rPr/>
      <w:instrText xml:space="preserve"> PAGE </w:instrText>
    </w:r>
    <w:r>
      <w:rPr/>
      <w:fldChar w:fldCharType="separate"/>
    </w:r>
    <w:r>
      <w:rPr/>
      <w:t>12</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Ttulo1">
    <w:name w:val="Heading 1"/>
    <w:basedOn w:val="Ttulo"/>
    <w:qFormat/>
    <w:pPr>
      <w:spacing w:before="360" w:after="180"/>
      <w:jc w:val="center"/>
      <w:outlineLvl w:val="0"/>
    </w:pPr>
    <w:rPr>
      <w:rFonts w:ascii="Arial" w:hAnsi="Arial" w:eastAsia="Arial" w:cs="Arial"/>
      <w:b/>
      <w:bCs/>
      <w:sz w:val="28"/>
      <w:szCs w:val="28"/>
    </w:rPr>
  </w:style>
  <w:style w:type="paragraph" w:styleId="Ttulo2">
    <w:name w:val="Heading 2"/>
    <w:basedOn w:val="Ttulo"/>
    <w:qFormat/>
    <w:pPr>
      <w:spacing w:before="280" w:after="140"/>
      <w:outlineLvl w:val="1"/>
    </w:pPr>
    <w:rPr>
      <w:rFonts w:ascii="Arial" w:hAnsi="Arial" w:eastAsia="Arial" w:cs="Arial"/>
      <w:b/>
      <w:bCs/>
      <w:sz w:val="24"/>
      <w:szCs w:val="24"/>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Piedepgina">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LibreOffice/7.4.3.2$Windows_X86_64 LibreOffice_project/1048a8393ae2eeec98dff31b5c133c5f1d08b890</Application>
  <AppVersion>15.0000</AppVersion>
  <Pages>12</Pages>
  <Words>3244</Words>
  <Characters>19046</Characters>
  <CharactersWithSpaces>22179</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2026-06-01T19:14:31Z</dcterms:created>
  <dc:creator>Un-named</dc:creator>
  <dc:description/>
  <dc:language>es-ES</dc:language>
  <cp:lastModifiedBy/>
  <dcterms:modified xsi:type="dcterms:W3CDTF">2026-07-07T09:24:13Z</dcterms:modified>
  <cp:revision>2</cp:revision>
  <dc:subject/>
  <dc:title/>
</cp:coreProperties>
</file>