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rPr>
          <w:rFonts w:ascii="Arial" w:cs="Arial" w:eastAsia="Arial" w:hAnsi="Arial"/>
          <w:sz w:val="22"/>
          <w:szCs w:val="22"/>
        </w:rPr>
        <w:t xml:space="preserve"/>
      </w:r>
    </w:p>
    <w:p>
      <w:pPr>
        <w:spacing w:after="200" w:before="0"/>
        <w:jc w:val="center"/>
      </w:pPr>
      <w:r>
        <w:rPr>
          <w:rFonts w:ascii="Arial" w:cs="Arial" w:eastAsia="Arial" w:hAnsi="Arial"/>
          <w:b/>
          <w:bCs/>
          <w:sz w:val="40"/>
          <w:szCs w:val="40"/>
        </w:rPr>
        <w:t xml:space="preserve">ESTATUTOS SOCIALES</w:t>
      </w:r>
    </w:p>
    <w:p>
      <w:pPr>
        <w:spacing w:after="160" w:before="0"/>
        <w:jc w:val="center"/>
      </w:pPr>
      <w:r>
        <w:rPr>
          <w:rFonts w:ascii="Arial" w:cs="Arial" w:eastAsia="Arial" w:hAnsi="Arial"/>
          <w:b/>
          <w:bCs/>
          <w:sz w:val="30"/>
          <w:szCs w:val="30"/>
        </w:rPr>
        <w:t xml:space="preserve">TRABFLOW TECHNOLOGIES, SOCIEDAD LIMITADA</w:t>
      </w:r>
    </w:p>
    <w:p>
      <w:pPr>
        <w:spacing w:after="80" w:before="0"/>
        <w:jc w:val="center"/>
      </w:pPr>
      <w:r>
        <w:rPr>
          <w:rFonts w:ascii="Arial" w:cs="Arial" w:eastAsia="Arial" w:hAnsi="Arial"/>
          <w:i/>
          <w:iCs/>
          <w:sz w:val="22"/>
          <w:szCs w:val="22"/>
        </w:rPr>
        <w:t xml:space="preserve">Denominación reservada · Registro Mercantil Central</w:t>
      </w:r>
    </w:p>
    <w:p>
      <w:pPr>
        <w:spacing w:after="80" w:before="0"/>
        <w:jc w:val="center"/>
      </w:pPr>
      <w:r>
        <w:rPr>
          <w:rFonts w:ascii="Arial" w:cs="Arial" w:eastAsia="Arial" w:hAnsi="Arial"/>
          <w:i/>
          <w:iCs/>
          <w:sz w:val="18"/>
          <w:szCs w:val="18"/>
        </w:rPr>
        <w:t xml:space="preserve">Certificación n.º 26103817  ·  CSV: 12814001-INC-26103817-INR-38071240</w:t>
      </w:r>
    </w:p>
    <w:p>
      <w:pPr>
        <w:spacing w:after="0" w:before="200"/>
        <w:jc w:val="center"/>
      </w:pPr>
      <w:r>
        <w:rPr>
          <w:rFonts w:ascii="Arial" w:cs="Arial" w:eastAsia="Arial" w:hAnsi="Arial"/>
          <w:i/>
          <w:iCs/>
          <w:sz w:val="22"/>
          <w:szCs w:val="22"/>
        </w:rPr>
        <w:t xml:space="preserve">Madrid, junio de 2026</w:t>
      </w:r>
    </w:p>
    <w:p>
      <w:r>
        <w:br w:type="page"/>
      </w:r>
    </w:p>
    <w:p>
      <w:pPr>
        <w:pBdr>
          <w:bottom w:val="single" w:color="1A56A0" w:sz="6" w:space="4"/>
        </w:pBdr>
        <w:spacing w:after="200" w:before="400"/>
        <w:jc w:val="center"/>
      </w:pPr>
      <w:r>
        <w:rPr>
          <w:rFonts w:ascii="Arial" w:cs="Arial" w:eastAsia="Arial" w:hAnsi="Arial"/>
          <w:b/>
          <w:bCs/>
          <w:caps/>
          <w:sz w:val="26"/>
          <w:szCs w:val="26"/>
        </w:rPr>
        <w:t xml:space="preserve">Título I — Denominación, Objeto Social, Domicilio y Duración</w:t>
      </w:r>
    </w:p>
    <w:p>
      <w:pPr>
        <w:spacing w:after="100" w:before="260"/>
      </w:pPr>
      <w:r>
        <w:rPr>
          <w:rFonts w:ascii="Arial" w:cs="Arial" w:eastAsia="Arial" w:hAnsi="Arial"/>
          <w:b/>
          <w:bCs/>
          <w:sz w:val="22"/>
          <w:szCs w:val="22"/>
        </w:rPr>
        <w:t xml:space="preserve">Artículo 1. </w:t>
      </w:r>
      <w:r>
        <w:rPr>
          <w:rFonts w:ascii="Arial" w:cs="Arial" w:eastAsia="Arial" w:hAnsi="Arial"/>
          <w:b/>
          <w:bCs/>
          <w:sz w:val="22"/>
          <w:szCs w:val="22"/>
          <w:u w:val="single"/>
        </w:rPr>
        <w:t xml:space="preserve">Denominación</w:t>
      </w:r>
    </w:p>
    <w:p>
      <w:pPr>
        <w:spacing w:after="80" w:before="60"/>
        <w:jc w:val="both"/>
      </w:pPr>
      <w:r>
        <w:rPr>
          <w:rFonts w:ascii="Arial" w:cs="Arial" w:eastAsia="Arial" w:hAnsi="Arial"/>
          <w:sz w:val="22"/>
          <w:szCs w:val="22"/>
        </w:rPr>
        <w:t xml:space="preserve">La sociedad se denomina TRABFLOW TECHNOLOGIES, SOCIEDAD LIMITADA, y se regirá por la Ley de Sociedades de Capital (Real Decreto Legislativo 1/2010, de 2 de julio), por el Reglamento del Registro Mercantil, por los presentes Estatutos y, supletoriamente, por las demás normas mercantiles que le sean de aplicación.</w:t>
      </w:r>
    </w:p>
    <w:p>
      <w:pPr>
        <w:spacing w:after="100" w:before="260"/>
      </w:pPr>
      <w:r>
        <w:rPr>
          <w:rFonts w:ascii="Arial" w:cs="Arial" w:eastAsia="Arial" w:hAnsi="Arial"/>
          <w:b/>
          <w:bCs/>
          <w:sz w:val="22"/>
          <w:szCs w:val="22"/>
        </w:rPr>
        <w:t xml:space="preserve">Artículo 2. </w:t>
      </w:r>
      <w:r>
        <w:rPr>
          <w:rFonts w:ascii="Arial" w:cs="Arial" w:eastAsia="Arial" w:hAnsi="Arial"/>
          <w:b/>
          <w:bCs/>
          <w:sz w:val="22"/>
          <w:szCs w:val="22"/>
          <w:u w:val="single"/>
        </w:rPr>
        <w:t xml:space="preserve">Objeto Social</w:t>
      </w:r>
    </w:p>
    <w:p>
      <w:pPr>
        <w:spacing w:after="80" w:before="60"/>
        <w:jc w:val="both"/>
      </w:pPr>
      <w:r>
        <w:rPr>
          <w:rFonts w:ascii="Arial" w:cs="Arial" w:eastAsia="Arial" w:hAnsi="Arial"/>
          <w:sz w:val="22"/>
          <w:szCs w:val="22"/>
        </w:rPr>
        <w:t xml:space="preserve">Constituye el objeto social de la compañía, con carácter enunciativo y no limitativo, la realización de las siguientes actividades, tanto en España como en el extranjero, directamente o a través de sociedades participadas:</w:t>
      </w:r>
    </w:p>
    <w:p>
      <w:pPr>
        <w:pStyle w:val="ListParagraph"/>
        <w:numPr>
          <w:ilvl w:val="0"/>
          <w:numId w:val="2"/>
        </w:numPr>
        <w:spacing w:after="70" w:before="70"/>
        <w:jc w:val="both"/>
      </w:pPr>
      <w:r>
        <w:rPr>
          <w:rFonts w:ascii="Arial" w:cs="Arial" w:eastAsia="Arial" w:hAnsi="Arial"/>
          <w:sz w:val="22"/>
          <w:szCs w:val="22"/>
        </w:rPr>
        <w:t xml:space="preserve">El diseño, desarrollo, programación, explotación, comercialización, mantenimiento y prestación de servicios relacionados con software, aplicaciones móviles, plataformas web y soluciones SaaS (Software as a Service), PaaS (Platform as a Service) e IaaS (Infrastructure as a Service), dirigidas a empresas y profesionales de cualquier sector.</w:t>
      </w:r>
    </w:p>
    <w:p>
      <w:pPr>
        <w:pStyle w:val="ListParagraph"/>
        <w:numPr>
          <w:ilvl w:val="0"/>
          <w:numId w:val="2"/>
        </w:numPr>
        <w:spacing w:after="70" w:before="70"/>
        <w:jc w:val="both"/>
      </w:pPr>
      <w:r>
        <w:rPr>
          <w:rFonts w:ascii="Arial" w:cs="Arial" w:eastAsia="Arial" w:hAnsi="Arial"/>
          <w:sz w:val="22"/>
          <w:szCs w:val="22"/>
        </w:rPr>
        <w:t xml:space="preserve">El desarrollo y explotación de sistemas de inteligencia artificial, aprendizaje automático (machine learning), procesamiento del lenguaje natural, automatización de procesos, robótica de software (RPA) y analítica avanzada de datos, así como la prestación de servicios de consultoría tecnológica, transformación digital, integración de sistemas y soluciones cloud.</w:t>
      </w:r>
    </w:p>
    <w:p>
      <w:pPr>
        <w:pStyle w:val="ListParagraph"/>
        <w:numPr>
          <w:ilvl w:val="0"/>
          <w:numId w:val="2"/>
        </w:numPr>
        <w:spacing w:after="70" w:before="70"/>
        <w:jc w:val="both"/>
      </w:pPr>
      <w:r>
        <w:rPr>
          <w:rFonts w:ascii="Arial" w:cs="Arial" w:eastAsia="Arial" w:hAnsi="Arial"/>
          <w:sz w:val="22"/>
          <w:szCs w:val="22"/>
        </w:rPr>
        <w:t xml:space="preserve">La creación, adquisición, explotación, licenciamiento y cesión de derechos de propiedad intelectual e industrial relacionados con software, algoritmos, marcas, nombres comerciales, nombres de dominio, contenidos digitales y tecnología propia.</w:t>
      </w:r>
    </w:p>
    <w:p>
      <w:pPr>
        <w:pStyle w:val="ListParagraph"/>
        <w:numPr>
          <w:ilvl w:val="0"/>
          <w:numId w:val="2"/>
        </w:numPr>
        <w:spacing w:after="70" w:before="70"/>
        <w:jc w:val="both"/>
      </w:pPr>
      <w:r>
        <w:rPr>
          <w:rFonts w:ascii="Arial" w:cs="Arial" w:eastAsia="Arial" w:hAnsi="Arial"/>
          <w:sz w:val="22"/>
          <w:szCs w:val="22"/>
        </w:rPr>
        <w:t xml:space="preserve">La adquisición, tenencia, administración y enajenación de participaciones sociales, acciones y cuotas en sociedades de cualquier clase, actuando como sociedad holding de sus filiales y participadas, a las que podrá prestar servicios de dirección estratégica, gestión, administración, financiación y licenciamiento de tecnología y marca, así como percibir los dividendos, royalties y rendimientos derivados de dichas participaciones.</w:t>
      </w:r>
    </w:p>
    <w:p>
      <w:pPr>
        <w:pStyle w:val="ListParagraph"/>
        <w:numPr>
          <w:ilvl w:val="0"/>
          <w:numId w:val="2"/>
        </w:numPr>
        <w:spacing w:after="70" w:before="70"/>
        <w:jc w:val="both"/>
      </w:pPr>
      <w:r>
        <w:rPr>
          <w:rFonts w:ascii="Arial" w:cs="Arial" w:eastAsia="Arial" w:hAnsi="Arial"/>
          <w:sz w:val="22"/>
          <w:szCs w:val="22"/>
        </w:rPr>
        <w:t xml:space="preserve">Cualquier otra actividad de contenido tecnológico o digital que el órgano de administración considere complementaria o estratégicamente relacionada con las anteriores, con sujeción a la normativa que en cada caso resulte de aplicación.</w:t>
      </w:r>
    </w:p>
    <w:p>
      <w:pPr>
        <w:spacing w:after="80" w:before="60"/>
        <w:jc w:val="both"/>
      </w:pPr>
      <w:r>
        <w:rPr>
          <w:rFonts w:ascii="Arial" w:cs="Arial" w:eastAsia="Arial" w:hAnsi="Arial"/>
          <w:sz w:val="22"/>
          <w:szCs w:val="22"/>
        </w:rPr>
        <w:t xml:space="preserve">Las actividades que lo requieran serán ejercidas por profesionales con la titulación exigida por la ley y con las habilitaciones, licencias o autorizaciones administrativas necesarias. Quedan excluidas del objeto social aquellas actividades para cuyo ejercicio la ley exija requisitos especiales que no queden cumplidos por esta sociedad.</w:t>
      </w:r>
    </w:p>
    <w:p>
      <w:pPr>
        <w:spacing w:after="100" w:before="260"/>
      </w:pPr>
      <w:r>
        <w:rPr>
          <w:rFonts w:ascii="Arial" w:cs="Arial" w:eastAsia="Arial" w:hAnsi="Arial"/>
          <w:b/>
          <w:bCs/>
          <w:sz w:val="22"/>
          <w:szCs w:val="22"/>
        </w:rPr>
        <w:t xml:space="preserve">Artículo 3. </w:t>
      </w:r>
      <w:r>
        <w:rPr>
          <w:rFonts w:ascii="Arial" w:cs="Arial" w:eastAsia="Arial" w:hAnsi="Arial"/>
          <w:b/>
          <w:bCs/>
          <w:sz w:val="22"/>
          <w:szCs w:val="22"/>
          <w:u w:val="single"/>
        </w:rPr>
        <w:t xml:space="preserve">Domicilio Social</w:t>
      </w:r>
    </w:p>
    <w:p>
      <w:pPr>
        <w:spacing w:after="80" w:before="60"/>
        <w:jc w:val="both"/>
      </w:pPr>
      <w:r>
        <w:rPr>
          <w:rFonts w:ascii="Arial" w:cs="Arial" w:eastAsia="Arial" w:hAnsi="Arial"/>
          <w:sz w:val="22"/>
          <w:szCs w:val="22"/>
        </w:rPr>
        <w:t xml:space="preserve">El domicilio social se fija en Calle Gran Vía 18, 1.º Puerta 2.ª, 28220 Majadahonda, Madrid. El órgano de administración queda facultado para cambiar el domicilio social dentro del mismo término municipal y para abrir, trasladar o suprimir sucursales, delegaciones, agencias o representaciones en cualquier lugar del territorio nacional o extranjero, mediante el correspondiente acuerdo, sin necesidad de modificación estatutaria cuando el cambio sea dentro del mismo término municipal.</w:t>
      </w:r>
    </w:p>
    <w:p>
      <w:pPr>
        <w:spacing w:after="100" w:before="260"/>
      </w:pPr>
      <w:r>
        <w:rPr>
          <w:rFonts w:ascii="Arial" w:cs="Arial" w:eastAsia="Arial" w:hAnsi="Arial"/>
          <w:b/>
          <w:bCs/>
          <w:sz w:val="22"/>
          <w:szCs w:val="22"/>
        </w:rPr>
        <w:t xml:space="preserve">Artículo 4. </w:t>
      </w:r>
      <w:r>
        <w:rPr>
          <w:rFonts w:ascii="Arial" w:cs="Arial" w:eastAsia="Arial" w:hAnsi="Arial"/>
          <w:b/>
          <w:bCs/>
          <w:sz w:val="22"/>
          <w:szCs w:val="22"/>
          <w:u w:val="single"/>
        </w:rPr>
        <w:t xml:space="preserve">Duración</w:t>
      </w:r>
    </w:p>
    <w:p>
      <w:pPr>
        <w:spacing w:after="80" w:before="60"/>
        <w:jc w:val="both"/>
      </w:pPr>
      <w:r>
        <w:rPr>
          <w:rFonts w:ascii="Arial" w:cs="Arial" w:eastAsia="Arial" w:hAnsi="Arial"/>
          <w:sz w:val="22"/>
          <w:szCs w:val="22"/>
        </w:rPr>
        <w:t xml:space="preserve">La sociedad se constituye por tiempo indefinido, iniciando sus operaciones en la fecha de otorgamiento de la escritura de constitución.</w:t>
      </w:r>
    </w:p>
    <w:p>
      <w:r>
        <w:br w:type="page"/>
      </w:r>
    </w:p>
    <w:p>
      <w:pPr>
        <w:pBdr>
          <w:bottom w:val="single" w:color="1A56A0" w:sz="6" w:space="4"/>
        </w:pBdr>
        <w:spacing w:after="200" w:before="400"/>
        <w:jc w:val="center"/>
      </w:pPr>
      <w:r>
        <w:rPr>
          <w:rFonts w:ascii="Arial" w:cs="Arial" w:eastAsia="Arial" w:hAnsi="Arial"/>
          <w:b/>
          <w:bCs/>
          <w:caps/>
          <w:sz w:val="26"/>
          <w:szCs w:val="26"/>
        </w:rPr>
        <w:t xml:space="preserve">Título II — Capital Social y Participaciones</w:t>
      </w:r>
    </w:p>
    <w:p>
      <w:pPr>
        <w:spacing w:after="100" w:before="260"/>
      </w:pPr>
      <w:r>
        <w:rPr>
          <w:rFonts w:ascii="Arial" w:cs="Arial" w:eastAsia="Arial" w:hAnsi="Arial"/>
          <w:b/>
          <w:bCs/>
          <w:sz w:val="22"/>
          <w:szCs w:val="22"/>
        </w:rPr>
        <w:t xml:space="preserve">Artículo 5. </w:t>
      </w:r>
      <w:r>
        <w:rPr>
          <w:rFonts w:ascii="Arial" w:cs="Arial" w:eastAsia="Arial" w:hAnsi="Arial"/>
          <w:b/>
          <w:bCs/>
          <w:sz w:val="22"/>
          <w:szCs w:val="22"/>
          <w:u w:val="single"/>
        </w:rPr>
        <w:t xml:space="preserve">Capital Social</w:t>
      </w:r>
    </w:p>
    <w:p>
      <w:pPr>
        <w:spacing w:after="80" w:before="60"/>
        <w:jc w:val="both"/>
      </w:pPr>
      <w:r>
        <w:rPr>
          <w:rFonts w:ascii="Arial" w:cs="Arial" w:eastAsia="Arial" w:hAnsi="Arial"/>
          <w:sz w:val="22"/>
          <w:szCs w:val="22"/>
        </w:rPr>
        <w:t xml:space="preserve">El capital social se fija en [IMPORTE EN EUROS] euros, íntegramente suscrito y desembolsado, dividido en [NÚMERO] participaciones sociales, iguales, acumulables e indivisibles, de [VALOR NOMINAL] euros de valor nominal cada una, numeradas correlativamente del 1 al [NÚMERO], pertenecientes a:</w:t>
      </w:r>
    </w:p>
    <w:p>
      <w:pPr>
        <w:spacing w:after="80" w:before="60"/>
        <w:jc w:val="both"/>
      </w:pPr>
      <w:r>
        <w:rPr>
          <w:rFonts w:ascii="Arial" w:cs="Arial" w:eastAsia="Arial" w:hAnsi="Arial"/>
          <w:sz w:val="22"/>
          <w:szCs w:val="22"/>
        </w:rPr>
        <w:t xml:space="preserve">[NOMBRE SOCIO FUNDADOR]: [NÚMERO] participaciones (n.º 1 a n.º [NÚMERO]), que representan el 100 % del capital social.</w:t>
      </w:r>
    </w:p>
    <w:p>
      <w:pPr>
        <w:spacing w:after="100" w:before="260"/>
      </w:pPr>
      <w:r>
        <w:rPr>
          <w:rFonts w:ascii="Arial" w:cs="Arial" w:eastAsia="Arial" w:hAnsi="Arial"/>
          <w:b/>
          <w:bCs/>
          <w:sz w:val="22"/>
          <w:szCs w:val="22"/>
        </w:rPr>
        <w:t xml:space="preserve">Artículo 6. </w:t>
      </w:r>
      <w:r>
        <w:rPr>
          <w:rFonts w:ascii="Arial" w:cs="Arial" w:eastAsia="Arial" w:hAnsi="Arial"/>
          <w:b/>
          <w:bCs/>
          <w:sz w:val="22"/>
          <w:szCs w:val="22"/>
          <w:u w:val="single"/>
        </w:rPr>
        <w:t xml:space="preserve">Carácter de las Participaciones</w:t>
      </w:r>
    </w:p>
    <w:p>
      <w:pPr>
        <w:spacing w:after="80" w:before="60"/>
        <w:jc w:val="both"/>
      </w:pPr>
      <w:r>
        <w:rPr>
          <w:rFonts w:ascii="Arial" w:cs="Arial" w:eastAsia="Arial" w:hAnsi="Arial"/>
          <w:sz w:val="22"/>
          <w:szCs w:val="22"/>
        </w:rPr>
        <w:t xml:space="preserve">Las participaciones sociales no tendrán el carácter de valores mobiliarios, no podrán incorporarse a títulos negociables ni representarse mediante anotaciones en cuenta, y no podrán denominarse acciones. Sólo serán transmisibles con sujeción a lo establecido en la Ley de Sociedades de Capital y en los presentes Estatutos.</w:t>
      </w:r>
    </w:p>
    <w:p>
      <w:pPr>
        <w:spacing w:after="100" w:before="260"/>
      </w:pPr>
      <w:r>
        <w:rPr>
          <w:rFonts w:ascii="Arial" w:cs="Arial" w:eastAsia="Arial" w:hAnsi="Arial"/>
          <w:b/>
          <w:bCs/>
          <w:sz w:val="22"/>
          <w:szCs w:val="22"/>
        </w:rPr>
        <w:t xml:space="preserve">Artículo 7. </w:t>
      </w:r>
      <w:r>
        <w:rPr>
          <w:rFonts w:ascii="Arial" w:cs="Arial" w:eastAsia="Arial" w:hAnsi="Arial"/>
          <w:b/>
          <w:bCs/>
          <w:sz w:val="22"/>
          <w:szCs w:val="22"/>
          <w:u w:val="single"/>
        </w:rPr>
        <w:t xml:space="preserve">Transmisión de Participaciones</w:t>
      </w:r>
    </w:p>
    <w:p>
      <w:pPr>
        <w:spacing w:after="80" w:before="60"/>
        <w:jc w:val="both"/>
      </w:pPr>
      <w:r>
        <w:rPr>
          <w:rFonts w:ascii="Arial" w:cs="Arial" w:eastAsia="Arial" w:hAnsi="Arial"/>
          <w:sz w:val="22"/>
          <w:szCs w:val="22"/>
        </w:rPr>
        <w:t xml:space="preserve">La transmisión voluntaria de participaciones sociales por actos inter vivos, tanto a socios como a terceros, estará sujeta al consentimiento de la sociedad, expresado mediante acuerdo de la Junta General. En ningún caso procederá el ejercicio del derecho de adquisición preferente cuando la transmisión se realice a favor del cónyuge, descendiente o ascendiente del transmitente, o a favor de otra sociedad perteneciente al mismo grupo. La Junta General deberá resolver dentro de los tres meses siguientes a la fecha en que se hubiera comunicado a la sociedad el propósito de transmitir.</w:t>
      </w:r>
    </w:p>
    <w:p>
      <w:pPr>
        <w:spacing w:after="100" w:before="260"/>
      </w:pPr>
      <w:r>
        <w:rPr>
          <w:rFonts w:ascii="Arial" w:cs="Arial" w:eastAsia="Arial" w:hAnsi="Arial"/>
          <w:b/>
          <w:bCs/>
          <w:sz w:val="22"/>
          <w:szCs w:val="22"/>
        </w:rPr>
        <w:t xml:space="preserve">Artículo 8. </w:t>
      </w:r>
      <w:r>
        <w:rPr>
          <w:rFonts w:ascii="Arial" w:cs="Arial" w:eastAsia="Arial" w:hAnsi="Arial"/>
          <w:b/>
          <w:bCs/>
          <w:sz w:val="22"/>
          <w:szCs w:val="22"/>
          <w:u w:val="single"/>
        </w:rPr>
        <w:t xml:space="preserve">Derechos de los Socios</w:t>
      </w:r>
    </w:p>
    <w:p>
      <w:pPr>
        <w:spacing w:after="80" w:before="60"/>
        <w:jc w:val="both"/>
      </w:pPr>
      <w:r>
        <w:rPr>
          <w:rFonts w:ascii="Arial" w:cs="Arial" w:eastAsia="Arial" w:hAnsi="Arial"/>
          <w:sz w:val="22"/>
          <w:szCs w:val="22"/>
        </w:rPr>
        <w:t xml:space="preserve">Los socios tendrán, en proporción a sus participaciones, los siguientes derechos:</w:t>
      </w:r>
    </w:p>
    <w:p>
      <w:pPr>
        <w:pStyle w:val="ListParagraph"/>
        <w:numPr>
          <w:ilvl w:val="0"/>
          <w:numId w:val="2"/>
        </w:numPr>
        <w:spacing w:after="70" w:before="70"/>
        <w:jc w:val="both"/>
      </w:pPr>
      <w:r>
        <w:rPr>
          <w:rFonts w:ascii="Arial" w:cs="Arial" w:eastAsia="Arial" w:hAnsi="Arial"/>
          <w:sz w:val="22"/>
          <w:szCs w:val="22"/>
        </w:rPr>
        <w:t xml:space="preserve">Participar en el reparto de las ganancias sociales y en el patrimonio resultante de la liquidación.</w:t>
      </w:r>
    </w:p>
    <w:p>
      <w:pPr>
        <w:pStyle w:val="ListParagraph"/>
        <w:numPr>
          <w:ilvl w:val="0"/>
          <w:numId w:val="2"/>
        </w:numPr>
        <w:spacing w:after="70" w:before="70"/>
        <w:jc w:val="both"/>
      </w:pPr>
      <w:r>
        <w:rPr>
          <w:rFonts w:ascii="Arial" w:cs="Arial" w:eastAsia="Arial" w:hAnsi="Arial"/>
          <w:sz w:val="22"/>
          <w:szCs w:val="22"/>
        </w:rPr>
        <w:t xml:space="preserve">Asunción preferente en la creación de nuevas participaciones o en los aumentos de capital social.</w:t>
      </w:r>
    </w:p>
    <w:p>
      <w:pPr>
        <w:pStyle w:val="ListParagraph"/>
        <w:numPr>
          <w:ilvl w:val="0"/>
          <w:numId w:val="2"/>
        </w:numPr>
        <w:spacing w:after="70" w:before="70"/>
        <w:jc w:val="both"/>
      </w:pPr>
      <w:r>
        <w:rPr>
          <w:rFonts w:ascii="Arial" w:cs="Arial" w:eastAsia="Arial" w:hAnsi="Arial"/>
          <w:sz w:val="22"/>
          <w:szCs w:val="22"/>
        </w:rPr>
        <w:t xml:space="preserve">Asistir y votar en las Juntas Generales.</w:t>
      </w:r>
    </w:p>
    <w:p>
      <w:pPr>
        <w:pStyle w:val="ListParagraph"/>
        <w:numPr>
          <w:ilvl w:val="0"/>
          <w:numId w:val="2"/>
        </w:numPr>
        <w:spacing w:after="70" w:before="70"/>
        <w:jc w:val="both"/>
      </w:pPr>
      <w:r>
        <w:rPr>
          <w:rFonts w:ascii="Arial" w:cs="Arial" w:eastAsia="Arial" w:hAnsi="Arial"/>
          <w:sz w:val="22"/>
          <w:szCs w:val="22"/>
        </w:rPr>
        <w:t xml:space="preserve">Impugnar los acuerdos sociales.</w:t>
      </w:r>
    </w:p>
    <w:p>
      <w:pPr>
        <w:pStyle w:val="ListParagraph"/>
        <w:numPr>
          <w:ilvl w:val="0"/>
          <w:numId w:val="2"/>
        </w:numPr>
        <w:spacing w:after="70" w:before="70"/>
        <w:jc w:val="both"/>
      </w:pPr>
      <w:r>
        <w:rPr>
          <w:rFonts w:ascii="Arial" w:cs="Arial" w:eastAsia="Arial" w:hAnsi="Arial"/>
          <w:sz w:val="22"/>
          <w:szCs w:val="22"/>
        </w:rPr>
        <w:t xml:space="preserve">Ser informados sobre la marcha de la sociedad.</w:t>
      </w:r>
    </w:p>
    <w:p>
      <w:pPr>
        <w:pStyle w:val="ListParagraph"/>
        <w:numPr>
          <w:ilvl w:val="0"/>
          <w:numId w:val="2"/>
        </w:numPr>
        <w:spacing w:after="70" w:before="70"/>
        <w:jc w:val="both"/>
      </w:pPr>
      <w:r>
        <w:rPr>
          <w:rFonts w:ascii="Arial" w:cs="Arial" w:eastAsia="Arial" w:hAnsi="Arial"/>
          <w:sz w:val="22"/>
          <w:szCs w:val="22"/>
        </w:rPr>
        <w:t xml:space="preserve">Cualquier otro derecho reconocido por la ley o los presentes Estatutos.</w:t>
      </w:r>
    </w:p>
    <w:p>
      <w:r>
        <w:br w:type="page"/>
      </w:r>
    </w:p>
    <w:p>
      <w:pPr>
        <w:pBdr>
          <w:bottom w:val="single" w:color="1A56A0" w:sz="6" w:space="4"/>
        </w:pBdr>
        <w:spacing w:after="200" w:before="400"/>
        <w:jc w:val="center"/>
      </w:pPr>
      <w:r>
        <w:rPr>
          <w:rFonts w:ascii="Arial" w:cs="Arial" w:eastAsia="Arial" w:hAnsi="Arial"/>
          <w:b/>
          <w:bCs/>
          <w:caps/>
          <w:sz w:val="26"/>
          <w:szCs w:val="26"/>
        </w:rPr>
        <w:t xml:space="preserve">Título III — Órganos Sociales</w:t>
      </w:r>
    </w:p>
    <w:p>
      <w:pPr>
        <w:spacing w:after="140" w:before="300"/>
      </w:pPr>
      <w:r>
        <w:rPr>
          <w:rFonts w:ascii="Arial" w:cs="Arial" w:eastAsia="Arial" w:hAnsi="Arial"/>
          <w:b/>
          <w:bCs/>
          <w:sz w:val="24"/>
          <w:szCs w:val="24"/>
        </w:rPr>
        <w:t xml:space="preserve">Capítulo I — La Junta General</w:t>
      </w:r>
    </w:p>
    <w:p>
      <w:pPr>
        <w:spacing w:after="100" w:before="260"/>
      </w:pPr>
      <w:r>
        <w:rPr>
          <w:rFonts w:ascii="Arial" w:cs="Arial" w:eastAsia="Arial" w:hAnsi="Arial"/>
          <w:b/>
          <w:bCs/>
          <w:sz w:val="22"/>
          <w:szCs w:val="22"/>
        </w:rPr>
        <w:t xml:space="preserve">Artículo 9. </w:t>
      </w:r>
      <w:r>
        <w:rPr>
          <w:rFonts w:ascii="Arial" w:cs="Arial" w:eastAsia="Arial" w:hAnsi="Arial"/>
          <w:b/>
          <w:bCs/>
          <w:sz w:val="22"/>
          <w:szCs w:val="22"/>
          <w:u w:val="single"/>
        </w:rPr>
        <w:t xml:space="preserve">Junta General</w:t>
      </w:r>
    </w:p>
    <w:p>
      <w:pPr>
        <w:spacing w:after="80" w:before="60"/>
        <w:jc w:val="both"/>
      </w:pPr>
      <w:r>
        <w:rPr>
          <w:rFonts w:ascii="Arial" w:cs="Arial" w:eastAsia="Arial" w:hAnsi="Arial"/>
          <w:sz w:val="22"/>
          <w:szCs w:val="22"/>
        </w:rPr>
        <w:t xml:space="preserve">La Junta General, debidamente convocada, es el órgano soberano de la sociedad. Sus acuerdos, adoptados con las mayorías legales o estatutariamente previstas, obligan a todos los socios, incluidos los disidentes y los ausentes, sin perjuicio de los derechos de impugnación que la ley les reconoce.</w:t>
      </w:r>
    </w:p>
    <w:p>
      <w:pPr>
        <w:spacing w:after="100" w:before="260"/>
      </w:pPr>
      <w:r>
        <w:rPr>
          <w:rFonts w:ascii="Arial" w:cs="Arial" w:eastAsia="Arial" w:hAnsi="Arial"/>
          <w:b/>
          <w:bCs/>
          <w:sz w:val="22"/>
          <w:szCs w:val="22"/>
        </w:rPr>
        <w:t xml:space="preserve">Artículo 10. </w:t>
      </w:r>
      <w:r>
        <w:rPr>
          <w:rFonts w:ascii="Arial" w:cs="Arial" w:eastAsia="Arial" w:hAnsi="Arial"/>
          <w:b/>
          <w:bCs/>
          <w:sz w:val="22"/>
          <w:szCs w:val="22"/>
          <w:u w:val="single"/>
        </w:rPr>
        <w:t xml:space="preserve">Competencias de la Junta General</w:t>
      </w:r>
    </w:p>
    <w:p>
      <w:pPr>
        <w:spacing w:after="80" w:before="60"/>
        <w:jc w:val="both"/>
      </w:pPr>
      <w:r>
        <w:rPr>
          <w:rFonts w:ascii="Arial" w:cs="Arial" w:eastAsia="Arial" w:hAnsi="Arial"/>
          <w:sz w:val="22"/>
          <w:szCs w:val="22"/>
        </w:rPr>
        <w:t xml:space="preserve">Son competencia exclusiva de la Junta General:</w:t>
      </w:r>
    </w:p>
    <w:p>
      <w:pPr>
        <w:pStyle w:val="ListParagraph"/>
        <w:numPr>
          <w:ilvl w:val="0"/>
          <w:numId w:val="2"/>
        </w:numPr>
        <w:spacing w:after="70" w:before="70"/>
        <w:jc w:val="both"/>
      </w:pPr>
      <w:r>
        <w:rPr>
          <w:rFonts w:ascii="Arial" w:cs="Arial" w:eastAsia="Arial" w:hAnsi="Arial"/>
          <w:sz w:val="22"/>
          <w:szCs w:val="22"/>
        </w:rPr>
        <w:t xml:space="preserve">La aprobación de las cuentas anuales, la aplicación del resultado y la aprobación de la gestión social.</w:t>
      </w:r>
    </w:p>
    <w:p>
      <w:pPr>
        <w:pStyle w:val="ListParagraph"/>
        <w:numPr>
          <w:ilvl w:val="0"/>
          <w:numId w:val="2"/>
        </w:numPr>
        <w:spacing w:after="70" w:before="70"/>
        <w:jc w:val="both"/>
      </w:pPr>
      <w:r>
        <w:rPr>
          <w:rFonts w:ascii="Arial" w:cs="Arial" w:eastAsia="Arial" w:hAnsi="Arial"/>
          <w:sz w:val="22"/>
          <w:szCs w:val="22"/>
        </w:rPr>
        <w:t xml:space="preserve">El nombramiento y separación de los administradores, liquidadores y, en su caso, auditores de cuentas.</w:t>
      </w:r>
    </w:p>
    <w:p>
      <w:pPr>
        <w:pStyle w:val="ListParagraph"/>
        <w:numPr>
          <w:ilvl w:val="0"/>
          <w:numId w:val="2"/>
        </w:numPr>
        <w:spacing w:after="70" w:before="70"/>
        <w:jc w:val="both"/>
      </w:pPr>
      <w:r>
        <w:rPr>
          <w:rFonts w:ascii="Arial" w:cs="Arial" w:eastAsia="Arial" w:hAnsi="Arial"/>
          <w:sz w:val="22"/>
          <w:szCs w:val="22"/>
        </w:rPr>
        <w:t xml:space="preserve">La modificación de los Estatutos Sociales.</w:t>
      </w:r>
    </w:p>
    <w:p>
      <w:pPr>
        <w:pStyle w:val="ListParagraph"/>
        <w:numPr>
          <w:ilvl w:val="0"/>
          <w:numId w:val="2"/>
        </w:numPr>
        <w:spacing w:after="70" w:before="70"/>
        <w:jc w:val="both"/>
      </w:pPr>
      <w:r>
        <w:rPr>
          <w:rFonts w:ascii="Arial" w:cs="Arial" w:eastAsia="Arial" w:hAnsi="Arial"/>
          <w:sz w:val="22"/>
          <w:szCs w:val="22"/>
        </w:rPr>
        <w:t xml:space="preserve">El aumento y la reducción del capital social.</w:t>
      </w:r>
    </w:p>
    <w:p>
      <w:pPr>
        <w:pStyle w:val="ListParagraph"/>
        <w:numPr>
          <w:ilvl w:val="0"/>
          <w:numId w:val="2"/>
        </w:numPr>
        <w:spacing w:after="70" w:before="70"/>
        <w:jc w:val="both"/>
      </w:pPr>
      <w:r>
        <w:rPr>
          <w:rFonts w:ascii="Arial" w:cs="Arial" w:eastAsia="Arial" w:hAnsi="Arial"/>
          <w:sz w:val="22"/>
          <w:szCs w:val="22"/>
        </w:rPr>
        <w:t xml:space="preserve">La supresión o limitación del derecho de adquisición preferente.</w:t>
      </w:r>
    </w:p>
    <w:p>
      <w:pPr>
        <w:pStyle w:val="ListParagraph"/>
        <w:numPr>
          <w:ilvl w:val="0"/>
          <w:numId w:val="2"/>
        </w:numPr>
        <w:spacing w:after="70" w:before="70"/>
        <w:jc w:val="both"/>
      </w:pPr>
      <w:r>
        <w:rPr>
          <w:rFonts w:ascii="Arial" w:cs="Arial" w:eastAsia="Arial" w:hAnsi="Arial"/>
          <w:sz w:val="22"/>
          <w:szCs w:val="22"/>
        </w:rPr>
        <w:t xml:space="preserve">La transformación, fusión, escisión o cesión global de activo y pasivo y el traslado del domicilio al extranjero.</w:t>
      </w:r>
    </w:p>
    <w:p>
      <w:pPr>
        <w:pStyle w:val="ListParagraph"/>
        <w:numPr>
          <w:ilvl w:val="0"/>
          <w:numId w:val="2"/>
        </w:numPr>
        <w:spacing w:after="70" w:before="70"/>
        <w:jc w:val="both"/>
      </w:pPr>
      <w:r>
        <w:rPr>
          <w:rFonts w:ascii="Arial" w:cs="Arial" w:eastAsia="Arial" w:hAnsi="Arial"/>
          <w:sz w:val="22"/>
          <w:szCs w:val="22"/>
        </w:rPr>
        <w:t xml:space="preserve">La disolución de la sociedad.</w:t>
      </w:r>
    </w:p>
    <w:p>
      <w:pPr>
        <w:pStyle w:val="ListParagraph"/>
        <w:numPr>
          <w:ilvl w:val="0"/>
          <w:numId w:val="2"/>
        </w:numPr>
        <w:spacing w:after="70" w:before="70"/>
        <w:jc w:val="both"/>
      </w:pPr>
      <w:r>
        <w:rPr>
          <w:rFonts w:ascii="Arial" w:cs="Arial" w:eastAsia="Arial" w:hAnsi="Arial"/>
          <w:sz w:val="22"/>
          <w:szCs w:val="22"/>
        </w:rPr>
        <w:t xml:space="preserve">La aprobación del balance final de liquidación.</w:t>
      </w:r>
    </w:p>
    <w:p>
      <w:pPr>
        <w:pStyle w:val="ListParagraph"/>
        <w:numPr>
          <w:ilvl w:val="0"/>
          <w:numId w:val="2"/>
        </w:numPr>
        <w:spacing w:after="70" w:before="70"/>
        <w:jc w:val="both"/>
      </w:pPr>
      <w:r>
        <w:rPr>
          <w:rFonts w:ascii="Arial" w:cs="Arial" w:eastAsia="Arial" w:hAnsi="Arial"/>
          <w:sz w:val="22"/>
          <w:szCs w:val="22"/>
        </w:rPr>
        <w:t xml:space="preserve">Cualquier asunto que el órgano de administración o los socios que representen al menos el cinco por ciento del capital social sometan a su deliberación y votación.</w:t>
      </w:r>
    </w:p>
    <w:p>
      <w:pPr>
        <w:spacing w:after="100" w:before="260"/>
      </w:pPr>
      <w:r>
        <w:rPr>
          <w:rFonts w:ascii="Arial" w:cs="Arial" w:eastAsia="Arial" w:hAnsi="Arial"/>
          <w:b/>
          <w:bCs/>
          <w:sz w:val="22"/>
          <w:szCs w:val="22"/>
        </w:rPr>
        <w:t xml:space="preserve">Artículo 11. </w:t>
      </w:r>
      <w:r>
        <w:rPr>
          <w:rFonts w:ascii="Arial" w:cs="Arial" w:eastAsia="Arial" w:hAnsi="Arial"/>
          <w:b/>
          <w:bCs/>
          <w:sz w:val="22"/>
          <w:szCs w:val="22"/>
          <w:u w:val="single"/>
        </w:rPr>
        <w:t xml:space="preserve">Convocatoria de la Junta General</w:t>
      </w:r>
    </w:p>
    <w:p>
      <w:pPr>
        <w:spacing w:after="80" w:before="60"/>
        <w:jc w:val="both"/>
      </w:pPr>
      <w:r>
        <w:rPr>
          <w:rFonts w:ascii="Arial" w:cs="Arial" w:eastAsia="Arial" w:hAnsi="Arial"/>
          <w:sz w:val="22"/>
          <w:szCs w:val="22"/>
        </w:rPr>
        <w:t xml:space="preserve">La Junta General será convocada por el órgano de administración mediante comunicación individual y escrita a cada uno de los socios, dirigida al domicilio designado al efecto o, si consta en el Libro de socios, mediante comunicación remitida a la dirección de correo electrónico que el socio haya designado. La convocatoria deberá expresar el orden del día e indicará el lugar y fecha de la reunión, con una antelación mínima de quince días a la fecha prevista para la celebración.</w:t>
      </w:r>
    </w:p>
    <w:p>
      <w:pPr>
        <w:spacing w:after="100" w:before="260"/>
      </w:pPr>
      <w:r>
        <w:rPr>
          <w:rFonts w:ascii="Arial" w:cs="Arial" w:eastAsia="Arial" w:hAnsi="Arial"/>
          <w:b/>
          <w:bCs/>
          <w:sz w:val="22"/>
          <w:szCs w:val="22"/>
        </w:rPr>
        <w:t xml:space="preserve">Artículo 12. </w:t>
      </w:r>
      <w:r>
        <w:rPr>
          <w:rFonts w:ascii="Arial" w:cs="Arial" w:eastAsia="Arial" w:hAnsi="Arial"/>
          <w:b/>
          <w:bCs/>
          <w:sz w:val="22"/>
          <w:szCs w:val="22"/>
          <w:u w:val="single"/>
        </w:rPr>
        <w:t xml:space="preserve">Junta Universal</w:t>
      </w:r>
    </w:p>
    <w:p>
      <w:pPr>
        <w:spacing w:after="80" w:before="60"/>
        <w:jc w:val="both"/>
      </w:pPr>
      <w:r>
        <w:rPr>
          <w:rFonts w:ascii="Arial" w:cs="Arial" w:eastAsia="Arial" w:hAnsi="Arial"/>
          <w:sz w:val="22"/>
          <w:szCs w:val="22"/>
        </w:rPr>
        <w:t xml:space="preserve">La Junta General quedará válidamente constituida para tratar cualquier asunto, sin necesidad de previa convocatoria, siempre que esté presente o representada la totalidad del capital social y los concurrentes acepten por unanimidad la celebración de la reunión y el orden del día de la misma.</w:t>
      </w:r>
    </w:p>
    <w:p>
      <w:pPr>
        <w:spacing w:after="100" w:before="260"/>
      </w:pPr>
      <w:r>
        <w:rPr>
          <w:rFonts w:ascii="Arial" w:cs="Arial" w:eastAsia="Arial" w:hAnsi="Arial"/>
          <w:b/>
          <w:bCs/>
          <w:sz w:val="22"/>
          <w:szCs w:val="22"/>
        </w:rPr>
        <w:t xml:space="preserve">Artículo 13. </w:t>
      </w:r>
      <w:r>
        <w:rPr>
          <w:rFonts w:ascii="Arial" w:cs="Arial" w:eastAsia="Arial" w:hAnsi="Arial"/>
          <w:b/>
          <w:bCs/>
          <w:sz w:val="22"/>
          <w:szCs w:val="22"/>
          <w:u w:val="single"/>
        </w:rPr>
        <w:t xml:space="preserve">Quórums y Mayorías</w:t>
      </w:r>
    </w:p>
    <w:p>
      <w:pPr>
        <w:spacing w:after="80" w:before="60"/>
        <w:jc w:val="both"/>
      </w:pPr>
      <w:r>
        <w:rPr>
          <w:rFonts w:ascii="Arial" w:cs="Arial" w:eastAsia="Arial" w:hAnsi="Arial"/>
          <w:sz w:val="22"/>
          <w:szCs w:val="22"/>
        </w:rPr>
        <w:t xml:space="preserve">Los acuerdos sociales se adoptarán por mayoría ordinaria de los votos válidamente emitidos, siempre que representen al menos un tercio de los votos correspondientes a las participaciones sociales en que se divida el capital social. Los acuerdos de modificación de estatutos, aumento o reducción de capital, transformación, fusión, escisión y disolución requerirán el voto favorable de más de la mitad de los votos correspondientes a las participaciones en que se divida el capital social.</w:t>
      </w:r>
    </w:p>
    <w:p>
      <w:pPr>
        <w:spacing w:after="140" w:before="300"/>
      </w:pPr>
      <w:r>
        <w:rPr>
          <w:rFonts w:ascii="Arial" w:cs="Arial" w:eastAsia="Arial" w:hAnsi="Arial"/>
          <w:b/>
          <w:bCs/>
          <w:sz w:val="24"/>
          <w:szCs w:val="24"/>
        </w:rPr>
        <w:t xml:space="preserve">Capítulo II — Órgano de Administración</w:t>
      </w:r>
    </w:p>
    <w:p>
      <w:pPr>
        <w:spacing w:after="100" w:before="260"/>
      </w:pPr>
      <w:r>
        <w:rPr>
          <w:rFonts w:ascii="Arial" w:cs="Arial" w:eastAsia="Arial" w:hAnsi="Arial"/>
          <w:b/>
          <w:bCs/>
          <w:sz w:val="22"/>
          <w:szCs w:val="22"/>
        </w:rPr>
        <w:t xml:space="preserve">Artículo 14. </w:t>
      </w:r>
      <w:r>
        <w:rPr>
          <w:rFonts w:ascii="Arial" w:cs="Arial" w:eastAsia="Arial" w:hAnsi="Arial"/>
          <w:b/>
          <w:bCs/>
          <w:sz w:val="22"/>
          <w:szCs w:val="22"/>
          <w:u w:val="single"/>
        </w:rPr>
        <w:t xml:space="preserve">Estructura del Órgano de Administración</w:t>
      </w:r>
    </w:p>
    <w:p>
      <w:pPr>
        <w:spacing w:after="80" w:before="60"/>
        <w:jc w:val="both"/>
      </w:pPr>
      <w:r>
        <w:rPr>
          <w:rFonts w:ascii="Arial" w:cs="Arial" w:eastAsia="Arial" w:hAnsi="Arial"/>
          <w:sz w:val="22"/>
          <w:szCs w:val="22"/>
        </w:rPr>
        <w:t xml:space="preserve">La sociedad será administrada por un Administrador Único, por varios Administradores solidarios o mancomunados, o por un Consejo de Administración, según decida la Junta General en cada momento. La Junta General determinará la estructura concreta del órgano de administración en cada nombramiento, sin que sea necesaria la modificación estatutaria para cambiar de una forma de administración a otra.</w:t>
      </w:r>
    </w:p>
    <w:p>
      <w:pPr>
        <w:spacing w:after="100" w:before="260"/>
      </w:pPr>
      <w:r>
        <w:rPr>
          <w:rFonts w:ascii="Arial" w:cs="Arial" w:eastAsia="Arial" w:hAnsi="Arial"/>
          <w:b/>
          <w:bCs/>
          <w:sz w:val="22"/>
          <w:szCs w:val="22"/>
        </w:rPr>
        <w:t xml:space="preserve">Artículo 15. </w:t>
      </w:r>
      <w:r>
        <w:rPr>
          <w:rFonts w:ascii="Arial" w:cs="Arial" w:eastAsia="Arial" w:hAnsi="Arial"/>
          <w:b/>
          <w:bCs/>
          <w:sz w:val="22"/>
          <w:szCs w:val="22"/>
          <w:u w:val="single"/>
        </w:rPr>
        <w:t xml:space="preserve">Nombramiento y Duración del Cargo</w:t>
      </w:r>
    </w:p>
    <w:p>
      <w:pPr>
        <w:spacing w:after="80" w:before="60"/>
        <w:jc w:val="both"/>
      </w:pPr>
      <w:r>
        <w:rPr>
          <w:rFonts w:ascii="Arial" w:cs="Arial" w:eastAsia="Arial" w:hAnsi="Arial"/>
          <w:sz w:val="22"/>
          <w:szCs w:val="22"/>
        </w:rPr>
        <w:t xml:space="preserve">Los administradores serán nombrados por la Junta General, que también podrá separarlos libremente en cualquier momento, aunque la separación no conste en el orden del día. Los administradores ejercerán su cargo por tiempo indefinido, salvo que la Junta General acuerde en el nombramiento un plazo determinado. El cargo de administrador será retribuido o gratuito según acuerde la Junta General.</w:t>
      </w:r>
    </w:p>
    <w:p>
      <w:pPr>
        <w:spacing w:after="100" w:before="260"/>
      </w:pPr>
      <w:r>
        <w:rPr>
          <w:rFonts w:ascii="Arial" w:cs="Arial" w:eastAsia="Arial" w:hAnsi="Arial"/>
          <w:b/>
          <w:bCs/>
          <w:sz w:val="22"/>
          <w:szCs w:val="22"/>
        </w:rPr>
        <w:t xml:space="preserve">Artículo 16. </w:t>
      </w:r>
      <w:r>
        <w:rPr>
          <w:rFonts w:ascii="Arial" w:cs="Arial" w:eastAsia="Arial" w:hAnsi="Arial"/>
          <w:b/>
          <w:bCs/>
          <w:sz w:val="22"/>
          <w:szCs w:val="22"/>
          <w:u w:val="single"/>
        </w:rPr>
        <w:t xml:space="preserve">Facultades del Órgano de Administración</w:t>
      </w:r>
    </w:p>
    <w:p>
      <w:pPr>
        <w:spacing w:after="80" w:before="60"/>
        <w:jc w:val="both"/>
      </w:pPr>
      <w:r>
        <w:rPr>
          <w:rFonts w:ascii="Arial" w:cs="Arial" w:eastAsia="Arial" w:hAnsi="Arial"/>
          <w:sz w:val="22"/>
          <w:szCs w:val="22"/>
        </w:rPr>
        <w:t xml:space="preserve">El órgano de administración ostenta la representación de la sociedad en juicio y fuera de él, y tiene plenas facultades de actuación en nombre de la sociedad para todos los actos comprendidos en el objeto social, con las limitaciones establecidas por la ley y los presentes estatutos. En particular, podrá:</w:t>
      </w:r>
    </w:p>
    <w:p>
      <w:pPr>
        <w:pStyle w:val="ListParagraph"/>
        <w:numPr>
          <w:ilvl w:val="0"/>
          <w:numId w:val="2"/>
        </w:numPr>
        <w:spacing w:after="70" w:before="70"/>
        <w:jc w:val="both"/>
      </w:pPr>
      <w:r>
        <w:rPr>
          <w:rFonts w:ascii="Arial" w:cs="Arial" w:eastAsia="Arial" w:hAnsi="Arial"/>
          <w:sz w:val="22"/>
          <w:szCs w:val="22"/>
        </w:rPr>
        <w:t xml:space="preserve">Adquirir, enajenar, gravar y en general disponer de toda clase de bienes inmuebles, muebles y derechos, incluyendo participaciones en otras sociedades.</w:t>
      </w:r>
    </w:p>
    <w:p>
      <w:pPr>
        <w:pStyle w:val="ListParagraph"/>
        <w:numPr>
          <w:ilvl w:val="0"/>
          <w:numId w:val="2"/>
        </w:numPr>
        <w:spacing w:after="70" w:before="70"/>
        <w:jc w:val="both"/>
      </w:pPr>
      <w:r>
        <w:rPr>
          <w:rFonts w:ascii="Arial" w:cs="Arial" w:eastAsia="Arial" w:hAnsi="Arial"/>
          <w:sz w:val="22"/>
          <w:szCs w:val="22"/>
        </w:rPr>
        <w:t xml:space="preserve">Suscribir contratos de cualquier naturaleza, conceder y recibir préstamos y créditos, abrir y cancelar cuentas bancarias.</w:t>
      </w:r>
    </w:p>
    <w:p>
      <w:pPr>
        <w:pStyle w:val="ListParagraph"/>
        <w:numPr>
          <w:ilvl w:val="0"/>
          <w:numId w:val="2"/>
        </w:numPr>
        <w:spacing w:after="70" w:before="70"/>
        <w:jc w:val="both"/>
      </w:pPr>
      <w:r>
        <w:rPr>
          <w:rFonts w:ascii="Arial" w:cs="Arial" w:eastAsia="Arial" w:hAnsi="Arial"/>
          <w:sz w:val="22"/>
          <w:szCs w:val="22"/>
        </w:rPr>
        <w:t xml:space="preserve">Delegar sus facultades en apoderados generales o especiales, revocar dichos poderes y contratar personal.</w:t>
      </w:r>
    </w:p>
    <w:p>
      <w:pPr>
        <w:pStyle w:val="ListParagraph"/>
        <w:numPr>
          <w:ilvl w:val="0"/>
          <w:numId w:val="2"/>
        </w:numPr>
        <w:spacing w:after="70" w:before="70"/>
        <w:jc w:val="both"/>
      </w:pPr>
      <w:r>
        <w:rPr>
          <w:rFonts w:ascii="Arial" w:cs="Arial" w:eastAsia="Arial" w:hAnsi="Arial"/>
          <w:sz w:val="22"/>
          <w:szCs w:val="22"/>
        </w:rPr>
        <w:t xml:space="preserve">Decidir la creación, supresión y traslado de sucursales, delegaciones y oficinas dentro y fuera de España.</w:t>
      </w:r>
    </w:p>
    <w:p>
      <w:pPr>
        <w:pStyle w:val="ListParagraph"/>
        <w:numPr>
          <w:ilvl w:val="0"/>
          <w:numId w:val="2"/>
        </w:numPr>
        <w:spacing w:after="70" w:before="70"/>
        <w:jc w:val="both"/>
      </w:pPr>
      <w:r>
        <w:rPr>
          <w:rFonts w:ascii="Arial" w:cs="Arial" w:eastAsia="Arial" w:hAnsi="Arial"/>
          <w:sz w:val="22"/>
          <w:szCs w:val="22"/>
        </w:rPr>
        <w:t xml:space="preserve">Aprobar el presupuesto anual, el plan de negocio y las políticas de la sociedad.</w:t>
      </w:r>
    </w:p>
    <w:p>
      <w:pPr>
        <w:pStyle w:val="ListParagraph"/>
        <w:numPr>
          <w:ilvl w:val="0"/>
          <w:numId w:val="2"/>
        </w:numPr>
        <w:spacing w:after="70" w:before="70"/>
        <w:jc w:val="both"/>
      </w:pPr>
      <w:r>
        <w:rPr>
          <w:rFonts w:ascii="Arial" w:cs="Arial" w:eastAsia="Arial" w:hAnsi="Arial"/>
          <w:sz w:val="22"/>
          <w:szCs w:val="22"/>
        </w:rPr>
        <w:t xml:space="preserve">Establecer la política de remuneración del personal, incluyendo planes de opciones sobre participaciones y planes de participación en beneficios.</w:t>
      </w:r>
    </w:p>
    <w:p>
      <w:pPr>
        <w:pStyle w:val="ListParagraph"/>
        <w:numPr>
          <w:ilvl w:val="0"/>
          <w:numId w:val="2"/>
        </w:numPr>
        <w:spacing w:after="70" w:before="70"/>
        <w:jc w:val="both"/>
      </w:pPr>
      <w:r>
        <w:rPr>
          <w:rFonts w:ascii="Arial" w:cs="Arial" w:eastAsia="Arial" w:hAnsi="Arial"/>
          <w:sz w:val="22"/>
          <w:szCs w:val="22"/>
        </w:rPr>
        <w:t xml:space="preserve">Acordar participar en concursos, licitaciones, subastas y concursos públicos y privados.</w:t>
      </w:r>
    </w:p>
    <w:p>
      <w:r>
        <w:br w:type="page"/>
      </w:r>
    </w:p>
    <w:p>
      <w:pPr>
        <w:pBdr>
          <w:bottom w:val="single" w:color="1A56A0" w:sz="6" w:space="4"/>
        </w:pBdr>
        <w:spacing w:after="200" w:before="400"/>
        <w:jc w:val="center"/>
      </w:pPr>
      <w:r>
        <w:rPr>
          <w:rFonts w:ascii="Arial" w:cs="Arial" w:eastAsia="Arial" w:hAnsi="Arial"/>
          <w:b/>
          <w:bCs/>
          <w:caps/>
          <w:sz w:val="26"/>
          <w:szCs w:val="26"/>
        </w:rPr>
        <w:t xml:space="preserve">Título IV — Ejercicio Social, Cuentas Anuales y Beneficios</w:t>
      </w:r>
    </w:p>
    <w:p>
      <w:pPr>
        <w:spacing w:after="100" w:before="260"/>
      </w:pPr>
      <w:r>
        <w:rPr>
          <w:rFonts w:ascii="Arial" w:cs="Arial" w:eastAsia="Arial" w:hAnsi="Arial"/>
          <w:b/>
          <w:bCs/>
          <w:sz w:val="22"/>
          <w:szCs w:val="22"/>
        </w:rPr>
        <w:t xml:space="preserve">Artículo 17. </w:t>
      </w:r>
      <w:r>
        <w:rPr>
          <w:rFonts w:ascii="Arial" w:cs="Arial" w:eastAsia="Arial" w:hAnsi="Arial"/>
          <w:b/>
          <w:bCs/>
          <w:sz w:val="22"/>
          <w:szCs w:val="22"/>
          <w:u w:val="single"/>
        </w:rPr>
        <w:t xml:space="preserve">Ejercicio Social</w:t>
      </w:r>
    </w:p>
    <w:p>
      <w:pPr>
        <w:spacing w:after="80" w:before="60"/>
        <w:jc w:val="both"/>
      </w:pPr>
      <w:r>
        <w:rPr>
          <w:rFonts w:ascii="Arial" w:cs="Arial" w:eastAsia="Arial" w:hAnsi="Arial"/>
          <w:sz w:val="22"/>
          <w:szCs w:val="22"/>
        </w:rPr>
        <w:t xml:space="preserve">El ejercicio social comenzará el 1 de enero y terminará el 31 de diciembre de cada año. El primer ejercicio social comenzará en la fecha de otorgamiento de la escritura de constitución y terminará el 31 de diciembre del mismo año.</w:t>
      </w:r>
    </w:p>
    <w:p>
      <w:pPr>
        <w:spacing w:after="100" w:before="260"/>
      </w:pPr>
      <w:r>
        <w:rPr>
          <w:rFonts w:ascii="Arial" w:cs="Arial" w:eastAsia="Arial" w:hAnsi="Arial"/>
          <w:b/>
          <w:bCs/>
          <w:sz w:val="22"/>
          <w:szCs w:val="22"/>
        </w:rPr>
        <w:t xml:space="preserve">Artículo 18. </w:t>
      </w:r>
      <w:r>
        <w:rPr>
          <w:rFonts w:ascii="Arial" w:cs="Arial" w:eastAsia="Arial" w:hAnsi="Arial"/>
          <w:b/>
          <w:bCs/>
          <w:sz w:val="22"/>
          <w:szCs w:val="22"/>
          <w:u w:val="single"/>
        </w:rPr>
        <w:t xml:space="preserve">Cuentas Anuales</w:t>
      </w:r>
    </w:p>
    <w:p>
      <w:pPr>
        <w:spacing w:after="80" w:before="60"/>
        <w:jc w:val="both"/>
      </w:pPr>
      <w:r>
        <w:rPr>
          <w:rFonts w:ascii="Arial" w:cs="Arial" w:eastAsia="Arial" w:hAnsi="Arial"/>
          <w:sz w:val="22"/>
          <w:szCs w:val="22"/>
        </w:rPr>
        <w:t xml:space="preserve">Al cierre de cada ejercicio social, el órgano de administración formulará las cuentas anuales, el informe de gestión y la propuesta de aplicación del resultado, conforme a lo establecido en la Ley de Sociedades de Capital y el Plan General de Contabilidad. Las cuentas anuales comprenderán el balance, la cuenta de pérdidas y ganancias, el estado de cambios en el patrimonio neto, el estado de flujos de efectivo y la memoria.</w:t>
      </w:r>
    </w:p>
    <w:p>
      <w:pPr>
        <w:spacing w:after="100" w:before="260"/>
      </w:pPr>
      <w:r>
        <w:rPr>
          <w:rFonts w:ascii="Arial" w:cs="Arial" w:eastAsia="Arial" w:hAnsi="Arial"/>
          <w:b/>
          <w:bCs/>
          <w:sz w:val="22"/>
          <w:szCs w:val="22"/>
        </w:rPr>
        <w:t xml:space="preserve">Artículo 19. </w:t>
      </w:r>
      <w:r>
        <w:rPr>
          <w:rFonts w:ascii="Arial" w:cs="Arial" w:eastAsia="Arial" w:hAnsi="Arial"/>
          <w:b/>
          <w:bCs/>
          <w:sz w:val="22"/>
          <w:szCs w:val="22"/>
          <w:u w:val="single"/>
        </w:rPr>
        <w:t xml:space="preserve">Distribución de Beneficios y Reservas</w:t>
      </w:r>
    </w:p>
    <w:p>
      <w:pPr>
        <w:spacing w:after="80" w:before="60"/>
        <w:jc w:val="both"/>
      </w:pPr>
      <w:r>
        <w:rPr>
          <w:rFonts w:ascii="Arial" w:cs="Arial" w:eastAsia="Arial" w:hAnsi="Arial"/>
          <w:sz w:val="22"/>
          <w:szCs w:val="22"/>
        </w:rPr>
        <w:t xml:space="preserve">De los beneficios obtenidos en cada ejercicio se deducirán las pérdidas de ejercicios anteriores y la cantidad necesaria para dotar la reserva legal en la cuantía establecida por la ley. El saldo restante podrá distribuirse entre los socios en proporción a su participación en el capital social, o bien destinarse a reservas voluntarias, según acuerdo de la Junta General. La Junta General podrá acordar la distribución de dividendos a cuenta del ejercicio en curso dentro de los límites establecidos por la ley.</w:t>
      </w:r>
    </w:p>
    <w:p>
      <w:r>
        <w:br w:type="page"/>
      </w:r>
    </w:p>
    <w:p>
      <w:pPr>
        <w:pBdr>
          <w:bottom w:val="single" w:color="1A56A0" w:sz="6" w:space="4"/>
        </w:pBdr>
        <w:spacing w:after="200" w:before="400"/>
        <w:jc w:val="center"/>
      </w:pPr>
      <w:r>
        <w:rPr>
          <w:rFonts w:ascii="Arial" w:cs="Arial" w:eastAsia="Arial" w:hAnsi="Arial"/>
          <w:b/>
          <w:bCs/>
          <w:caps/>
          <w:sz w:val="26"/>
          <w:szCs w:val="26"/>
        </w:rPr>
        <w:t xml:space="preserve">Título V — Financiación, Inversores y Estructura Holding</w:t>
      </w:r>
    </w:p>
    <w:p>
      <w:pPr>
        <w:spacing w:after="100" w:before="260"/>
      </w:pPr>
      <w:r>
        <w:rPr>
          <w:rFonts w:ascii="Arial" w:cs="Arial" w:eastAsia="Arial" w:hAnsi="Arial"/>
          <w:b/>
          <w:bCs/>
          <w:sz w:val="22"/>
          <w:szCs w:val="22"/>
        </w:rPr>
        <w:t xml:space="preserve">Artículo 20. </w:t>
      </w:r>
      <w:r>
        <w:rPr>
          <w:rFonts w:ascii="Arial" w:cs="Arial" w:eastAsia="Arial" w:hAnsi="Arial"/>
          <w:b/>
          <w:bCs/>
          <w:sz w:val="22"/>
          <w:szCs w:val="22"/>
          <w:u w:val="single"/>
        </w:rPr>
        <w:t xml:space="preserve">Ampliaciones de Capital</w:t>
      </w:r>
    </w:p>
    <w:p>
      <w:pPr>
        <w:spacing w:after="80" w:before="60"/>
        <w:jc w:val="both"/>
      </w:pPr>
      <w:r>
        <w:rPr>
          <w:rFonts w:ascii="Arial" w:cs="Arial" w:eastAsia="Arial" w:hAnsi="Arial"/>
          <w:sz w:val="22"/>
          <w:szCs w:val="22"/>
        </w:rPr>
        <w:t xml:space="preserve">La Junta General podrá acordar aumentos de capital social mediante la emisión de nuevas participaciones sociales o el incremento del valor nominal de las existentes, con cargo a nuevas aportaciones dinerarias o no dinerarias, o con cargo a reservas o beneficios. En los aumentos de capital con desembolso dinerario, los socios existentes gozarán del derecho de asunción preferente en proporción a sus participaciones, salvo que la Junta General acuerde suprimir o limitar dicho derecho por razones justificadas.</w:t>
      </w:r>
    </w:p>
    <w:p>
      <w:pPr>
        <w:spacing w:after="100" w:before="260"/>
      </w:pPr>
      <w:r>
        <w:rPr>
          <w:rFonts w:ascii="Arial" w:cs="Arial" w:eastAsia="Arial" w:hAnsi="Arial"/>
          <w:b/>
          <w:bCs/>
          <w:sz w:val="22"/>
          <w:szCs w:val="22"/>
        </w:rPr>
        <w:t xml:space="preserve">Artículo 21. </w:t>
      </w:r>
      <w:r>
        <w:rPr>
          <w:rFonts w:ascii="Arial" w:cs="Arial" w:eastAsia="Arial" w:hAnsi="Arial"/>
          <w:b/>
          <w:bCs/>
          <w:sz w:val="22"/>
          <w:szCs w:val="22"/>
          <w:u w:val="single"/>
        </w:rPr>
        <w:t xml:space="preserve">Admisión de Inversores Externos</w:t>
      </w:r>
    </w:p>
    <w:p>
      <w:pPr>
        <w:spacing w:after="80" w:before="60"/>
        <w:jc w:val="both"/>
      </w:pPr>
      <w:r>
        <w:rPr>
          <w:rFonts w:ascii="Arial" w:cs="Arial" w:eastAsia="Arial" w:hAnsi="Arial"/>
          <w:sz w:val="22"/>
          <w:szCs w:val="22"/>
        </w:rPr>
        <w:t xml:space="preserve">La sociedad podrá admitir inversores externos, tanto personas físicas como jurídicas, incluyendo fondos de capital riesgo, business angels, family offices y cualesquiera otros vehículos de inversión, mediante la emisión de nuevas participaciones o la transmisión de participaciones existentes, con sujeción a lo establecido en los presentes estatutos y en los pactos de socios que en su caso se suscriban.</w:t>
      </w:r>
    </w:p>
    <w:p>
      <w:pPr>
        <w:spacing w:after="100" w:before="260"/>
      </w:pPr>
      <w:r>
        <w:rPr>
          <w:rFonts w:ascii="Arial" w:cs="Arial" w:eastAsia="Arial" w:hAnsi="Arial"/>
          <w:b/>
          <w:bCs/>
          <w:sz w:val="22"/>
          <w:szCs w:val="22"/>
        </w:rPr>
        <w:t xml:space="preserve">Artículo 22. </w:t>
      </w:r>
      <w:r>
        <w:rPr>
          <w:rFonts w:ascii="Arial" w:cs="Arial" w:eastAsia="Arial" w:hAnsi="Arial"/>
          <w:b/>
          <w:bCs/>
          <w:sz w:val="22"/>
          <w:szCs w:val="22"/>
          <w:u w:val="single"/>
        </w:rPr>
        <w:t xml:space="preserve">Participaciones con Derechos Especiales</w:t>
      </w:r>
    </w:p>
    <w:p>
      <w:pPr>
        <w:spacing w:after="80" w:before="60"/>
        <w:jc w:val="both"/>
      </w:pPr>
      <w:r>
        <w:rPr>
          <w:rFonts w:ascii="Arial" w:cs="Arial" w:eastAsia="Arial" w:hAnsi="Arial"/>
          <w:sz w:val="22"/>
          <w:szCs w:val="22"/>
        </w:rPr>
        <w:t xml:space="preserve">La Junta General podrá crear, en el marco de las ampliaciones de capital, participaciones sociales con derechos económicos especiales, tales como preferencia en el reparto de dividendos, participación mínima garantizada en la liquidación (liquidation preference), derechos de conversión, derechos de arrastre (drag-along) o de acompañamiento (tag-along), o cualquier otro derecho económico admitido por la ley.</w:t>
      </w:r>
    </w:p>
    <w:p>
      <w:pPr>
        <w:spacing w:after="100" w:before="260"/>
      </w:pPr>
      <w:r>
        <w:rPr>
          <w:rFonts w:ascii="Arial" w:cs="Arial" w:eastAsia="Arial" w:hAnsi="Arial"/>
          <w:b/>
          <w:bCs/>
          <w:sz w:val="22"/>
          <w:szCs w:val="22"/>
        </w:rPr>
        <w:t xml:space="preserve">Artículo 23. </w:t>
      </w:r>
      <w:r>
        <w:rPr>
          <w:rFonts w:ascii="Arial" w:cs="Arial" w:eastAsia="Arial" w:hAnsi="Arial"/>
          <w:b/>
          <w:bCs/>
          <w:sz w:val="22"/>
          <w:szCs w:val="22"/>
          <w:u w:val="single"/>
        </w:rPr>
        <w:t xml:space="preserve">Financiación Mediante Deuda Convertible</w:t>
      </w:r>
    </w:p>
    <w:p>
      <w:pPr>
        <w:spacing w:after="80" w:before="60"/>
        <w:jc w:val="both"/>
      </w:pPr>
      <w:r>
        <w:rPr>
          <w:rFonts w:ascii="Arial" w:cs="Arial" w:eastAsia="Arial" w:hAnsi="Arial"/>
          <w:sz w:val="22"/>
          <w:szCs w:val="22"/>
        </w:rPr>
        <w:t xml:space="preserve">La sociedad podrá obtener financiación mediante préstamos participativos, notas convertibles, instrumentos de deuda convertible en participaciones sociales (SAFE, CLA, obligaciones convertibles u otros), con sujeción a la normativa aplicable. La conversión en participaciones sociales requerirá el correspondiente acuerdo de ampliación de capital adoptado por la Junta General.</w:t>
      </w:r>
    </w:p>
    <w:p>
      <w:pPr>
        <w:spacing w:after="100" w:before="260"/>
      </w:pPr>
      <w:r>
        <w:rPr>
          <w:rFonts w:ascii="Arial" w:cs="Arial" w:eastAsia="Arial" w:hAnsi="Arial"/>
          <w:b/>
          <w:bCs/>
          <w:sz w:val="22"/>
          <w:szCs w:val="22"/>
        </w:rPr>
        <w:t xml:space="preserve">Artículo 24. </w:t>
      </w:r>
      <w:r>
        <w:rPr>
          <w:rFonts w:ascii="Arial" w:cs="Arial" w:eastAsia="Arial" w:hAnsi="Arial"/>
          <w:b/>
          <w:bCs/>
          <w:sz w:val="22"/>
          <w:szCs w:val="22"/>
          <w:u w:val="single"/>
        </w:rPr>
        <w:t xml:space="preserve">Estructura Holding y Filiales</w:t>
      </w:r>
    </w:p>
    <w:p>
      <w:pPr>
        <w:spacing w:after="80" w:before="60"/>
        <w:jc w:val="both"/>
      </w:pPr>
      <w:r>
        <w:rPr>
          <w:rFonts w:ascii="Arial" w:cs="Arial" w:eastAsia="Arial" w:hAnsi="Arial"/>
          <w:sz w:val="22"/>
          <w:szCs w:val="22"/>
        </w:rPr>
        <w:t xml:space="preserve">La sociedad actúa como holding matriz del grupo tecnológico. Podrá constituir, adquirir y participar en sociedades filiales para la operación de cada línea de negocio o producto SaaS, ostentando en ellas una participación mayoritaria o total. La holding podrá prestar a sus filiales servicios de dirección, gestión, administración, financiación y licenciamiento de tecnología y marca, percibiendo por ello los royalties, cánones y contraprestaciones que en cada caso se acuerden, con sujeción a las normas de precios de transferencia aplicables.</w:t>
      </w:r>
    </w:p>
    <w:p>
      <w:pPr>
        <w:spacing w:after="100" w:before="260"/>
      </w:pPr>
      <w:r>
        <w:rPr>
          <w:rFonts w:ascii="Arial" w:cs="Arial" w:eastAsia="Arial" w:hAnsi="Arial"/>
          <w:b/>
          <w:bCs/>
          <w:sz w:val="22"/>
          <w:szCs w:val="22"/>
        </w:rPr>
        <w:t xml:space="preserve">Artículo 25. </w:t>
      </w:r>
      <w:r>
        <w:rPr>
          <w:rFonts w:ascii="Arial" w:cs="Arial" w:eastAsia="Arial" w:hAnsi="Arial"/>
          <w:b/>
          <w:bCs/>
          <w:sz w:val="22"/>
          <w:szCs w:val="22"/>
          <w:u w:val="single"/>
        </w:rPr>
        <w:t xml:space="preserve">Derecho de Arrastre y Acompañamiento</w:t>
      </w:r>
    </w:p>
    <w:p>
      <w:pPr>
        <w:spacing w:after="80" w:before="60"/>
        <w:jc w:val="both"/>
      </w:pPr>
      <w:r>
        <w:rPr>
          <w:rFonts w:ascii="Arial" w:cs="Arial" w:eastAsia="Arial" w:hAnsi="Arial"/>
          <w:sz w:val="22"/>
          <w:szCs w:val="22"/>
        </w:rPr>
        <w:t xml:space="preserve">En el supuesto de que socios que representen más del setenta por ciento del capital social acuerden la transmisión de la totalidad o parte sustancial de las participaciones a un tercero adquirente, podrán exigir a los demás socios que transmitan sus participaciones al mismo adquirente y en las mismas condiciones (drag-along). Asimismo, cuando cualquier socio reciba de un tercero una oferta de adquisición de sus participaciones, deberá notificarlo a los demás socios con al menos veinte días de antelación, quienes tendrán derecho a integrarse en la transmisión en las mismas condiciones (tag-along).</w:t>
      </w:r>
    </w:p>
    <w:p>
      <w:r>
        <w:br w:type="page"/>
      </w:r>
    </w:p>
    <w:p>
      <w:pPr>
        <w:pBdr>
          <w:bottom w:val="single" w:color="1A56A0" w:sz="6" w:space="4"/>
        </w:pBdr>
        <w:spacing w:after="200" w:before="400"/>
        <w:jc w:val="center"/>
      </w:pPr>
      <w:r>
        <w:rPr>
          <w:rFonts w:ascii="Arial" w:cs="Arial" w:eastAsia="Arial" w:hAnsi="Arial"/>
          <w:b/>
          <w:bCs/>
          <w:caps/>
          <w:sz w:val="26"/>
          <w:szCs w:val="26"/>
        </w:rPr>
        <w:t xml:space="preserve">Título VI — Propiedad Intelectual y Protección de Datos</w:t>
      </w:r>
    </w:p>
    <w:p>
      <w:pPr>
        <w:spacing w:after="100" w:before="260"/>
      </w:pPr>
      <w:r>
        <w:rPr>
          <w:rFonts w:ascii="Arial" w:cs="Arial" w:eastAsia="Arial" w:hAnsi="Arial"/>
          <w:b/>
          <w:bCs/>
          <w:sz w:val="22"/>
          <w:szCs w:val="22"/>
        </w:rPr>
        <w:t xml:space="preserve">Artículo 26. </w:t>
      </w:r>
      <w:r>
        <w:rPr>
          <w:rFonts w:ascii="Arial" w:cs="Arial" w:eastAsia="Arial" w:hAnsi="Arial"/>
          <w:b/>
          <w:bCs/>
          <w:sz w:val="22"/>
          <w:szCs w:val="22"/>
          <w:u w:val="single"/>
        </w:rPr>
        <w:t xml:space="preserve">Propiedad Intelectual y Software</w:t>
      </w:r>
    </w:p>
    <w:p>
      <w:pPr>
        <w:spacing w:after="80" w:before="60"/>
        <w:jc w:val="both"/>
      </w:pPr>
      <w:r>
        <w:rPr>
          <w:rFonts w:ascii="Arial" w:cs="Arial" w:eastAsia="Arial" w:hAnsi="Arial"/>
          <w:sz w:val="22"/>
          <w:szCs w:val="22"/>
        </w:rPr>
        <w:t xml:space="preserve">La totalidad de los derechos de propiedad intelectual sobre el software, código fuente, aplicaciones, plataformas, algoritmos, bases de datos, diseños, marcas, nombres comerciales, nombres de dominio y cualquier otra creación intelectual desarrollada por la sociedad, sus administradores, empleados, colaboradores y contratistas en el marco de sus actividades para la sociedad, pertenecerán exclusivamente a la sociedad.</w:t>
      </w:r>
    </w:p>
    <w:p>
      <w:pPr>
        <w:spacing w:after="80" w:before="60"/>
        <w:jc w:val="both"/>
      </w:pPr>
      <w:r>
        <w:rPr>
          <w:rFonts w:ascii="Arial" w:cs="Arial" w:eastAsia="Arial" w:hAnsi="Arial"/>
          <w:sz w:val="22"/>
          <w:szCs w:val="22"/>
        </w:rPr>
        <w:t xml:space="preserve">Todo administrador, empleado o colaborador que, en el ejercicio de sus funciones, desarrolle creaciones intelectuales de cualquier clase queda obligado a ceder a la sociedad, con carácter exclusivo y sin limitación territorial ni temporal, todos los derechos patrimoniales de explotación sobre dichas creaciones. Dicha cesión será recogida en el correspondiente contrato laboral, de prestación de servicios o acuerdo de confidencialidad.</w:t>
      </w:r>
    </w:p>
    <w:p>
      <w:pPr>
        <w:spacing w:after="100" w:before="260"/>
      </w:pPr>
      <w:r>
        <w:rPr>
          <w:rFonts w:ascii="Arial" w:cs="Arial" w:eastAsia="Arial" w:hAnsi="Arial"/>
          <w:b/>
          <w:bCs/>
          <w:sz w:val="22"/>
          <w:szCs w:val="22"/>
        </w:rPr>
        <w:t xml:space="preserve">Artículo 27. </w:t>
      </w:r>
      <w:r>
        <w:rPr>
          <w:rFonts w:ascii="Arial" w:cs="Arial" w:eastAsia="Arial" w:hAnsi="Arial"/>
          <w:b/>
          <w:bCs/>
          <w:sz w:val="22"/>
          <w:szCs w:val="22"/>
          <w:u w:val="single"/>
        </w:rPr>
        <w:t xml:space="preserve">Protección de Datos y Cumplimiento RGPD</w:t>
      </w:r>
    </w:p>
    <w:p>
      <w:pPr>
        <w:spacing w:after="80" w:before="60"/>
        <w:jc w:val="both"/>
      </w:pPr>
      <w:r>
        <w:rPr>
          <w:rFonts w:ascii="Arial" w:cs="Arial" w:eastAsia="Arial" w:hAnsi="Arial"/>
          <w:sz w:val="22"/>
          <w:szCs w:val="22"/>
        </w:rPr>
        <w:t xml:space="preserve">La sociedad tratará los datos personales de socios, administradores, empleados, clientes, proveedores y terceros conforme al Reglamento (UE) 2016/679 (RGPD) y a la Ley Orgánica 3/2018 (LOPDGDD). El órgano de administración aprobará y mantendrá actualizado el Registro de Actividades de Tratamiento y establecerá las medidas técnicas y organizativas necesarias para garantizar un nivel de seguridad adecuado al riesgo.</w:t>
      </w:r>
    </w:p>
    <w:p>
      <w:r>
        <w:br w:type="page"/>
      </w:r>
    </w:p>
    <w:p>
      <w:pPr>
        <w:pBdr>
          <w:bottom w:val="single" w:color="1A56A0" w:sz="6" w:space="4"/>
        </w:pBdr>
        <w:spacing w:after="200" w:before="400"/>
        <w:jc w:val="center"/>
      </w:pPr>
      <w:r>
        <w:rPr>
          <w:rFonts w:ascii="Arial" w:cs="Arial" w:eastAsia="Arial" w:hAnsi="Arial"/>
          <w:b/>
          <w:bCs/>
          <w:caps/>
          <w:sz w:val="26"/>
          <w:szCs w:val="26"/>
        </w:rPr>
        <w:t xml:space="preserve">Título VII — Disolución y Liquidación</w:t>
      </w:r>
    </w:p>
    <w:p>
      <w:pPr>
        <w:spacing w:after="100" w:before="260"/>
      </w:pPr>
      <w:r>
        <w:rPr>
          <w:rFonts w:ascii="Arial" w:cs="Arial" w:eastAsia="Arial" w:hAnsi="Arial"/>
          <w:b/>
          <w:bCs/>
          <w:sz w:val="22"/>
          <w:szCs w:val="22"/>
        </w:rPr>
        <w:t xml:space="preserve">Artículo 28. </w:t>
      </w:r>
      <w:r>
        <w:rPr>
          <w:rFonts w:ascii="Arial" w:cs="Arial" w:eastAsia="Arial" w:hAnsi="Arial"/>
          <w:b/>
          <w:bCs/>
          <w:sz w:val="22"/>
          <w:szCs w:val="22"/>
          <w:u w:val="single"/>
        </w:rPr>
        <w:t xml:space="preserve">Causas de Disolución</w:t>
      </w:r>
    </w:p>
    <w:p>
      <w:pPr>
        <w:spacing w:after="80" w:before="60"/>
        <w:jc w:val="both"/>
      </w:pPr>
      <w:r>
        <w:rPr>
          <w:rFonts w:ascii="Arial" w:cs="Arial" w:eastAsia="Arial" w:hAnsi="Arial"/>
          <w:sz w:val="22"/>
          <w:szCs w:val="22"/>
        </w:rPr>
        <w:t xml:space="preserve">La sociedad se disolverá por las causas establecidas en el artículo 363 de la Ley de Sociedades de Capital, entre ellas: por acuerdo de la Junta General adoptado con la mayoría legalmente establecida; por la conclusión de la empresa que constituya su objeto; por la reducción del patrimonio neto por debajo de la mitad del capital social; y por las demás causas establecidas en la ley.</w:t>
      </w:r>
    </w:p>
    <w:p>
      <w:pPr>
        <w:spacing w:after="100" w:before="260"/>
      </w:pPr>
      <w:r>
        <w:rPr>
          <w:rFonts w:ascii="Arial" w:cs="Arial" w:eastAsia="Arial" w:hAnsi="Arial"/>
          <w:b/>
          <w:bCs/>
          <w:sz w:val="22"/>
          <w:szCs w:val="22"/>
        </w:rPr>
        <w:t xml:space="preserve">Artículo 29. </w:t>
      </w:r>
      <w:r>
        <w:rPr>
          <w:rFonts w:ascii="Arial" w:cs="Arial" w:eastAsia="Arial" w:hAnsi="Arial"/>
          <w:b/>
          <w:bCs/>
          <w:sz w:val="22"/>
          <w:szCs w:val="22"/>
          <w:u w:val="single"/>
        </w:rPr>
        <w:t xml:space="preserve">Liquidación</w:t>
      </w:r>
    </w:p>
    <w:p>
      <w:pPr>
        <w:spacing w:after="80" w:before="60"/>
        <w:jc w:val="both"/>
      </w:pPr>
      <w:r>
        <w:rPr>
          <w:rFonts w:ascii="Arial" w:cs="Arial" w:eastAsia="Arial" w:hAnsi="Arial"/>
          <w:sz w:val="22"/>
          <w:szCs w:val="22"/>
        </w:rPr>
        <w:t xml:space="preserve">Disuelta la sociedad se abrirá el período de liquidación. Durante dicho período la sociedad conservará su personalidad jurídica y añadirá a su denominación la expresión "en liquidación". La liquidación se llevará a cabo de acuerdo con lo establecido en la Ley de Sociedades de Capital.</w:t>
      </w:r>
    </w:p>
    <w:p>
      <w:r>
        <w:br w:type="page"/>
      </w:r>
    </w:p>
    <w:p>
      <w:pPr>
        <w:pBdr>
          <w:bottom w:val="single" w:color="1A56A0" w:sz="6" w:space="4"/>
        </w:pBdr>
        <w:spacing w:after="200" w:before="400"/>
        <w:jc w:val="center"/>
      </w:pPr>
      <w:r>
        <w:rPr>
          <w:rFonts w:ascii="Arial" w:cs="Arial" w:eastAsia="Arial" w:hAnsi="Arial"/>
          <w:b/>
          <w:bCs/>
          <w:caps/>
          <w:sz w:val="26"/>
          <w:szCs w:val="26"/>
        </w:rPr>
        <w:t xml:space="preserve">Título VIII — Disposiciones Finales</w:t>
      </w:r>
    </w:p>
    <w:p>
      <w:pPr>
        <w:spacing w:after="100" w:before="260"/>
      </w:pPr>
      <w:r>
        <w:rPr>
          <w:rFonts w:ascii="Arial" w:cs="Arial" w:eastAsia="Arial" w:hAnsi="Arial"/>
          <w:b/>
          <w:bCs/>
          <w:sz w:val="22"/>
          <w:szCs w:val="22"/>
        </w:rPr>
        <w:t xml:space="preserve">Artículo 30. </w:t>
      </w:r>
      <w:r>
        <w:rPr>
          <w:rFonts w:ascii="Arial" w:cs="Arial" w:eastAsia="Arial" w:hAnsi="Arial"/>
          <w:b/>
          <w:bCs/>
          <w:sz w:val="22"/>
          <w:szCs w:val="22"/>
          <w:u w:val="single"/>
        </w:rPr>
        <w:t xml:space="preserve">Resolución de Conflictos</w:t>
      </w:r>
    </w:p>
    <w:p>
      <w:pPr>
        <w:spacing w:after="80" w:before="60"/>
        <w:jc w:val="both"/>
      </w:pPr>
      <w:r>
        <w:rPr>
          <w:rFonts w:ascii="Arial" w:cs="Arial" w:eastAsia="Arial" w:hAnsi="Arial"/>
          <w:sz w:val="22"/>
          <w:szCs w:val="22"/>
        </w:rPr>
        <w:t xml:space="preserve">Para cualquier litigio, discrepancia o controversia que se derive de la interpretación o ejecución de los presentes estatutos o de la relación societaria, los socios y la sociedad se someten a la jurisdicción de los juzgados y tribunales de Madrid, con renuncia a cualquier otro fuero que pudiera corresponderles.</w:t>
      </w:r>
    </w:p>
    <w:p>
      <w:pPr>
        <w:spacing w:after="100" w:before="260"/>
      </w:pPr>
      <w:r>
        <w:rPr>
          <w:rFonts w:ascii="Arial" w:cs="Arial" w:eastAsia="Arial" w:hAnsi="Arial"/>
          <w:b/>
          <w:bCs/>
          <w:sz w:val="22"/>
          <w:szCs w:val="22"/>
        </w:rPr>
        <w:t xml:space="preserve">Artículo 31. </w:t>
      </w:r>
      <w:r>
        <w:rPr>
          <w:rFonts w:ascii="Arial" w:cs="Arial" w:eastAsia="Arial" w:hAnsi="Arial"/>
          <w:b/>
          <w:bCs/>
          <w:sz w:val="22"/>
          <w:szCs w:val="22"/>
          <w:u w:val="single"/>
        </w:rPr>
        <w:t xml:space="preserve">Normativa Supletoria</w:t>
      </w:r>
    </w:p>
    <w:p>
      <w:pPr>
        <w:spacing w:after="80" w:before="60"/>
        <w:jc w:val="both"/>
      </w:pPr>
      <w:r>
        <w:rPr>
          <w:rFonts w:ascii="Arial" w:cs="Arial" w:eastAsia="Arial" w:hAnsi="Arial"/>
          <w:sz w:val="22"/>
          <w:szCs w:val="22"/>
        </w:rPr>
        <w:t xml:space="preserve">En todo lo no previsto en los presentes Estatutos, se aplicará la Ley de Sociedades de Capital (Real Decreto Legislativo 1/2010), el Reglamento del Registro Mercantil y las demás normas mercantiles y civiles de aplicación en España.</w:t>
      </w:r>
    </w:p>
    <w:p>
      <w:pPr>
        <w:spacing w:after="600" w:before="600"/>
        <w:jc w:val="center"/>
      </w:pPr>
      <w:r>
        <w:rPr>
          <w:rFonts w:ascii="Arial" w:cs="Arial" w:eastAsia="Arial" w:hAnsi="Arial"/>
          <w:sz w:val="22"/>
          <w:szCs w:val="22"/>
        </w:rPr>
        <w:t xml:space="preserve">* * *</w:t>
      </w:r>
    </w:p>
    <w:p>
      <w:pPr>
        <w:spacing w:after="80" w:before="60"/>
        <w:jc w:val="both"/>
      </w:pPr>
      <w:r>
        <w:rPr>
          <w:rFonts w:ascii="Arial" w:cs="Arial" w:eastAsia="Arial" w:hAnsi="Arial"/>
          <w:sz w:val="22"/>
          <w:szCs w:val="22"/>
        </w:rPr>
        <w:t xml:space="preserve">Los presentes Estatutos Sociales han sido aprobados por los socios fundadores en el acto de constitución de la sociedad, y serán incorporados a la escritura pública de constitución otorgada ante Notario.</w:t>
      </w:r>
    </w:p>
    <w:p>
      <w:pPr>
        <w:spacing w:after="800" w:before="600"/>
      </w:pPr>
      <w:r>
        <w:rPr>
          <w:rFonts w:ascii="Arial" w:cs="Arial" w:eastAsia="Arial" w:hAnsi="Arial"/>
          <w:sz w:val="22"/>
          <w:szCs w:val="22"/>
        </w:rPr>
        <w:t xml:space="preserve">En Majadahonda, a _____ de __________________ de 2026.</w:t>
      </w:r>
    </w:p>
    <w:p>
      <w:pPr>
        <w:spacing w:after="80" w:before="0"/>
      </w:pPr>
      <w:r>
        <w:rPr>
          <w:rFonts w:ascii="Arial" w:cs="Arial" w:eastAsia="Arial" w:hAnsi="Arial"/>
          <w:sz w:val="22"/>
          <w:szCs w:val="22"/>
        </w:rPr>
        <w:t xml:space="preserve">________________________________</w:t>
      </w:r>
    </w:p>
    <w:p>
      <w:pPr>
        <w:spacing w:after="60" w:before="0"/>
      </w:pPr>
      <w:r>
        <w:rPr>
          <w:rFonts w:ascii="Arial" w:cs="Arial" w:eastAsia="Arial" w:hAnsi="Arial"/>
          <w:b/>
          <w:bCs/>
          <w:sz w:val="22"/>
          <w:szCs w:val="22"/>
        </w:rPr>
        <w:t xml:space="preserve">D. FERNANDO CARBONELL CABO</w:t>
      </w:r>
    </w:p>
    <w:p>
      <w:pPr>
        <w:spacing w:after="60" w:before="0"/>
      </w:pPr>
      <w:r>
        <w:rPr>
          <w:rFonts w:ascii="Arial" w:cs="Arial" w:eastAsia="Arial" w:hAnsi="Arial"/>
          <w:sz w:val="22"/>
          <w:szCs w:val="22"/>
        </w:rPr>
        <w:t xml:space="preserve">NIF: 11792515R</w:t>
      </w:r>
    </w:p>
    <w:p>
      <w:pPr>
        <w:spacing w:after="0" w:before="0"/>
      </w:pPr>
      <w:r>
        <w:rPr>
          <w:rFonts w:ascii="Arial" w:cs="Arial" w:eastAsia="Arial" w:hAnsi="Arial"/>
          <w:i/>
          <w:iCs/>
          <w:sz w:val="22"/>
          <w:szCs w:val="22"/>
        </w:rPr>
        <w:t xml:space="preserve">Socio Fundador y Administrador Único</w:t>
      </w:r>
    </w:p>
    <w:sectPr>
      <w:footerReference w:type="default" r:id="rId7"/>
      <w:pgSz w:w="11906" w:h="16838" w:orient="portrait"/>
      <w:pgMar w:top="1440" w:right="130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rFonts w:ascii="Arial" w:cs="Arial" w:eastAsia="Arial" w:hAnsi="Arial"/>
        <w:sz w:val="16"/>
        <w:szCs w:val="16"/>
      </w:rPr>
      <w:t xml:space="preserve">Trabflow Technologies, S.L.  —  Estatutos Sociales  —  pág. </w:t>
    </w:r>
    <w:r>
      <w:rPr>
        <w:rFonts w:ascii="Arial" w:cs="Arial" w:eastAsia="Arial" w:hAnsi="Arial"/>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sz w:val="26"/>
      <w:szCs w:val="26"/>
    </w:rPr>
  </w:style>
  <w:style w:type="paragraph" w:styleId="Heading2">
    <w:name w:val="Heading 2"/>
    <w:basedOn w:val="Normal"/>
    <w:next w:val="Normal"/>
    <w:qFormat/>
    <w:pPr>
      <w:spacing w:after="140" w:before="30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2026-06-02T08:06:03.744Z</dcterms:created>
  <dcterms:modified xsi:type="dcterms:W3CDTF">2026-06-02T08:06:03.799Z</dcterms:modified>
</cp:coreProperties>
</file>

<file path=docProps/custom.xml><?xml version="1.0" encoding="utf-8"?>
<Properties xmlns="http://schemas.openxmlformats.org/officeDocument/2006/custom-properties" xmlns:vt="http://schemas.openxmlformats.org/officeDocument/2006/docPropsVTypes"/>
</file>