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jc w:val="center"/>
      </w:pPr>
      <w:r>
        <w:drawing>
          <wp:inline distT="0" distB="0" distL="0" distR="0">
            <wp:extent cx="3238500" cy="1619250"/>
            <wp:effectExtent t="0" r="0" b="0" l="0"/>
            <wp:docPr id="1" name="TrabFlow logo" descr="Logotipo de TrabFlow" title="Trab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1619250"/>
                    </a:xfrm>
                    <a:prstGeom prst="rect">
                      <a:avLst/>
                    </a:prstGeom>
                  </pic:spPr>
                </pic:pic>
              </a:graphicData>
            </a:graphic>
          </wp:inline>
        </w:drawing>
      </w:r>
    </w:p>
    <w:p>
      <w:pPr>
        <w:spacing w:after="500"/>
      </w:pPr>
    </w:p>
    <w:p>
      <w:pPr>
        <w:jc w:val="center"/>
      </w:pPr>
      <w:r>
        <w:rPr>
          <w:rFonts w:ascii="Arial" w:cs="Arial" w:eastAsia="Arial" w:hAnsi="Arial"/>
          <w:b/>
          <w:bCs/>
          <w:color w:val="1C2535"/>
          <w:sz w:val="52"/>
          <w:szCs w:val="52"/>
        </w:rPr>
        <w:t xml:space="preserve">TRABFLOW VISION &amp; PRODUCT</w:t>
      </w:r>
    </w:p>
    <w:p>
      <w:pPr>
        <w:spacing w:after="120"/>
      </w:pPr>
    </w:p>
    <w:p>
      <w:pPr>
        <w:jc w:val="center"/>
      </w:pPr>
      <w:r>
        <w:rPr>
          <w:rFonts w:ascii="Arial" w:cs="Arial" w:eastAsia="Arial" w:hAnsi="Arial"/>
          <w:i/>
          <w:iCs/>
          <w:color w:val="1A5A96"/>
          <w:sz w:val="28"/>
          <w:szCs w:val="28"/>
        </w:rPr>
        <w:t xml:space="preserve">La visión, el producto y la oportunidad</w:t>
      </w:r>
    </w:p>
    <w:p>
      <w:pPr>
        <w:spacing w:after="900"/>
      </w:pPr>
    </w:p>
    <w:p>
      <w:pPr>
        <w:jc w:val="center"/>
      </w:pPr>
      <w:r>
        <w:rPr>
          <w:color w:val="3A4A5C"/>
          <w:sz w:val="22"/>
          <w:szCs w:val="22"/>
        </w:rPr>
        <w:t xml:space="preserve">TrabFlow Technologies, S.L.</w:t>
      </w:r>
    </w:p>
    <w:p>
      <w:pPr>
        <w:jc w:val="center"/>
      </w:pPr>
      <w:r>
        <w:rPr>
          <w:color w:val="3A4A5C"/>
          <w:sz w:val="22"/>
          <w:szCs w:val="22"/>
        </w:rPr>
        <w:t xml:space="preserve">www.trabflow.com</w:t>
      </w:r>
    </w:p>
    <w:p>
      <w:pPr>
        <w:jc w:val="center"/>
      </w:pPr>
      <w:r>
        <w:rPr>
          <w:color w:val="6B7A8D"/>
          <w:sz w:val="18"/>
          <w:szCs w:val="18"/>
        </w:rPr>
        <w:t xml:space="preserve">Junio 2026 · Documento confidencial para inversores, cofundadores y partners estratégicos</w:t>
      </w:r>
    </w:p>
    <w:p>
      <w:r>
        <w:br w:type="page"/>
      </w:r>
    </w:p>
    <w:p>
      <w:pPr>
        <w:sectPr>
          <w:pgSz w:w="12240" w:h="15840" w:orient="portrait"/>
          <w:pgMar w:top="1080" w:right="1080" w:bottom="1080" w:left="1080" w:header="708" w:footer="708" w:gutter="0"/>
          <w:pgNumType/>
          <w:docGrid w:linePitch="360"/>
        </w:sectPr>
      </w:pPr>
    </w:p>
    <w:p>
      <w:pPr>
        <w:pStyle w:val="Heading1"/>
      </w:pPr>
      <w:r>
        <w:t xml:space="preserve">Table of Contents</w:t>
      </w:r>
    </w:p>
    <w:p>
      <w:pPr>
        <w:tabs>
          <w:tab w:val="right" w:pos="9360" w:leader="dot"/>
        </w:tabs>
        <w:spacing w:after="130"/>
      </w:pPr>
      <w:r>
        <w:rPr>
          <w:color w:val="1C2535"/>
          <w:sz w:val="22"/>
          <w:szCs w:val="22"/>
        </w:rPr>
        <w:t xml:space="preserve">1. Executive Summary</w:t>
      </w:r>
      <w:r>
        <w:rPr>
          <w:color w:val="3A4A5C"/>
          <w:sz w:val="22"/>
          <w:szCs w:val="22"/>
        </w:rPr>
        <w:t xml:space="preserve">	3</w:t>
      </w:r>
    </w:p>
    <w:p>
      <w:pPr>
        <w:tabs>
          <w:tab w:val="right" w:pos="9360" w:leader="dot"/>
        </w:tabs>
        <w:spacing w:after="130"/>
      </w:pPr>
      <w:r>
        <w:rPr>
          <w:color w:val="1C2535"/>
          <w:sz w:val="22"/>
          <w:szCs w:val="22"/>
        </w:rPr>
        <w:t xml:space="preserve">2. Company Vision</w:t>
      </w:r>
      <w:r>
        <w:rPr>
          <w:color w:val="3A4A5C"/>
          <w:sz w:val="22"/>
          <w:szCs w:val="22"/>
        </w:rPr>
        <w:t xml:space="preserve">	4</w:t>
      </w:r>
    </w:p>
    <w:p>
      <w:pPr>
        <w:tabs>
          <w:tab w:val="right" w:pos="9360" w:leader="dot"/>
        </w:tabs>
        <w:spacing w:after="130"/>
      </w:pPr>
      <w:r>
        <w:rPr>
          <w:color w:val="1C2535"/>
          <w:sz w:val="22"/>
          <w:szCs w:val="22"/>
        </w:rPr>
        <w:t xml:space="preserve">3. Mission Statement</w:t>
      </w:r>
      <w:r>
        <w:rPr>
          <w:color w:val="3A4A5C"/>
          <w:sz w:val="22"/>
          <w:szCs w:val="22"/>
        </w:rPr>
        <w:t xml:space="preserve">	5</w:t>
      </w:r>
    </w:p>
    <w:p>
      <w:pPr>
        <w:tabs>
          <w:tab w:val="right" w:pos="9360" w:leader="dot"/>
        </w:tabs>
        <w:spacing w:after="130"/>
      </w:pPr>
      <w:r>
        <w:rPr>
          <w:color w:val="1C2535"/>
          <w:sz w:val="22"/>
          <w:szCs w:val="22"/>
        </w:rPr>
        <w:t xml:space="preserve">4. Market Opportunity</w:t>
      </w:r>
      <w:r>
        <w:rPr>
          <w:color w:val="3A4A5C"/>
          <w:sz w:val="22"/>
          <w:szCs w:val="22"/>
        </w:rPr>
        <w:t xml:space="preserve">	6</w:t>
      </w:r>
    </w:p>
    <w:p>
      <w:pPr>
        <w:tabs>
          <w:tab w:val="right" w:pos="9360" w:leader="dot"/>
        </w:tabs>
        <w:spacing w:after="130"/>
      </w:pPr>
      <w:r>
        <w:rPr>
          <w:color w:val="1C2535"/>
          <w:sz w:val="22"/>
          <w:szCs w:val="22"/>
        </w:rPr>
        <w:t xml:space="preserve">5. Industry Problems</w:t>
      </w:r>
      <w:r>
        <w:rPr>
          <w:color w:val="3A4A5C"/>
          <w:sz w:val="22"/>
          <w:szCs w:val="22"/>
        </w:rPr>
        <w:t xml:space="preserve">	7</w:t>
      </w:r>
    </w:p>
    <w:p>
      <w:pPr>
        <w:tabs>
          <w:tab w:val="right" w:pos="9360" w:leader="dot"/>
        </w:tabs>
        <w:spacing w:after="130"/>
      </w:pPr>
      <w:r>
        <w:rPr>
          <w:color w:val="1C2535"/>
          <w:sz w:val="22"/>
          <w:szCs w:val="22"/>
        </w:rPr>
        <w:t xml:space="preserve">6. Why Existing Solutions Fail</w:t>
      </w:r>
      <w:r>
        <w:rPr>
          <w:color w:val="3A4A5C"/>
          <w:sz w:val="22"/>
          <w:szCs w:val="22"/>
        </w:rPr>
        <w:t xml:space="preserve">	8</w:t>
      </w:r>
    </w:p>
    <w:p>
      <w:pPr>
        <w:tabs>
          <w:tab w:val="right" w:pos="9360" w:leader="dot"/>
        </w:tabs>
        <w:spacing w:after="130"/>
      </w:pPr>
      <w:r>
        <w:rPr>
          <w:color w:val="1C2535"/>
          <w:sz w:val="22"/>
          <w:szCs w:val="22"/>
        </w:rPr>
        <w:t xml:space="preserve">7. The TrabFlow Solution</w:t>
      </w:r>
      <w:r>
        <w:rPr>
          <w:color w:val="3A4A5C"/>
          <w:sz w:val="22"/>
          <w:szCs w:val="22"/>
        </w:rPr>
        <w:t xml:space="preserve">	9</w:t>
      </w:r>
    </w:p>
    <w:p>
      <w:pPr>
        <w:tabs>
          <w:tab w:val="right" w:pos="9360" w:leader="dot"/>
        </w:tabs>
        <w:spacing w:after="130"/>
      </w:pPr>
      <w:r>
        <w:rPr>
          <w:color w:val="1C2535"/>
          <w:sz w:val="22"/>
          <w:szCs w:val="22"/>
        </w:rPr>
        <w:t xml:space="preserve">8. Product Overview</w:t>
      </w:r>
      <w:r>
        <w:rPr>
          <w:color w:val="3A4A5C"/>
          <w:sz w:val="22"/>
          <w:szCs w:val="22"/>
        </w:rPr>
        <w:t xml:space="preserve">	10</w:t>
      </w:r>
    </w:p>
    <w:p>
      <w:pPr>
        <w:tabs>
          <w:tab w:val="right" w:pos="9360" w:leader="dot"/>
        </w:tabs>
        <w:spacing w:after="130"/>
      </w:pPr>
      <w:r>
        <w:rPr>
          <w:color w:val="1C2535"/>
          <w:sz w:val="22"/>
          <w:szCs w:val="22"/>
        </w:rPr>
        <w:t xml:space="preserve">9. Core Value Proposition</w:t>
      </w:r>
      <w:r>
        <w:rPr>
          <w:color w:val="3A4A5C"/>
          <w:sz w:val="22"/>
          <w:szCs w:val="22"/>
        </w:rPr>
        <w:t xml:space="preserve">	11</w:t>
      </w:r>
    </w:p>
    <w:p>
      <w:pPr>
        <w:tabs>
          <w:tab w:val="right" w:pos="9360" w:leader="dot"/>
        </w:tabs>
        <w:spacing w:after="130"/>
      </w:pPr>
      <w:r>
        <w:rPr>
          <w:color w:val="1C2535"/>
          <w:sz w:val="22"/>
          <w:szCs w:val="22"/>
        </w:rPr>
        <w:t xml:space="preserve">10. Customer Personas</w:t>
      </w:r>
      <w:r>
        <w:rPr>
          <w:color w:val="3A4A5C"/>
          <w:sz w:val="22"/>
          <w:szCs w:val="22"/>
        </w:rPr>
        <w:t xml:space="preserve">	12</w:t>
      </w:r>
    </w:p>
    <w:p>
      <w:pPr>
        <w:tabs>
          <w:tab w:val="right" w:pos="9360" w:leader="dot"/>
        </w:tabs>
        <w:spacing w:after="130"/>
      </w:pPr>
      <w:r>
        <w:rPr>
          <w:color w:val="1C2535"/>
          <w:sz w:val="22"/>
          <w:szCs w:val="22"/>
        </w:rPr>
        <w:t xml:space="preserve">11. Jobs To Be Done</w:t>
      </w:r>
      <w:r>
        <w:rPr>
          <w:color w:val="3A4A5C"/>
          <w:sz w:val="22"/>
          <w:szCs w:val="22"/>
        </w:rPr>
        <w:t xml:space="preserve">	13</w:t>
      </w:r>
    </w:p>
    <w:p>
      <w:pPr>
        <w:tabs>
          <w:tab w:val="right" w:pos="9360" w:leader="dot"/>
        </w:tabs>
        <w:spacing w:after="130"/>
      </w:pPr>
      <w:r>
        <w:rPr>
          <w:color w:val="1C2535"/>
          <w:sz w:val="22"/>
          <w:szCs w:val="22"/>
        </w:rPr>
        <w:t xml:space="preserve">12. Competitive Landscape</w:t>
      </w:r>
      <w:r>
        <w:rPr>
          <w:color w:val="3A4A5C"/>
          <w:sz w:val="22"/>
          <w:szCs w:val="22"/>
        </w:rPr>
        <w:t xml:space="preserve">	14</w:t>
      </w:r>
    </w:p>
    <w:p>
      <w:pPr>
        <w:tabs>
          <w:tab w:val="right" w:pos="9360" w:leader="dot"/>
        </w:tabs>
        <w:spacing w:after="130"/>
      </w:pPr>
      <w:r>
        <w:rPr>
          <w:color w:val="1C2535"/>
          <w:sz w:val="22"/>
          <w:szCs w:val="22"/>
        </w:rPr>
        <w:t xml:space="preserve">13. Competitive Advantages</w:t>
      </w:r>
      <w:r>
        <w:rPr>
          <w:color w:val="3A4A5C"/>
          <w:sz w:val="22"/>
          <w:szCs w:val="22"/>
        </w:rPr>
        <w:t xml:space="preserve">	15</w:t>
      </w:r>
    </w:p>
    <w:p>
      <w:pPr>
        <w:tabs>
          <w:tab w:val="right" w:pos="9360" w:leader="dot"/>
        </w:tabs>
        <w:spacing w:after="130"/>
      </w:pPr>
      <w:r>
        <w:rPr>
          <w:color w:val="1C2535"/>
          <w:sz w:val="22"/>
          <w:szCs w:val="22"/>
        </w:rPr>
        <w:t xml:space="preserve">14. Product Roadmap</w:t>
      </w:r>
      <w:r>
        <w:rPr>
          <w:color w:val="3A4A5C"/>
          <w:sz w:val="22"/>
          <w:szCs w:val="22"/>
        </w:rPr>
        <w:t xml:space="preserve">	16</w:t>
      </w:r>
    </w:p>
    <w:p>
      <w:pPr>
        <w:tabs>
          <w:tab w:val="right" w:pos="9360" w:leader="dot"/>
        </w:tabs>
        <w:spacing w:after="130"/>
      </w:pPr>
      <w:r>
        <w:rPr>
          <w:color w:val="1C2535"/>
          <w:sz w:val="22"/>
          <w:szCs w:val="22"/>
        </w:rPr>
        <w:t xml:space="preserve">15. Business Model</w:t>
      </w:r>
      <w:r>
        <w:rPr>
          <w:color w:val="3A4A5C"/>
          <w:sz w:val="22"/>
          <w:szCs w:val="22"/>
        </w:rPr>
        <w:t xml:space="preserve">	17</w:t>
      </w:r>
    </w:p>
    <w:p>
      <w:pPr>
        <w:tabs>
          <w:tab w:val="right" w:pos="9360" w:leader="dot"/>
        </w:tabs>
        <w:spacing w:after="130"/>
      </w:pPr>
      <w:r>
        <w:rPr>
          <w:color w:val="1C2535"/>
          <w:sz w:val="22"/>
          <w:szCs w:val="22"/>
        </w:rPr>
        <w:t xml:space="preserve">16. Go-To-Market Strategy</w:t>
      </w:r>
      <w:r>
        <w:rPr>
          <w:color w:val="3A4A5C"/>
          <w:sz w:val="22"/>
          <w:szCs w:val="22"/>
        </w:rPr>
        <w:t xml:space="preserve">	18</w:t>
      </w:r>
    </w:p>
    <w:p>
      <w:pPr>
        <w:tabs>
          <w:tab w:val="right" w:pos="9360" w:leader="dot"/>
        </w:tabs>
        <w:spacing w:after="130"/>
      </w:pPr>
      <w:r>
        <w:rPr>
          <w:color w:val="1C2535"/>
          <w:sz w:val="22"/>
          <w:szCs w:val="22"/>
        </w:rPr>
        <w:t xml:space="preserve">17. Growth Strategy</w:t>
      </w:r>
      <w:r>
        <w:rPr>
          <w:color w:val="3A4A5C"/>
          <w:sz w:val="22"/>
          <w:szCs w:val="22"/>
        </w:rPr>
        <w:t xml:space="preserve">	19</w:t>
      </w:r>
    </w:p>
    <w:p>
      <w:pPr>
        <w:tabs>
          <w:tab w:val="right" w:pos="9360" w:leader="dot"/>
        </w:tabs>
        <w:spacing w:after="130"/>
      </w:pPr>
      <w:r>
        <w:rPr>
          <w:color w:val="1C2535"/>
          <w:sz w:val="22"/>
          <w:szCs w:val="22"/>
        </w:rPr>
        <w:t xml:space="preserve">18. Long-Term Vision (5 Years)</w:t>
      </w:r>
      <w:r>
        <w:rPr>
          <w:color w:val="3A4A5C"/>
          <w:sz w:val="22"/>
          <w:szCs w:val="22"/>
        </w:rPr>
        <w:t xml:space="preserve">	20</w:t>
      </w:r>
    </w:p>
    <w:p>
      <w:pPr>
        <w:tabs>
          <w:tab w:val="right" w:pos="9360" w:leader="dot"/>
        </w:tabs>
        <w:spacing w:after="130"/>
      </w:pPr>
      <w:r>
        <w:rPr>
          <w:color w:val="1C2535"/>
          <w:sz w:val="22"/>
          <w:szCs w:val="22"/>
        </w:rPr>
        <w:t xml:space="preserve">19. Strategic Moats</w:t>
      </w:r>
      <w:r>
        <w:rPr>
          <w:color w:val="3A4A5C"/>
          <w:sz w:val="22"/>
          <w:szCs w:val="22"/>
        </w:rPr>
        <w:t xml:space="preserve">	21</w:t>
      </w:r>
    </w:p>
    <w:p>
      <w:pPr>
        <w:tabs>
          <w:tab w:val="right" w:pos="9360" w:leader="dot"/>
        </w:tabs>
        <w:spacing w:after="130"/>
      </w:pPr>
      <w:r>
        <w:rPr>
          <w:color w:val="1C2535"/>
          <w:sz w:val="22"/>
          <w:szCs w:val="22"/>
        </w:rPr>
        <w:t xml:space="preserve">20. Key Success Metrics</w:t>
      </w:r>
      <w:r>
        <w:rPr>
          <w:color w:val="3A4A5C"/>
          <w:sz w:val="22"/>
          <w:szCs w:val="22"/>
        </w:rPr>
        <w:t xml:space="preserve">	22</w:t>
      </w:r>
    </w:p>
    <w:p>
      <w:pPr>
        <w:tabs>
          <w:tab w:val="right" w:pos="9360" w:leader="dot"/>
        </w:tabs>
        <w:spacing w:after="130"/>
      </w:pPr>
      <w:r>
        <w:rPr>
          <w:color w:val="1C2535"/>
          <w:sz w:val="22"/>
          <w:szCs w:val="22"/>
        </w:rPr>
        <w:t xml:space="preserve">21. Investment Readiness</w:t>
      </w:r>
      <w:r>
        <w:rPr>
          <w:color w:val="3A4A5C"/>
          <w:sz w:val="22"/>
          <w:szCs w:val="22"/>
        </w:rPr>
        <w:t xml:space="preserve">	23</w:t>
      </w:r>
    </w:p>
    <w:p>
      <w:pPr>
        <w:tabs>
          <w:tab w:val="right" w:pos="9360" w:leader="dot"/>
        </w:tabs>
        <w:spacing w:after="130"/>
      </w:pPr>
      <w:r>
        <w:rPr>
          <w:color w:val="1C2535"/>
          <w:sz w:val="22"/>
          <w:szCs w:val="22"/>
        </w:rPr>
        <w:t xml:space="preserve">22. Conclusion</w:t>
      </w:r>
      <w:r>
        <w:rPr>
          <w:color w:val="3A4A5C"/>
          <w:sz w:val="22"/>
          <w:szCs w:val="22"/>
        </w:rPr>
        <w:t xml:space="preserve">	24</w:t>
      </w:r>
    </w:p>
    <w:p>
      <w:r>
        <w:br w:type="page"/>
      </w:r>
    </w:p>
    <w:p>
      <w:pPr>
        <w:sectPr>
          <w:pgSz w:w="12240" w:h="15840" w:orient="portrait"/>
          <w:pgMar w:top="1080" w:right="1080" w:bottom="1080" w:left="1080" w:header="708" w:footer="708" w:gutter="0"/>
          <w:pgNumType/>
          <w:docGrid w:linePitch="360"/>
        </w:sectPr>
      </w:pPr>
    </w:p>
    <w:p>
      <w:pPr>
        <w:pStyle w:val="Heading1"/>
        <w:pageBreakBefore/>
      </w:pPr>
      <w:r>
        <w:t xml:space="preserve">1. Executive Summary</w:t>
      </w:r>
    </w:p>
    <w:p>
      <w:pPr>
        <w:spacing w:after="160"/>
      </w:pPr>
      <w:r>
        <w:rPr>
          <w:b w:val="false"/>
          <w:bCs w:val="false"/>
          <w:i w:val="false"/>
          <w:iCs w:val="false"/>
          <w:color w:val="3A4A5C"/>
          <w:sz w:val="22"/>
          <w:szCs w:val="22"/>
        </w:rPr>
        <w:t xml:space="preserve">TrabFlow es el sistema operativo de inteligencia artificial para instaladores autónomos y pymes de oficios (fontanería, electricidad, climatización, cerrajería, reformas, pintura, albañilería y similares) en España, con expansión planificada a Portugal y a América Latina.</w:t>
      </w:r>
    </w:p>
    <w:p>
      <w:pPr>
        <w:spacing w:after="160"/>
      </w:pPr>
      <w:r>
        <w:rPr>
          <w:b w:val="false"/>
          <w:bCs w:val="false"/>
          <w:i w:val="false"/>
          <w:iCs w:val="false"/>
          <w:color w:val="3A4A5C"/>
          <w:sz w:val="22"/>
          <w:szCs w:val="22"/>
        </w:rPr>
        <w:t xml:space="preserve">El problema que resuelve es concreto y diario: un instalador dedica entre dos y cuatro horas al día a papeleo —presupuestos a mano, facturas en Excel, llamadas para confirmar visitas, seguimiento de cobros— en lugar de trabajar en obra, que es lo único que genera ingreso. TrabFlow convierte ese papeleo en una conversación: el instalador dicta o fotografía el trabajo y la plataforma genera el presupuesto, el contrato o la factura en menos de tres minutos.</w:t>
      </w:r>
    </w:p>
    <w:p>
      <w:pPr>
        <w:spacing w:after="160"/>
      </w:pPr>
      <w:r>
        <w:rPr>
          <w:b w:val="false"/>
          <w:bCs w:val="false"/>
          <w:i w:val="false"/>
          <w:iCs w:val="false"/>
          <w:color w:val="3A4A5C"/>
          <w:sz w:val="22"/>
          <w:szCs w:val="22"/>
        </w:rPr>
        <w:t xml:space="preserve">El mercado objetivo es amplio y estructuralmente desatendido: España cuenta con más de 3,4 millones de autónomos a cierre de 2025, y solo un 20% de ellos utiliza hoy herramientas de inteligencia artificial en su actividad, según un análisis de UPTA de junio de 2026. Los oficios manuales están entre los menos expuestos a la sustitución por IA, pero también entre los menos atendidos por software de gestión inteligente: una paradoja que define la oportunidad de TrabFlow.</w:t>
      </w:r>
    </w:p>
    <w:p>
      <w:pPr>
        <w:spacing w:after="160"/>
      </w:pPr>
      <w:r>
        <w:rPr>
          <w:b w:val="false"/>
          <w:bCs w:val="false"/>
          <w:i w:val="false"/>
          <w:iCs w:val="false"/>
          <w:color w:val="3A4A5C"/>
          <w:sz w:val="22"/>
          <w:szCs w:val="22"/>
        </w:rPr>
        <w:t xml:space="preserve">El producto está construido y desplegado en producción (trabflow.com), con un pipeline de IA operativo (voz y foto a presupuesto, parte de trabajo, chatbot de ayuda), un modelo de suscripción SaaS en tres planes públicos, y un activo de datos propietario en construcción activa —la Base Maestra de actuaciones por oficio— que permite que la IA recupere información estructurada en lugar de improvisar precios.</w:t>
      </w:r>
    </w:p>
    <w:p>
      <w:pPr>
        <w:spacing w:after="160"/>
      </w:pPr>
      <w:r>
        <w:rPr>
          <w:b w:val="false"/>
          <w:bCs w:val="false"/>
          <w:i w:val="false"/>
          <w:iCs w:val="false"/>
          <w:color w:val="3A4A5C"/>
          <w:sz w:val="22"/>
          <w:szCs w:val="22"/>
        </w:rPr>
        <w:t xml:space="preserve">TrabFlow Technologies, S.L. se encuentra en proceso de constitución como matriz de un grupo tecnológico más amplio, y busca capital para acelerar tres frentes: completar la Base Maestra a los veinte oficios objetivo, consolidar el equipo fundador, y ejecutar la expansión geográfica a Iberia y LATAM.</w:t>
      </w:r>
    </w:p>
    <w:p>
      <w:pPr>
        <w:pStyle w:val="Heading1"/>
        <w:pageBreakBefore/>
      </w:pPr>
      <w:r>
        <w:t xml:space="preserve">2. Company Vision</w:t>
      </w:r>
    </w:p>
    <w:p>
      <w:pPr>
        <w:pBdr>
          <w:left w:val="single" w:color="C8922A" w:sz="18" w:space="8"/>
        </w:pBdr>
        <w:spacing w:after="200" w:before="120"/>
        <w:ind w:left="360"/>
      </w:pPr>
      <w:r>
        <w:rPr>
          <w:rFonts w:ascii="Georgia" w:cs="Georgia" w:eastAsia="Georgia" w:hAnsi="Georgia"/>
          <w:i/>
          <w:iCs/>
          <w:color w:val="1C2535"/>
          <w:sz w:val="24"/>
          <w:szCs w:val="24"/>
        </w:rPr>
        <w:t xml:space="preserve">Que cualquier profesional de oficio en el mundo hispanohablante gestione su negocio entero —desde el primer contacto con el cliente hasta el cobro de la factura— a través de TrabFlow, sin necesidad de escribir, sin papel y sin depender de una gestoría para entender cómo le va el negocio.</w:t>
      </w:r>
    </w:p>
    <w:p>
      <w:pPr>
        <w:spacing w:after="160"/>
      </w:pPr>
      <w:r>
        <w:rPr>
          <w:b w:val="false"/>
          <w:bCs w:val="false"/>
          <w:i w:val="false"/>
          <w:iCs w:val="false"/>
          <w:color w:val="3A4A5C"/>
          <w:sz w:val="22"/>
          <w:szCs w:val="22"/>
        </w:rPr>
        <w:t xml:space="preserve">TrabFlow aspira a convertirse en la infraestructura de software por defecto del sector de instalación y mantenimiento técnico en España y América Latina, del mismo modo en que ServiceTitan y Jobber lo son hoy en el mercado anglosajón de field service. La diferencia de TrabFlow es partir de un diseño nativo de inteligencia artificial, nativo de WhatsApp como canal de trabajo real, y nativo del marco fiscal español y latinoamericano desde el primer día.</w:t>
      </w:r>
    </w:p>
    <w:p>
      <w:pPr>
        <w:pStyle w:val="Heading1"/>
        <w:pageBreakBefore/>
      </w:pPr>
      <w:r>
        <w:t xml:space="preserve">3. Mission Statement</w:t>
      </w:r>
    </w:p>
    <w:p>
      <w:pPr>
        <w:pBdr>
          <w:left w:val="single" w:color="C8922A" w:sz="18" w:space="8"/>
        </w:pBdr>
        <w:spacing w:after="200" w:before="120"/>
        <w:ind w:left="360"/>
      </w:pPr>
      <w:r>
        <w:rPr>
          <w:rFonts w:ascii="Georgia" w:cs="Georgia" w:eastAsia="Georgia" w:hAnsi="Georgia"/>
          <w:i/>
          <w:iCs/>
          <w:color w:val="1C2535"/>
          <w:sz w:val="24"/>
          <w:szCs w:val="24"/>
        </w:rPr>
        <w:t xml:space="preserve">Eliminar el papeleo del oficio: que generar un presupuesto, gestionar un trabajo y cobrar una factura sea tan simple como hablar.</w:t>
      </w:r>
    </w:p>
    <w:p>
      <w:pPr>
        <w:spacing w:after="160"/>
      </w:pPr>
      <w:r>
        <w:rPr>
          <w:b w:val="false"/>
          <w:bCs w:val="false"/>
          <w:i w:val="false"/>
          <w:iCs w:val="false"/>
          <w:color w:val="3A4A5C"/>
          <w:sz w:val="22"/>
          <w:szCs w:val="22"/>
        </w:rPr>
        <w:t xml:space="preserve">Esta misión se traduce en una regla de producto explícita: cualquier flujo que hoy obligue a un instalador a escribir, rellenar un formulario largo o recordar un precio de memoria es candidato a sustituirse por voz, fotografía o una plantilla pre-construida. La inteligencia artificial de TrabFlow no “piensa” el presupuesto desde cero: recupera información de una base de datos estructurada por oficio (la Base Maestra), lo que reduce errores de cálculo y mantiene la coherencia de precios entre trabajos similares.</w:t>
      </w:r>
    </w:p>
    <w:p>
      <w:pPr>
        <w:pStyle w:val="Heading1"/>
        <w:pageBreakBefore/>
      </w:pPr>
      <w:r>
        <w:t xml:space="preserve">4. Market Opportunity</w:t>
      </w:r>
    </w:p>
    <w:p>
      <w:pPr>
        <w:spacing w:after="160"/>
      </w:pPr>
      <w:r>
        <w:rPr>
          <w:b w:val="false"/>
          <w:bCs w:val="false"/>
          <w:i w:val="false"/>
          <w:iCs w:val="false"/>
          <w:color w:val="3A4A5C"/>
          <w:sz w:val="22"/>
          <w:szCs w:val="22"/>
        </w:rPr>
        <w:t xml:space="preserve">España registraba 3.431.797 trabajadores autónomos a 31 de diciembre de 2025, una cifra en máximos históricos y en crecimiento sostenido desde 2013. Un porcentaje significativo de ese colectivo se concentra en oficios de instalación, mantenimiento y construcción —fontanería, electricidad, climatización, cerrajería, pintura, reformas— además de las pymes y micropymes que emplean a varios técnicos en estos mismos sectores.</w:t>
      </w:r>
    </w:p>
    <w:p>
      <w:pPr>
        <w:spacing w:after="160"/>
      </w:pPr>
      <w:r>
        <w:rPr>
          <w:b w:val="false"/>
          <w:bCs w:val="false"/>
          <w:i w:val="false"/>
          <w:iCs w:val="false"/>
          <w:color w:val="3A4A5C"/>
          <w:sz w:val="22"/>
          <w:szCs w:val="22"/>
        </w:rPr>
        <w:t xml:space="preserve">La categoría de software de gestión para profesionales de campo (“field service management”) ya ha demostrado en otros mercados que puede generar compañías de escala muy relevante. ServiceTitan, la referencia del mercado estadounidense, cotiza en bolsa con una capitalización en el entorno de los 7.000 millones de dólares y aproximadamente 1.000 millones de dólares de ingresos anuales a mediados de 2026, tras haber alcanzado una valoración privada de 10.000 millones de dólares en su última ronda antes de salir a bolsa. Jobber, centrada en pymes de servicios a domicilio, declaró unos ingresos de 167,5 millones de dólares en 2024 y supera ya los 100.000 clientes activos, con más de 100.000 millones de dólares en servicios procesados a través de su plataforma.</w:t>
      </w:r>
    </w:p>
    <w:p>
      <w:pPr>
        <w:spacing w:after="160"/>
      </w:pPr>
      <w:r>
        <w:rPr>
          <w:b w:val="false"/>
          <w:bCs w:val="false"/>
          <w:i w:val="false"/>
          <w:iCs w:val="false"/>
          <w:color w:val="3A4A5C"/>
          <w:sz w:val="22"/>
          <w:szCs w:val="22"/>
        </w:rPr>
        <w:t xml:space="preserve">Ninguno de estos actores opera de forma nativa en español, ninguno está construido sobre un pipeline de inteligencia artificial conversacional como punto de entrada, y ninguno resuelve el marco fiscal español (series de facturación F-/M-/R-, VeriFactu) ni el mexicano (CFDI). Esa ausencia, combinada con un colectivo de más de tres millones de autónomos españoles y una base aún mayor en América Latina, define el espacio de oportunidad de TrabFlow.</w:t>
      </w:r>
    </w:p>
    <w:p>
      <w:pPr>
        <w:pStyle w:val="Heading1"/>
        <w:pageBreakBefore/>
      </w:pPr>
      <w:r>
        <w:t xml:space="preserve">5. Industry Problems</w:t>
      </w:r>
    </w:p>
    <w:p>
      <w:pPr>
        <w:pStyle w:val="ListParagraph"/>
        <w:numPr>
          <w:ilvl w:val="0"/>
          <w:numId w:val="2"/>
        </w:numPr>
        <w:spacing w:after="90"/>
      </w:pPr>
      <w:r>
        <w:rPr>
          <w:color w:val="3A4A5C"/>
          <w:sz w:val="22"/>
          <w:szCs w:val="22"/>
        </w:rPr>
        <w:t xml:space="preserve">Carga administrativa diaria: entre dos y cuatro horas al día dedicadas a presupuestos, facturas y seguimiento de cobros en lugar de trabajo facturable.</w:t>
      </w:r>
    </w:p>
    <w:p>
      <w:pPr>
        <w:pStyle w:val="ListParagraph"/>
        <w:numPr>
          <w:ilvl w:val="0"/>
          <w:numId w:val="2"/>
        </w:numPr>
        <w:spacing w:after="90"/>
      </w:pPr>
      <w:r>
        <w:rPr>
          <w:color w:val="3A4A5C"/>
          <w:sz w:val="22"/>
          <w:szCs w:val="22"/>
        </w:rPr>
        <w:t xml:space="preserve">Presupuestos inconsistentes: hechos a mano, por WhatsApp en texto libre o en Excel, sin trazabilidad ni catálogo de precios homogéneo.</w:t>
      </w:r>
    </w:p>
    <w:p>
      <w:pPr>
        <w:pStyle w:val="ListParagraph"/>
        <w:numPr>
          <w:ilvl w:val="0"/>
          <w:numId w:val="2"/>
        </w:numPr>
        <w:spacing w:after="90"/>
      </w:pPr>
      <w:r>
        <w:rPr>
          <w:color w:val="3A4A5C"/>
          <w:sz w:val="22"/>
          <w:szCs w:val="22"/>
        </w:rPr>
        <w:t xml:space="preserve">Pérdida de oportunidades comerciales por lentitud de respuesta frente a la competencia.</w:t>
      </w:r>
    </w:p>
    <w:p>
      <w:pPr>
        <w:pStyle w:val="ListParagraph"/>
        <w:numPr>
          <w:ilvl w:val="0"/>
          <w:numId w:val="2"/>
        </w:numPr>
        <w:spacing w:after="90"/>
      </w:pPr>
      <w:r>
        <w:rPr>
          <w:color w:val="3A4A5C"/>
          <w:sz w:val="22"/>
          <w:szCs w:val="22"/>
        </w:rPr>
        <w:t xml:space="preserve">Riesgo fiscal: numeración de facturas poco rigurosa, sin snapshot de datos fiscales del cliente, sin preparación real para VeriFactu (RD 1007/2023).</w:t>
      </w:r>
    </w:p>
    <w:p>
      <w:pPr>
        <w:pStyle w:val="ListParagraph"/>
        <w:numPr>
          <w:ilvl w:val="0"/>
          <w:numId w:val="2"/>
        </w:numPr>
        <w:spacing w:after="90"/>
      </w:pPr>
      <w:r>
        <w:rPr>
          <w:color w:val="3A4A5C"/>
          <w:sz w:val="22"/>
          <w:szCs w:val="22"/>
        </w:rPr>
        <w:t xml:space="preserve">Falta de visibilidad de margen real, especialmente cuando una parte del trabajo se subcontrata a un proveedor externo o se compran materiales a un mayorista.</w:t>
      </w:r>
    </w:p>
    <w:p>
      <w:pPr>
        <w:pStyle w:val="ListParagraph"/>
        <w:numPr>
          <w:ilvl w:val="0"/>
          <w:numId w:val="2"/>
        </w:numPr>
        <w:spacing w:after="90"/>
      </w:pPr>
      <w:r>
        <w:rPr>
          <w:color w:val="3A4A5C"/>
          <w:sz w:val="22"/>
          <w:szCs w:val="22"/>
        </w:rPr>
        <w:t xml:space="preserve">Coordinación de equipo por llamadas de teléfono y grupos de WhatsApp, sin un sistema de registro único de los trabajos asignados.</w:t>
      </w:r>
    </w:p>
    <w:p>
      <w:pPr>
        <w:pStyle w:val="ListParagraph"/>
        <w:numPr>
          <w:ilvl w:val="0"/>
          <w:numId w:val="2"/>
        </w:numPr>
        <w:spacing w:after="90"/>
      </w:pPr>
      <w:r>
        <w:rPr>
          <w:color w:val="3A4A5C"/>
          <w:sz w:val="22"/>
          <w:szCs w:val="22"/>
        </w:rPr>
        <w:t xml:space="preserve">Contratos de mantenimiento gestionados en hojas de cálculo, con renovaciones y facturación periódica que se olvidan o se retrasan.</w:t>
      </w:r>
    </w:p>
    <w:p>
      <w:pPr>
        <w:pStyle w:val="ListParagraph"/>
        <w:numPr>
          <w:ilvl w:val="0"/>
          <w:numId w:val="2"/>
        </w:numPr>
        <w:spacing w:after="90"/>
      </w:pPr>
      <w:r>
        <w:rPr>
          <w:color w:val="3A4A5C"/>
          <w:sz w:val="22"/>
          <w:szCs w:val="22"/>
        </w:rPr>
        <w:t xml:space="preserve">Brecha de adopción de IA: solo 2 de cada 10 autónomos españoles usa hoy herramientas de inteligencia artificial en su actividad (UPTA, junio 2026), no por falta de necesidad sino por falta de herramientas pensadas para su forma de trabajar.</w:t>
      </w:r>
    </w:p>
    <w:p>
      <w:pPr>
        <w:pStyle w:val="Heading1"/>
        <w:pageBreakBefore/>
      </w:pPr>
      <w:r>
        <w:t xml:space="preserve">6. Why Existing Solutions Fail</w:t>
      </w:r>
    </w:p>
    <w:p>
      <w:pPr>
        <w:pStyle w:val="Heading2"/>
      </w:pPr>
      <w:r>
        <w:t xml:space="preserve">Gestión y facturación horizontal (Holded, Quipu, Billin, Contasol)</w:t>
      </w:r>
    </w:p>
    <w:p>
      <w:pPr>
        <w:spacing w:after="160"/>
      </w:pPr>
      <w:r>
        <w:rPr>
          <w:b w:val="false"/>
          <w:bCs w:val="false"/>
          <w:i w:val="false"/>
          <w:iCs w:val="false"/>
          <w:color w:val="3A4A5C"/>
          <w:sz w:val="22"/>
          <w:szCs w:val="22"/>
        </w:rPr>
        <w:t xml:space="preserve">Resuelven bien la contabilidad y la facturación genérica de cualquier pyme, pero no están diseñados para un oficio concreto: no incorporan un catálogo de actuaciones técnicas, no generan presupuestos por voz o foto, y su experiencia móvil está pensada para revisar datos, no para trabajar desde la furgoneta o la obra.</w:t>
      </w:r>
    </w:p>
    <w:p>
      <w:pPr>
        <w:pStyle w:val="Heading2"/>
      </w:pPr>
      <w:r>
        <w:t xml:space="preserve">Field service internacional (Jobber, ServiceM8, Tradify, Simpro, ServiceTitan)</w:t>
      </w:r>
    </w:p>
    <w:p>
      <w:pPr>
        <w:spacing w:after="160"/>
      </w:pPr>
      <w:r>
        <w:rPr>
          <w:b w:val="false"/>
          <w:bCs w:val="false"/>
          <w:i w:val="false"/>
          <w:iCs w:val="false"/>
          <w:color w:val="3A4A5C"/>
          <w:sz w:val="22"/>
          <w:szCs w:val="22"/>
        </w:rPr>
        <w:t xml:space="preserve">Resuelven bien la planificación de trabajos y la facturación en el mercado anglosajón, pero no están adaptados al marco fiscal español ni al mexicano, no integran WhatsApp como canal nativo de comunicación con el cliente —el canal que un instalador español usa de facto todos los días— y su curva de adopción asume un nivel de alfabetización digital y de idioma que no siempre se da en el colectivo autónomo español.</w:t>
      </w:r>
    </w:p>
    <w:p>
      <w:pPr>
        <w:pStyle w:val="Heading2"/>
      </w:pPr>
      <w:r>
        <w:t xml:space="preserve">El statu quo: papel, Excel y WhatsApp</w:t>
      </w:r>
    </w:p>
    <w:p>
      <w:pPr>
        <w:spacing w:after="160"/>
      </w:pPr>
      <w:r>
        <w:rPr>
          <w:b w:val="false"/>
          <w:bCs w:val="false"/>
          <w:i w:val="false"/>
          <w:iCs w:val="false"/>
          <w:color w:val="3A4A5C"/>
          <w:sz w:val="22"/>
          <w:szCs w:val="22"/>
        </w:rPr>
        <w:t xml:space="preserve">Es la opción “más barata” en apariencia, pero esconde un coste real en horas perdidas, presupuestos no enviados a tiempo, errores fiscales y trabajos sin margen calculado. Es el competidor más grande de TrabFlow, no por mérito propio sino por inercia.</w:t>
      </w:r>
    </w:p>
    <w:p>
      <w:pPr>
        <w:spacing w:after="160"/>
      </w:pPr>
      <w:r>
        <w:rPr>
          <w:b w:val="false"/>
          <w:bCs w:val="false"/>
          <w:i w:val="false"/>
          <w:iCs w:val="false"/>
          <w:color w:val="3A4A5C"/>
          <w:sz w:val="22"/>
          <w:szCs w:val="22"/>
        </w:rPr>
        <w:t xml:space="preserve">Ningún actor combina simultáneamente: catálogo estructurado por oficio, inteligencia artificial conversacional (voz y foto) como punto de entrada, cumplimiento fiscal español/LATAM nativo, y WhatsApp como canal de primera clase. Ese es exactamente el espacio que ocupa TrabFlow.</w:t>
      </w:r>
    </w:p>
    <w:p>
      <w:pPr>
        <w:pStyle w:val="Heading1"/>
        <w:pageBreakBefore/>
      </w:pPr>
      <w:r>
        <w:t xml:space="preserve">7. The TrabFlow Solution</w:t>
      </w:r>
    </w:p>
    <w:p>
      <w:pPr>
        <w:spacing w:after="160"/>
      </w:pPr>
      <w:r>
        <w:rPr>
          <w:b w:val="false"/>
          <w:bCs w:val="false"/>
          <w:i w:val="false"/>
          <w:iCs w:val="false"/>
          <w:color w:val="3A4A5C"/>
          <w:sz w:val="22"/>
          <w:szCs w:val="22"/>
        </w:rPr>
        <w:t xml:space="preserve">TrabFlow es una plataforma única que cubre todo el ciclo de vida del trabajo: desde la primera solicitud del cliente hasta el cobro de la factura, pasando por la planificación, la ejecución en campo y, cuando aplica, la externalización a un proveedor colaborador o la compra de material a un mayorista.</w:t>
      </w:r>
    </w:p>
    <w:p>
      <w:pPr>
        <w:pStyle w:val="ListParagraph"/>
        <w:numPr>
          <w:ilvl w:val="0"/>
          <w:numId w:val="2"/>
        </w:numPr>
        <w:spacing w:after="90"/>
      </w:pPr>
      <w:r>
        <w:rPr>
          <w:color w:val="3A4A5C"/>
          <w:sz w:val="22"/>
          <w:szCs w:val="22"/>
        </w:rPr>
        <w:t xml:space="preserve">IA conversacional como punto de entrada: presupuesto por voz en menos de tres minutos, o por fotografía del trabajo.</w:t>
      </w:r>
    </w:p>
    <w:p>
      <w:pPr>
        <w:pStyle w:val="ListParagraph"/>
        <w:numPr>
          <w:ilvl w:val="0"/>
          <w:numId w:val="2"/>
        </w:numPr>
        <w:spacing w:after="90"/>
      </w:pPr>
      <w:r>
        <w:rPr>
          <w:color w:val="3A4A5C"/>
          <w:sz w:val="22"/>
          <w:szCs w:val="22"/>
        </w:rPr>
        <w:t xml:space="preserve">Base Maestra: catálogo estructurado de actuaciones por oficio que la IA consulta en lugar de improvisar, evitando errores de cálculo.</w:t>
      </w:r>
    </w:p>
    <w:p>
      <w:pPr>
        <w:pStyle w:val="ListParagraph"/>
        <w:numPr>
          <w:ilvl w:val="0"/>
          <w:numId w:val="2"/>
        </w:numPr>
        <w:spacing w:after="90"/>
      </w:pPr>
      <w:r>
        <w:rPr>
          <w:color w:val="3A4A5C"/>
          <w:sz w:val="22"/>
          <w:szCs w:val="22"/>
        </w:rPr>
        <w:t xml:space="preserve">Diseño dual: app móvil de 9 módulos centrados en velocidad de campo; panel de escritorio para gestión, analítica y administración.</w:t>
      </w:r>
    </w:p>
    <w:p>
      <w:pPr>
        <w:pStyle w:val="ListParagraph"/>
        <w:numPr>
          <w:ilvl w:val="0"/>
          <w:numId w:val="2"/>
        </w:numPr>
        <w:spacing w:after="90"/>
      </w:pPr>
      <w:r>
        <w:rPr>
          <w:color w:val="3A4A5C"/>
          <w:sz w:val="22"/>
          <w:szCs w:val="22"/>
        </w:rPr>
        <w:t xml:space="preserve">WhatsApp nativo: envío de presupuestos, recordatorios de pago y avisos de visita por el canal que el cliente y el instalador ya usan.</w:t>
      </w:r>
    </w:p>
    <w:p>
      <w:pPr>
        <w:pStyle w:val="ListParagraph"/>
        <w:numPr>
          <w:ilvl w:val="0"/>
          <w:numId w:val="2"/>
        </w:numPr>
        <w:spacing w:after="90"/>
      </w:pPr>
      <w:r>
        <w:rPr>
          <w:color w:val="3A4A5C"/>
          <w:sz w:val="22"/>
          <w:szCs w:val="22"/>
        </w:rPr>
        <w:t xml:space="preserve">Cumplimiento fiscal español incorporado: series F-/M-/R-, snapshot fiscal al emitir, preparación para VeriFactu.</w:t>
      </w:r>
    </w:p>
    <w:p>
      <w:pPr>
        <w:pStyle w:val="ListParagraph"/>
        <w:numPr>
          <w:ilvl w:val="0"/>
          <w:numId w:val="2"/>
        </w:numPr>
        <w:spacing w:after="90"/>
      </w:pPr>
      <w:r>
        <w:rPr>
          <w:color w:val="3A4A5C"/>
          <w:sz w:val="22"/>
          <w:szCs w:val="22"/>
        </w:rPr>
        <w:t xml:space="preserve">Gestión de equipo y de la cadena de suministro: técnicos de campo, proveedores colaboradores y mayoristas de material, todo dentro de la misma plataforma.</w:t>
      </w:r>
    </w:p>
    <w:p>
      <w:pPr>
        <w:pStyle w:val="Heading1"/>
        <w:pageBreakBefore/>
      </w:pPr>
      <w:r>
        <w:t xml:space="preserve">8. Product Overview</w:t>
      </w:r>
    </w:p>
    <w:p>
      <w:pPr>
        <w:spacing w:after="160"/>
      </w:pPr>
      <w:r>
        <w:rPr>
          <w:b/>
          <w:bCs/>
          <w:color w:val="1C2535"/>
          <w:sz w:val="22"/>
          <w:szCs w:val="22"/>
        </w:rPr>
        <w:t xml:space="preserve">App móvil de campo — </w:t>
      </w:r>
      <w:r>
        <w:rPr>
          <w:color w:val="3A4A5C"/>
          <w:sz w:val="22"/>
          <w:szCs w:val="22"/>
        </w:rPr>
        <w:t xml:space="preserve">presupuestos por voz o foto, trabajos del día, ruta optimizada, parte de trabajo con fotos y materiales, clientes. Pensada para velocidad, no para análisis.</w:t>
      </w:r>
    </w:p>
    <w:p>
      <w:pPr>
        <w:spacing w:after="160"/>
      </w:pPr>
      <w:r>
        <w:rPr>
          <w:b/>
          <w:bCs/>
          <w:color w:val="1C2535"/>
          <w:sz w:val="22"/>
          <w:szCs w:val="22"/>
        </w:rPr>
        <w:t xml:space="preserve">Panel de gestión (escritorio) — </w:t>
      </w:r>
      <w:r>
        <w:rPr>
          <w:color w:val="3A4A5C"/>
          <w:sz w:val="22"/>
          <w:szCs w:val="22"/>
        </w:rPr>
        <w:t xml:space="preserve">ingresos y rentabilidad, contratos de mantenimiento, catálogo y tarifas, equipo y permisos, trabajadores de campo, proveedores colaboradores y mayoristas, ajustes de empresa, panel de administración.</w:t>
      </w:r>
    </w:p>
    <w:p>
      <w:pPr>
        <w:spacing w:after="160"/>
      </w:pPr>
      <w:r>
        <w:rPr>
          <w:b/>
          <w:bCs/>
          <w:color w:val="1C2535"/>
          <w:sz w:val="22"/>
          <w:szCs w:val="22"/>
        </w:rPr>
        <w:t xml:space="preserve">Pipeline de inteligencia artificial — </w:t>
      </w:r>
      <w:r>
        <w:rPr>
          <w:color w:val="3A4A5C"/>
          <w:sz w:val="22"/>
          <w:szCs w:val="22"/>
        </w:rPr>
        <w:t xml:space="preserve">voz a presupuesto, foto a presupuesto, voz a parte de trabajo (detección automática de materiales), chatbot de ayuda contextual que además recoge necesidades no cubiertas para alimentar el roadmap.</w:t>
      </w:r>
    </w:p>
    <w:p>
      <w:pPr>
        <w:spacing w:after="160"/>
      </w:pPr>
      <w:r>
        <w:rPr>
          <w:b/>
          <w:bCs/>
          <w:color w:val="1C2535"/>
          <w:sz w:val="22"/>
          <w:szCs w:val="22"/>
        </w:rPr>
        <w:t xml:space="preserve">Módulo de mantenimiento — </w:t>
      </w:r>
      <w:r>
        <w:rPr>
          <w:color w:val="3A4A5C"/>
          <w:sz w:val="22"/>
          <w:szCs w:val="22"/>
        </w:rPr>
        <w:t xml:space="preserve">contratos legales con cláusulas predefinidas para 23 sectores, generación automática de visitas periódicas y de su facturación.</w:t>
      </w:r>
    </w:p>
    <w:p>
      <w:pPr>
        <w:spacing w:after="160"/>
      </w:pPr>
      <w:r>
        <w:rPr>
          <w:b/>
          <w:bCs/>
          <w:color w:val="1C2535"/>
          <w:sz w:val="22"/>
          <w:szCs w:val="22"/>
        </w:rPr>
        <w:t xml:space="preserve">Módulo de trabajos externalizados y proveedores — </w:t>
      </w:r>
      <w:r>
        <w:rPr>
          <w:color w:val="3A4A5C"/>
          <w:sz w:val="22"/>
          <w:szCs w:val="22"/>
        </w:rPr>
        <w:t xml:space="preserve">cuando el instalador subcontrata una parte del trabajo, TrabFlow gestiona el ciclo completo con el proveedor —incluida una calculadora de margen— sin que el cliente final vea nunca la palabra “subcontrata”.</w:t>
      </w:r>
    </w:p>
    <w:p>
      <w:pPr>
        <w:spacing w:after="160"/>
      </w:pPr>
      <w:r>
        <w:rPr>
          <w:b/>
          <w:bCs/>
          <w:color w:val="1C2535"/>
          <w:sz w:val="22"/>
          <w:szCs w:val="22"/>
        </w:rPr>
        <w:t xml:space="preserve">Panel financiero — </w:t>
      </w:r>
      <w:r>
        <w:rPr>
          <w:color w:val="3A4A5C"/>
          <w:sz w:val="22"/>
          <w:szCs w:val="22"/>
        </w:rPr>
        <w:t xml:space="preserve">ingresos, gastos (compras de material y trabajos externalizados) y resultado neto, con desglose mensual.</w:t>
      </w:r>
    </w:p>
    <w:p>
      <w:pPr>
        <w:pStyle w:val="Heading1"/>
        <w:pageBreakBefore/>
      </w:pPr>
      <w:r>
        <w:t xml:space="preserve">9. Core Value Proposition</w:t>
      </w:r>
    </w:p>
    <w:p>
      <w:pPr>
        <w:pBdr>
          <w:left w:val="single" w:color="C8922A" w:sz="18" w:space="8"/>
        </w:pBdr>
        <w:spacing w:after="200" w:before="120"/>
        <w:ind w:left="360"/>
      </w:pPr>
      <w:r>
        <w:rPr>
          <w:rFonts w:ascii="Georgia" w:cs="Georgia" w:eastAsia="Georgia" w:hAnsi="Georgia"/>
          <w:i/>
          <w:iCs/>
          <w:color w:val="1C2535"/>
          <w:sz w:val="24"/>
          <w:szCs w:val="24"/>
        </w:rPr>
        <w:t xml:space="preserve">De la voz a la factura cobrada, sin escribir.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1C2535" w:val="clear"/>
            <w:tcMar>
              <w:top w:type="dxa" w:w="100"/>
              <w:left w:type="dxa" w:w="130"/>
              <w:bottom w:type="dxa" w:w="100"/>
              <w:right w:type="dxa" w:w="130"/>
            </w:tcMar>
            <w:vAlign w:val="center"/>
          </w:tcPr>
          <w:p>
            <w:r>
              <w:rPr>
                <w:b/>
                <w:bCs/>
                <w:color w:val="FFFFFF"/>
                <w:sz w:val="20"/>
                <w:szCs w:val="20"/>
              </w:rPr>
              <w:t xml:space="preserve">Para el instalador</w:t>
            </w:r>
          </w:p>
        </w:tc>
        <w:tc>
          <w:tcPr>
            <w:tcW w:type="dxa" w:w="7060"/>
            <w:shd w:fill="1C2535" w:val="clear"/>
            <w:tcMar>
              <w:top w:type="dxa" w:w="100"/>
              <w:left w:type="dxa" w:w="130"/>
              <w:bottom w:type="dxa" w:w="100"/>
              <w:right w:type="dxa" w:w="130"/>
            </w:tcMar>
            <w:vAlign w:val="center"/>
          </w:tcPr>
          <w:p>
            <w:r>
              <w:rPr>
                <w:b/>
                <w:bCs/>
                <w:color w:val="FFFFFF"/>
                <w:sz w:val="20"/>
                <w:szCs w:val="20"/>
              </w:rPr>
              <w:t xml:space="preserve">Qué obtiene</w:t>
            </w:r>
          </w:p>
        </w:tc>
      </w:tr>
      <w:tr>
        <w:tc>
          <w:tcPr>
            <w:tcW w:type="dxa" w:w="2300"/>
            <w:shd w:fill="F7F4F0" w:val="clear"/>
            <w:tcMar>
              <w:top w:type="dxa" w:w="100"/>
              <w:left w:type="dxa" w:w="130"/>
              <w:bottom w:type="dxa" w:w="100"/>
              <w:right w:type="dxa" w:w="130"/>
            </w:tcMar>
            <w:vAlign w:val="center"/>
          </w:tcPr>
          <w:p>
            <w:r>
              <w:rPr>
                <w:b w:val="false"/>
                <w:bCs w:val="false"/>
                <w:color w:val="3A4A5C"/>
                <w:sz w:val="20"/>
                <w:szCs w:val="20"/>
              </w:rPr>
              <w:t xml:space="preserve">Tiempo</w:t>
            </w:r>
          </w:p>
        </w:tc>
        <w:tc>
          <w:tcPr>
            <w:tcW w:type="dxa" w:w="7060"/>
            <w:shd w:fill="F7F4F0" w:val="clear"/>
            <w:tcMar>
              <w:top w:type="dxa" w:w="100"/>
              <w:left w:type="dxa" w:w="130"/>
              <w:bottom w:type="dxa" w:w="100"/>
              <w:right w:type="dxa" w:w="130"/>
            </w:tcMar>
            <w:vAlign w:val="center"/>
          </w:tcPr>
          <w:p>
            <w:r>
              <w:rPr>
                <w:b w:val="false"/>
                <w:bCs w:val="false"/>
                <w:color w:val="3A4A5C"/>
                <w:sz w:val="20"/>
                <w:szCs w:val="20"/>
              </w:rPr>
              <w:t xml:space="preserve">Presupuestos en minutos en lugar de horas; menos papeleo, más horas facturables en obra.</w:t>
            </w:r>
          </w:p>
        </w:tc>
      </w:tr>
      <w:tr>
        <w:tc>
          <w:tcPr>
            <w:tcW w:type="dxa" w:w="2300"/>
            <w:shd w:fill="FFFFFF" w:val="clear"/>
            <w:tcMar>
              <w:top w:type="dxa" w:w="100"/>
              <w:left w:type="dxa" w:w="130"/>
              <w:bottom w:type="dxa" w:w="100"/>
              <w:right w:type="dxa" w:w="130"/>
            </w:tcMar>
            <w:vAlign w:val="center"/>
          </w:tcPr>
          <w:p>
            <w:r>
              <w:rPr>
                <w:b w:val="false"/>
                <w:bCs w:val="false"/>
                <w:color w:val="3A4A5C"/>
                <w:sz w:val="20"/>
                <w:szCs w:val="20"/>
              </w:rPr>
              <w:t xml:space="preserve">Profesionalidad</w:t>
            </w:r>
          </w:p>
        </w:tc>
        <w:tc>
          <w:tcPr>
            <w:tcW w:type="dxa" w:w="7060"/>
            <w:shd w:fill="FFFFFF" w:val="clear"/>
            <w:tcMar>
              <w:top w:type="dxa" w:w="100"/>
              <w:left w:type="dxa" w:w="130"/>
              <w:bottom w:type="dxa" w:w="100"/>
              <w:right w:type="dxa" w:w="130"/>
            </w:tcMar>
            <w:vAlign w:val="center"/>
          </w:tcPr>
          <w:p>
            <w:r>
              <w:rPr>
                <w:b w:val="false"/>
                <w:bCs w:val="false"/>
                <w:color w:val="3A4A5C"/>
                <w:sz w:val="20"/>
                <w:szCs w:val="20"/>
              </w:rPr>
              <w:t xml:space="preserve">Presupuestos, contratos y facturas con el mismo formato cuidado en cada trabajo, sin depender de la pericia administrativa del instalador.</w:t>
            </w:r>
          </w:p>
        </w:tc>
      </w:tr>
      <w:tr>
        <w:tc>
          <w:tcPr>
            <w:tcW w:type="dxa" w:w="2300"/>
            <w:shd w:fill="F7F4F0" w:val="clear"/>
            <w:tcMar>
              <w:top w:type="dxa" w:w="100"/>
              <w:left w:type="dxa" w:w="130"/>
              <w:bottom w:type="dxa" w:w="100"/>
              <w:right w:type="dxa" w:w="130"/>
            </w:tcMar>
            <w:vAlign w:val="center"/>
          </w:tcPr>
          <w:p>
            <w:r>
              <w:rPr>
                <w:b w:val="false"/>
                <w:bCs w:val="false"/>
                <w:color w:val="3A4A5C"/>
                <w:sz w:val="20"/>
                <w:szCs w:val="20"/>
              </w:rPr>
              <w:t xml:space="preserve">Seguridad fiscal</w:t>
            </w:r>
          </w:p>
        </w:tc>
        <w:tc>
          <w:tcPr>
            <w:tcW w:type="dxa" w:w="7060"/>
            <w:shd w:fill="F7F4F0" w:val="clear"/>
            <w:tcMar>
              <w:top w:type="dxa" w:w="100"/>
              <w:left w:type="dxa" w:w="130"/>
              <w:bottom w:type="dxa" w:w="100"/>
              <w:right w:type="dxa" w:w="130"/>
            </w:tcMar>
            <w:vAlign w:val="center"/>
          </w:tcPr>
          <w:p>
            <w:r>
              <w:rPr>
                <w:b w:val="false"/>
                <w:bCs w:val="false"/>
                <w:color w:val="3A4A5C"/>
                <w:sz w:val="20"/>
                <w:szCs w:val="20"/>
              </w:rPr>
              <w:t xml:space="preserve">Numeración correcta, snapshot fiscal del cliente al emitir, camino directo hacia el cumplimiento de VeriFactu.</w:t>
            </w:r>
          </w:p>
        </w:tc>
      </w:tr>
      <w:tr>
        <w:tc>
          <w:tcPr>
            <w:tcW w:type="dxa" w:w="2300"/>
            <w:shd w:fill="FFFFFF" w:val="clear"/>
            <w:tcMar>
              <w:top w:type="dxa" w:w="100"/>
              <w:left w:type="dxa" w:w="130"/>
              <w:bottom w:type="dxa" w:w="100"/>
              <w:right w:type="dxa" w:w="130"/>
            </w:tcMar>
            <w:vAlign w:val="center"/>
          </w:tcPr>
          <w:p>
            <w:r>
              <w:rPr>
                <w:b w:val="false"/>
                <w:bCs w:val="false"/>
                <w:color w:val="3A4A5C"/>
                <w:sz w:val="20"/>
                <w:szCs w:val="20"/>
              </w:rPr>
              <w:t xml:space="preserve">Coordinación</w:t>
            </w:r>
          </w:p>
        </w:tc>
        <w:tc>
          <w:tcPr>
            <w:tcW w:type="dxa" w:w="7060"/>
            <w:shd w:fill="FFFFFF" w:val="clear"/>
            <w:tcMar>
              <w:top w:type="dxa" w:w="100"/>
              <w:left w:type="dxa" w:w="130"/>
              <w:bottom w:type="dxa" w:w="100"/>
              <w:right w:type="dxa" w:w="130"/>
            </w:tcMar>
            <w:vAlign w:val="center"/>
          </w:tcPr>
          <w:p>
            <w:r>
              <w:rPr>
                <w:b w:val="false"/>
                <w:bCs w:val="false"/>
                <w:color w:val="3A4A5C"/>
                <w:sz w:val="20"/>
                <w:szCs w:val="20"/>
              </w:rPr>
              <w:t xml:space="preserve">El propietario asigna trabajos y el técnico los recibe por notificación push, sin llamadas ni confusión sobre quién hace qué.</w:t>
            </w:r>
          </w:p>
        </w:tc>
      </w:tr>
      <w:tr>
        <w:tc>
          <w:tcPr>
            <w:tcW w:type="dxa" w:w="2300"/>
            <w:shd w:fill="F7F4F0" w:val="clear"/>
            <w:tcMar>
              <w:top w:type="dxa" w:w="100"/>
              <w:left w:type="dxa" w:w="130"/>
              <w:bottom w:type="dxa" w:w="100"/>
              <w:right w:type="dxa" w:w="130"/>
            </w:tcMar>
            <w:vAlign w:val="center"/>
          </w:tcPr>
          <w:p>
            <w:r>
              <w:rPr>
                <w:b w:val="false"/>
                <w:bCs w:val="false"/>
                <w:color w:val="3A4A5C"/>
                <w:sz w:val="20"/>
                <w:szCs w:val="20"/>
              </w:rPr>
              <w:t xml:space="preserve">Visibilidad financiera</w:t>
            </w:r>
          </w:p>
        </w:tc>
        <w:tc>
          <w:tcPr>
            <w:tcW w:type="dxa" w:w="7060"/>
            <w:shd w:fill="F7F4F0" w:val="clear"/>
            <w:tcMar>
              <w:top w:type="dxa" w:w="100"/>
              <w:left w:type="dxa" w:w="130"/>
              <w:bottom w:type="dxa" w:w="100"/>
              <w:right w:type="dxa" w:w="130"/>
            </w:tcMar>
            <w:vAlign w:val="center"/>
          </w:tcPr>
          <w:p>
            <w:r>
              <w:rPr>
                <w:b w:val="false"/>
                <w:bCs w:val="false"/>
                <w:color w:val="3A4A5C"/>
                <w:sz w:val="20"/>
                <w:szCs w:val="20"/>
              </w:rPr>
              <w:t xml:space="preserve">Margen real por trabajo, incluso cuando hay material comprado a un mayorista o parte del trabajo subcontratado a un proveedor.</w:t>
            </w:r>
          </w:p>
        </w:tc>
      </w:tr>
    </w:tbl>
    <w:p>
      <w:pPr>
        <w:pStyle w:val="Heading1"/>
        <w:pageBreakBefore/>
      </w:pPr>
      <w:r>
        <w:t xml:space="preserve">10. Customer Personas</w:t>
      </w:r>
    </w:p>
    <w:p>
      <w:pPr>
        <w:pStyle w:val="Heading2"/>
      </w:pPr>
      <w:r>
        <w:t xml:space="preserve">El instalador autónomo sin empleados</w:t>
      </w:r>
    </w:p>
    <w:p>
      <w:pPr>
        <w:spacing w:after="160"/>
      </w:pPr>
      <w:r>
        <w:rPr>
          <w:b w:val="false"/>
          <w:bCs w:val="false"/>
          <w:i w:val="false"/>
          <w:iCs w:val="false"/>
          <w:color w:val="3A4A5C"/>
          <w:sz w:val="22"/>
          <w:szCs w:val="22"/>
        </w:rPr>
        <w:t xml:space="preserve">Hace de todo: presupuesta, ejecuta, factura y cobra. Tiempo es su recurso más escaso y su alfabetización digital es limitada. Valora la velocidad por encima de cualquier funcionalidad avanzada. Es el usuario fundacional del plan Profesional.</w:t>
      </w:r>
    </w:p>
    <w:p>
      <w:pPr>
        <w:pStyle w:val="Heading2"/>
      </w:pPr>
      <w:r>
        <w:t xml:space="preserve">La microempresa de 2 a 5 técnicos</w:t>
      </w:r>
    </w:p>
    <w:p>
      <w:pPr>
        <w:spacing w:after="160"/>
      </w:pPr>
      <w:r>
        <w:rPr>
          <w:b w:val="false"/>
          <w:bCs w:val="false"/>
          <w:i w:val="false"/>
          <w:iCs w:val="false"/>
          <w:color w:val="3A4A5C"/>
          <w:sz w:val="22"/>
          <w:szCs w:val="22"/>
        </w:rPr>
        <w:t xml:space="preserve">Necesita coordinar trabajos entre varias personas, controlar quién hace qué y mantener una facturación consistente. Es el perfil objetivo natural del plan Empresa, que añade miembros de equipo, mantenimiento y el módulo de trabajos externalizados.</w:t>
      </w:r>
    </w:p>
    <w:p>
      <w:pPr>
        <w:pStyle w:val="Heading2"/>
      </w:pPr>
      <w:r>
        <w:t xml:space="preserve">La empresa de mantenimiento técnico</w:t>
      </w:r>
    </w:p>
    <w:p>
      <w:pPr>
        <w:spacing w:after="160"/>
      </w:pPr>
      <w:r>
        <w:rPr>
          <w:b w:val="false"/>
          <w:bCs w:val="false"/>
          <w:i w:val="false"/>
          <w:iCs w:val="false"/>
          <w:color w:val="3A4A5C"/>
          <w:sz w:val="22"/>
          <w:szCs w:val="22"/>
        </w:rPr>
        <w:t xml:space="preserve">Gestiona contratos recurrentes con cláusulas específicas por sector —protección contra incendios, hostelería, sanidad, colegios, residencias, banca— y necesita generación automática de visitas y facturación periódica.</w:t>
      </w:r>
    </w:p>
    <w:p>
      <w:pPr>
        <w:pStyle w:val="Heading2"/>
      </w:pPr>
      <w:r>
        <w:t xml:space="preserve">La empresa multiservicio que subcontrata</w:t>
      </w:r>
    </w:p>
    <w:p>
      <w:pPr>
        <w:spacing w:after="160"/>
      </w:pPr>
      <w:r>
        <w:rPr>
          <w:b w:val="false"/>
          <w:bCs w:val="false"/>
          <w:i w:val="false"/>
          <w:iCs w:val="false"/>
          <w:color w:val="3A4A5C"/>
          <w:sz w:val="22"/>
          <w:szCs w:val="22"/>
        </w:rPr>
        <w:t xml:space="preserve">Coordina una red de proveedores colaboradores y mayoristas de material, y necesita visibilidad de margen sobre cada partida externalizada. Es el perfil más avanzado, alineado con el plan Empresa+.</w:t>
      </w:r>
    </w:p>
    <w:p>
      <w:pPr>
        <w:pStyle w:val="Heading1"/>
        <w:pageBreakBefore/>
      </w:pPr>
      <w:r>
        <w:t xml:space="preserve">11. Jobs To Be Done</w:t>
      </w:r>
    </w:p>
    <w:p>
      <w:pPr>
        <w:pStyle w:val="ListParagraph"/>
        <w:numPr>
          <w:ilvl w:val="0"/>
          <w:numId w:val="2"/>
        </w:numPr>
        <w:spacing w:after="90"/>
      </w:pPr>
      <w:r>
        <w:rPr>
          <w:color w:val="3A4A5C"/>
          <w:sz w:val="22"/>
          <w:szCs w:val="22"/>
        </w:rPr>
        <w:t xml:space="preserve">Cuando un cliente me pide presupuesto por teléfono o WhatsApp, quiero generarlo en el momento, desde la furgoneta, para no perder el trabajo frente a un competidor que responde antes.</w:t>
      </w:r>
    </w:p>
    <w:p>
      <w:pPr>
        <w:pStyle w:val="ListParagraph"/>
        <w:numPr>
          <w:ilvl w:val="0"/>
          <w:numId w:val="2"/>
        </w:numPr>
        <w:spacing w:after="90"/>
      </w:pPr>
      <w:r>
        <w:rPr>
          <w:color w:val="3A4A5C"/>
          <w:sz w:val="22"/>
          <w:szCs w:val="22"/>
        </w:rPr>
        <w:t xml:space="preserve">Cuando termino un trabajo, quiero registrar materiales y cerrar la factura sin tener que volver a la oficina ni recordar precios de memoria.</w:t>
      </w:r>
    </w:p>
    <w:p>
      <w:pPr>
        <w:pStyle w:val="ListParagraph"/>
        <w:numPr>
          <w:ilvl w:val="0"/>
          <w:numId w:val="2"/>
        </w:numPr>
        <w:spacing w:after="90"/>
      </w:pPr>
      <w:r>
        <w:rPr>
          <w:color w:val="3A4A5C"/>
          <w:sz w:val="22"/>
          <w:szCs w:val="22"/>
        </w:rPr>
        <w:t xml:space="preserve">Cuando tengo varios técnicos en campo, quiero saber qué está haciendo cada uno sin tener que llamarles uno por uno.</w:t>
      </w:r>
    </w:p>
    <w:p>
      <w:pPr>
        <w:pStyle w:val="ListParagraph"/>
        <w:numPr>
          <w:ilvl w:val="0"/>
          <w:numId w:val="2"/>
        </w:numPr>
        <w:spacing w:after="90"/>
      </w:pPr>
      <w:r>
        <w:rPr>
          <w:color w:val="3A4A5C"/>
          <w:sz w:val="22"/>
          <w:szCs w:val="22"/>
        </w:rPr>
        <w:t xml:space="preserve">Cuando firmo un contrato de mantenimiento, quiero que el sistema se acuerde de generar la visita y la factura cada mes, para no tener que llevarlo en una hoja de cálculo.</w:t>
      </w:r>
    </w:p>
    <w:p>
      <w:pPr>
        <w:pStyle w:val="ListParagraph"/>
        <w:numPr>
          <w:ilvl w:val="0"/>
          <w:numId w:val="2"/>
        </w:numPr>
        <w:spacing w:after="90"/>
      </w:pPr>
      <w:r>
        <w:rPr>
          <w:color w:val="3A4A5C"/>
          <w:sz w:val="22"/>
          <w:szCs w:val="22"/>
        </w:rPr>
        <w:t xml:space="preserve">Cuando subcontrato parte de un trabajo, quiero saber exactamente cuánto margen me queda después de pagar al proveedor, antes de comprometerme con el cliente.</w:t>
      </w:r>
    </w:p>
    <w:p>
      <w:pPr>
        <w:pStyle w:val="Heading1"/>
        <w:pageBreakBefore/>
      </w:pPr>
      <w:r>
        <w:t xml:space="preserve">12.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shd w:fill="1C2535" w:val="clear"/>
            <w:tcMar>
              <w:top w:type="dxa" w:w="100"/>
              <w:left w:type="dxa" w:w="130"/>
              <w:bottom w:type="dxa" w:w="100"/>
              <w:right w:type="dxa" w:w="130"/>
            </w:tcMar>
            <w:vAlign w:val="center"/>
          </w:tcPr>
          <w:p>
            <w:r>
              <w:rPr>
                <w:b/>
                <w:bCs/>
                <w:color w:val="FFFFFF"/>
                <w:sz w:val="20"/>
                <w:szCs w:val="20"/>
              </w:rPr>
              <w:t xml:space="preserve">Categoría</w:t>
            </w:r>
          </w:p>
        </w:tc>
        <w:tc>
          <w:tcPr>
            <w:tcW w:type="dxa" w:w="3380"/>
            <w:shd w:fill="1C2535" w:val="clear"/>
            <w:tcMar>
              <w:top w:type="dxa" w:w="100"/>
              <w:left w:type="dxa" w:w="130"/>
              <w:bottom w:type="dxa" w:w="100"/>
              <w:right w:type="dxa" w:w="130"/>
            </w:tcMar>
            <w:vAlign w:val="center"/>
          </w:tcPr>
          <w:p>
            <w:r>
              <w:rPr>
                <w:b/>
                <w:bCs/>
                <w:color w:val="FFFFFF"/>
                <w:sz w:val="20"/>
                <w:szCs w:val="20"/>
              </w:rPr>
              <w:t xml:space="preserve">Resuelven bien</w:t>
            </w:r>
          </w:p>
        </w:tc>
        <w:tc>
          <w:tcPr>
            <w:tcW w:type="dxa" w:w="3380"/>
            <w:shd w:fill="1C2535" w:val="clear"/>
            <w:tcMar>
              <w:top w:type="dxa" w:w="100"/>
              <w:left w:type="dxa" w:w="130"/>
              <w:bottom w:type="dxa" w:w="100"/>
              <w:right w:type="dxa" w:w="130"/>
            </w:tcMar>
            <w:vAlign w:val="center"/>
          </w:tcPr>
          <w:p>
            <w:r>
              <w:rPr>
                <w:b/>
                <w:bCs/>
                <w:color w:val="FFFFFF"/>
                <w:sz w:val="20"/>
                <w:szCs w:val="20"/>
              </w:rPr>
              <w:t xml:space="preserve">Les falta para este segmento</w:t>
            </w:r>
          </w:p>
        </w:tc>
      </w:tr>
      <w:tr>
        <w:tc>
          <w:tcPr>
            <w:tcW w:type="dxa" w:w="2600"/>
            <w:shd w:fill="F7F4F0" w:val="clear"/>
            <w:tcMar>
              <w:top w:type="dxa" w:w="100"/>
              <w:left w:type="dxa" w:w="130"/>
              <w:bottom w:type="dxa" w:w="100"/>
              <w:right w:type="dxa" w:w="130"/>
            </w:tcMar>
            <w:vAlign w:val="center"/>
          </w:tcPr>
          <w:p>
            <w:r>
              <w:rPr>
                <w:b w:val="false"/>
                <w:bCs w:val="false"/>
                <w:color w:val="3A4A5C"/>
                <w:sz w:val="20"/>
                <w:szCs w:val="20"/>
              </w:rPr>
              <w:t xml:space="preserve">Gestión/facturación horizontal
(Holded, Quipu, Billin, Contasol)</w:t>
            </w:r>
          </w:p>
        </w:tc>
        <w:tc>
          <w:tcPr>
            <w:tcW w:type="dxa" w:w="3380"/>
            <w:shd w:fill="F7F4F0" w:val="clear"/>
            <w:tcMar>
              <w:top w:type="dxa" w:w="100"/>
              <w:left w:type="dxa" w:w="130"/>
              <w:bottom w:type="dxa" w:w="100"/>
              <w:right w:type="dxa" w:w="130"/>
            </w:tcMar>
            <w:vAlign w:val="center"/>
          </w:tcPr>
          <w:p>
            <w:r>
              <w:rPr>
                <w:b w:val="false"/>
                <w:bCs w:val="false"/>
                <w:color w:val="3A4A5C"/>
                <w:sz w:val="20"/>
                <w:szCs w:val="20"/>
              </w:rPr>
              <w:t xml:space="preserve">Contabilidad, facturación genérica, conexión con gestoría.</w:t>
            </w:r>
          </w:p>
        </w:tc>
        <w:tc>
          <w:tcPr>
            <w:tcW w:type="dxa" w:w="3380"/>
            <w:shd w:fill="F7F4F0" w:val="clear"/>
            <w:tcMar>
              <w:top w:type="dxa" w:w="100"/>
              <w:left w:type="dxa" w:w="130"/>
              <w:bottom w:type="dxa" w:w="100"/>
              <w:right w:type="dxa" w:w="130"/>
            </w:tcMar>
            <w:vAlign w:val="center"/>
          </w:tcPr>
          <w:p>
            <w:r>
              <w:rPr>
                <w:b w:val="false"/>
                <w:bCs w:val="false"/>
                <w:color w:val="3A4A5C"/>
                <w:sz w:val="20"/>
                <w:szCs w:val="20"/>
              </w:rPr>
              <w:t xml:space="preserve">Catálogo por oficio, IA de voz/foto, UX de campo.</w:t>
            </w:r>
          </w:p>
        </w:tc>
      </w:tr>
      <w:tr>
        <w:tc>
          <w:tcPr>
            <w:tcW w:type="dxa" w:w="2600"/>
            <w:shd w:fill="FFFFFF" w:val="clear"/>
            <w:tcMar>
              <w:top w:type="dxa" w:w="100"/>
              <w:left w:type="dxa" w:w="130"/>
              <w:bottom w:type="dxa" w:w="100"/>
              <w:right w:type="dxa" w:w="130"/>
            </w:tcMar>
            <w:vAlign w:val="center"/>
          </w:tcPr>
          <w:p>
            <w:r>
              <w:rPr>
                <w:b w:val="false"/>
                <w:bCs w:val="false"/>
                <w:color w:val="3A4A5C"/>
                <w:sz w:val="20"/>
                <w:szCs w:val="20"/>
              </w:rPr>
              <w:t xml:space="preserve">Field service internacional
(Jobber, ServiceM8, Tradify, Simpro, ServiceTitan)</w:t>
            </w:r>
          </w:p>
        </w:tc>
        <w:tc>
          <w:tcPr>
            <w:tcW w:type="dxa" w:w="3380"/>
            <w:shd w:fill="FFFFFF" w:val="clear"/>
            <w:tcMar>
              <w:top w:type="dxa" w:w="100"/>
              <w:left w:type="dxa" w:w="130"/>
              <w:bottom w:type="dxa" w:w="100"/>
              <w:right w:type="dxa" w:w="130"/>
            </w:tcMar>
            <w:vAlign w:val="center"/>
          </w:tcPr>
          <w:p>
            <w:r>
              <w:rPr>
                <w:b w:val="false"/>
                <w:bCs w:val="false"/>
                <w:color w:val="3A4A5C"/>
                <w:sz w:val="20"/>
                <w:szCs w:val="20"/>
              </w:rPr>
              <w:t xml:space="preserve">Planificación de trabajos, app móvil madura, facturación recurrente.</w:t>
            </w:r>
          </w:p>
        </w:tc>
        <w:tc>
          <w:tcPr>
            <w:tcW w:type="dxa" w:w="3380"/>
            <w:shd w:fill="FFFFFF" w:val="clear"/>
            <w:tcMar>
              <w:top w:type="dxa" w:w="100"/>
              <w:left w:type="dxa" w:w="130"/>
              <w:bottom w:type="dxa" w:w="100"/>
              <w:right w:type="dxa" w:w="130"/>
            </w:tcMar>
            <w:vAlign w:val="center"/>
          </w:tcPr>
          <w:p>
            <w:r>
              <w:rPr>
                <w:b w:val="false"/>
                <w:bCs w:val="false"/>
                <w:color w:val="3A4A5C"/>
                <w:sz w:val="20"/>
                <w:szCs w:val="20"/>
              </w:rPr>
              <w:t xml:space="preserve">Idioma y fiscalidad española/LATAM, WhatsApp nativo, IA conversacional como entrada.</w:t>
            </w:r>
          </w:p>
        </w:tc>
      </w:tr>
      <w:tr>
        <w:tc>
          <w:tcPr>
            <w:tcW w:type="dxa" w:w="2600"/>
            <w:shd w:fill="F7F4F0" w:val="clear"/>
            <w:tcMar>
              <w:top w:type="dxa" w:w="100"/>
              <w:left w:type="dxa" w:w="130"/>
              <w:bottom w:type="dxa" w:w="100"/>
              <w:right w:type="dxa" w:w="130"/>
            </w:tcMar>
            <w:vAlign w:val="center"/>
          </w:tcPr>
          <w:p>
            <w:r>
              <w:rPr>
                <w:b w:val="false"/>
                <w:bCs w:val="false"/>
                <w:color w:val="3A4A5C"/>
                <w:sz w:val="20"/>
                <w:szCs w:val="20"/>
              </w:rPr>
              <w:t xml:space="preserve">Statu quo
(papel, Excel, WhatsApp)</w:t>
            </w:r>
          </w:p>
        </w:tc>
        <w:tc>
          <w:tcPr>
            <w:tcW w:type="dxa" w:w="3380"/>
            <w:shd w:fill="F7F4F0" w:val="clear"/>
            <w:tcMar>
              <w:top w:type="dxa" w:w="100"/>
              <w:left w:type="dxa" w:w="130"/>
              <w:bottom w:type="dxa" w:w="100"/>
              <w:right w:type="dxa" w:w="130"/>
            </w:tcMar>
            <w:vAlign w:val="center"/>
          </w:tcPr>
          <w:p>
            <w:r>
              <w:rPr>
                <w:b w:val="false"/>
                <w:bCs w:val="false"/>
                <w:color w:val="3A4A5C"/>
                <w:sz w:val="20"/>
                <w:szCs w:val="20"/>
              </w:rPr>
              <w:t xml:space="preserve">Coste aparente cero, cero curva de aprendizaje.</w:t>
            </w:r>
          </w:p>
        </w:tc>
        <w:tc>
          <w:tcPr>
            <w:tcW w:type="dxa" w:w="3380"/>
            <w:shd w:fill="F7F4F0" w:val="clear"/>
            <w:tcMar>
              <w:top w:type="dxa" w:w="100"/>
              <w:left w:type="dxa" w:w="130"/>
              <w:bottom w:type="dxa" w:w="100"/>
              <w:right w:type="dxa" w:w="130"/>
            </w:tcMar>
            <w:vAlign w:val="center"/>
          </w:tcPr>
          <w:p>
            <w:r>
              <w:rPr>
                <w:b w:val="false"/>
                <w:bCs w:val="false"/>
                <w:color w:val="3A4A5C"/>
                <w:sz w:val="20"/>
                <w:szCs w:val="20"/>
              </w:rPr>
              <w:t xml:space="preserve">Todo: tiempo, consistencia, cumplimiento fiscal, visibilidad de margen.</w:t>
            </w:r>
          </w:p>
        </w:tc>
      </w:tr>
    </w:tbl>
    <w:p>
      <w:pPr>
        <w:spacing w:after="200" w:before="40"/>
      </w:pPr>
      <w:r>
        <w:rPr>
          <w:i/>
          <w:iCs/>
          <w:color w:val="6B7A8D"/>
          <w:sz w:val="17"/>
          <w:szCs w:val="17"/>
        </w:rPr>
        <w:t xml:space="preserve">Fuentes: análisis de producto de los competidores citados y datos públicos de financiación/ingresos (Sacra, Tracxn, informes corporativos). No constituye un análisis exhaustivo de producto.</w:t>
      </w:r>
    </w:p>
    <w:p>
      <w:pPr>
        <w:pStyle w:val="Heading1"/>
        <w:pageBreakBefore/>
      </w:pPr>
      <w:r>
        <w:t xml:space="preserve">13. Competitive Advantages</w:t>
      </w:r>
    </w:p>
    <w:p>
      <w:pPr>
        <w:pStyle w:val="ListParagraph"/>
        <w:numPr>
          <w:ilvl w:val="0"/>
          <w:numId w:val="2"/>
        </w:numPr>
        <w:spacing w:after="90"/>
      </w:pPr>
      <w:r>
        <w:rPr>
          <w:color w:val="3A4A5C"/>
          <w:sz w:val="22"/>
          <w:szCs w:val="22"/>
        </w:rPr>
        <w:t xml:space="preserve">Base Maestra: catálogo propietario y estructurado de actuaciones por oficio que la IA consulta en lugar de improvisar —un activo de datos que se vuelve más valioso con cada oficio añadido y con cada corrección que introduce un instalador real.</w:t>
      </w:r>
    </w:p>
    <w:p>
      <w:pPr>
        <w:pStyle w:val="ListParagraph"/>
        <w:numPr>
          <w:ilvl w:val="0"/>
          <w:numId w:val="2"/>
        </w:numPr>
        <w:spacing w:after="90"/>
      </w:pPr>
      <w:r>
        <w:rPr>
          <w:color w:val="3A4A5C"/>
          <w:sz w:val="22"/>
          <w:szCs w:val="22"/>
        </w:rPr>
        <w:t xml:space="preserve">Nativo fiscal español y LATAM: series F-/M-/R-, snapshot fiscal, camino hacia VeriFactu y hacia CFDI mexicano, frente a herramientas internacionales que no resuelven este problema.</w:t>
      </w:r>
    </w:p>
    <w:p>
      <w:pPr>
        <w:pStyle w:val="ListParagraph"/>
        <w:numPr>
          <w:ilvl w:val="0"/>
          <w:numId w:val="2"/>
        </w:numPr>
        <w:spacing w:after="90"/>
      </w:pPr>
      <w:r>
        <w:rPr>
          <w:color w:val="3A4A5C"/>
          <w:sz w:val="22"/>
          <w:szCs w:val="22"/>
        </w:rPr>
        <w:t xml:space="preserve">WhatsApp como canal de primera clase, no como integración añadida a posteriori.</w:t>
      </w:r>
    </w:p>
    <w:p>
      <w:pPr>
        <w:pStyle w:val="ListParagraph"/>
        <w:numPr>
          <w:ilvl w:val="0"/>
          <w:numId w:val="2"/>
        </w:numPr>
        <w:spacing w:after="90"/>
      </w:pPr>
      <w:r>
        <w:rPr>
          <w:color w:val="3A4A5C"/>
          <w:sz w:val="22"/>
          <w:szCs w:val="22"/>
        </w:rPr>
        <w:t xml:space="preserve">Diseño dual móvil/escritorio deliberado, siguiendo el mismo principio que ServiceTitan y Jobber han validado en sus mercados: velocidad en campo, profundidad en oficina.</w:t>
      </w:r>
    </w:p>
    <w:p>
      <w:pPr>
        <w:pStyle w:val="ListParagraph"/>
        <w:numPr>
          <w:ilvl w:val="0"/>
          <w:numId w:val="2"/>
        </w:numPr>
        <w:spacing w:after="90"/>
      </w:pPr>
      <w:r>
        <w:rPr>
          <w:color w:val="3A4A5C"/>
          <w:sz w:val="22"/>
          <w:szCs w:val="22"/>
        </w:rPr>
        <w:t xml:space="preserve">Especialización vertical creciente: veinte oficios objetivo, tres ya completados (fontanería, electricidad, albañilería) con cien actuaciones estructuradas cada uno.</w:t>
      </w:r>
    </w:p>
    <w:p>
      <w:pPr>
        <w:pStyle w:val="ListParagraph"/>
        <w:numPr>
          <w:ilvl w:val="0"/>
          <w:numId w:val="2"/>
        </w:numPr>
        <w:spacing w:after="90"/>
      </w:pPr>
      <w:r>
        <w:rPr>
          <w:color w:val="3A4A5C"/>
          <w:sz w:val="22"/>
          <w:szCs w:val="22"/>
        </w:rPr>
        <w:t xml:space="preserve">Red de proveedores colaboradores y mayoristas integrada en la propia plataforma, con potencial de evolucionar hacia un marketplace con efectos de red.</w:t>
      </w:r>
    </w:p>
    <w:p>
      <w:pPr>
        <w:pStyle w:val="Heading1"/>
        <w:pageBreakBefore/>
      </w:pPr>
      <w:r>
        <w:t xml:space="preserve">14. Product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C2535" w:val="clear"/>
            <w:tcMar>
              <w:top w:type="dxa" w:w="100"/>
              <w:left w:type="dxa" w:w="130"/>
              <w:bottom w:type="dxa" w:w="100"/>
              <w:right w:type="dxa" w:w="130"/>
            </w:tcMar>
            <w:vAlign w:val="center"/>
          </w:tcPr>
          <w:p>
            <w:r>
              <w:rPr>
                <w:b/>
                <w:bCs/>
                <w:color w:val="FFFFFF"/>
                <w:sz w:val="20"/>
                <w:szCs w:val="20"/>
              </w:rPr>
              <w:t xml:space="preserve">Horizonte</w:t>
            </w:r>
          </w:p>
        </w:tc>
        <w:tc>
          <w:tcPr>
            <w:tcW w:type="dxa" w:w="7560"/>
            <w:shd w:fill="1C2535" w:val="clear"/>
            <w:tcMar>
              <w:top w:type="dxa" w:w="100"/>
              <w:left w:type="dxa" w:w="130"/>
              <w:bottom w:type="dxa" w:w="100"/>
              <w:right w:type="dxa" w:w="130"/>
            </w:tcMar>
            <w:vAlign w:val="center"/>
          </w:tcPr>
          <w:p>
            <w:r>
              <w:rPr>
                <w:b/>
                <w:bCs/>
                <w:color w:val="FFFFFF"/>
                <w:sz w:val="20"/>
                <w:szCs w:val="20"/>
              </w:rPr>
              <w:t xml:space="preserve">Hitos principales</w:t>
            </w:r>
          </w:p>
        </w:tc>
      </w:tr>
      <w:tr>
        <w:tc>
          <w:tcPr>
            <w:tcW w:type="dxa" w:w="1800"/>
            <w:shd w:fill="F7F4F0" w:val="clear"/>
            <w:tcMar>
              <w:top w:type="dxa" w:w="100"/>
              <w:left w:type="dxa" w:w="130"/>
              <w:bottom w:type="dxa" w:w="100"/>
              <w:right w:type="dxa" w:w="130"/>
            </w:tcMar>
            <w:vAlign w:val="center"/>
          </w:tcPr>
          <w:p>
            <w:r>
              <w:rPr>
                <w:b w:val="false"/>
                <w:bCs w:val="false"/>
                <w:color w:val="3A4A5C"/>
                <w:sz w:val="20"/>
                <w:szCs w:val="20"/>
              </w:rPr>
              <w:t xml:space="preserve">Ahora</w:t>
            </w:r>
          </w:p>
        </w:tc>
        <w:tc>
          <w:tcPr>
            <w:tcW w:type="dxa" w:w="7560"/>
            <w:shd w:fill="F7F4F0" w:val="clear"/>
            <w:tcMar>
              <w:top w:type="dxa" w:w="100"/>
              <w:left w:type="dxa" w:w="130"/>
              <w:bottom w:type="dxa" w:w="100"/>
              <w:right w:type="dxa" w:w="130"/>
            </w:tcMar>
            <w:vAlign w:val="center"/>
          </w:tcPr>
          <w:p>
            <w:r>
              <w:rPr>
                <w:b w:val="false"/>
                <w:bCs w:val="false"/>
                <w:color w:val="3A4A5C"/>
                <w:sz w:val="20"/>
                <w:szCs w:val="20"/>
              </w:rPr>
              <w:t xml:space="preserve">Completar la Base Maestra (17 oficios restantes); constitución de TrabFlow Technologies, S.L.; diseño del sistema multi-perfil (un técnico empleado puede abrir su propia empresa dentro de TrabFlow).</w:t>
            </w:r>
          </w:p>
        </w:tc>
      </w:tr>
      <w:tr>
        <w:tc>
          <w:tcPr>
            <w:tcW w:type="dxa" w:w="1800"/>
            <w:shd w:fill="FFFFFF" w:val="clear"/>
            <w:tcMar>
              <w:top w:type="dxa" w:w="100"/>
              <w:left w:type="dxa" w:w="130"/>
              <w:bottom w:type="dxa" w:w="100"/>
              <w:right w:type="dxa" w:w="130"/>
            </w:tcMar>
            <w:vAlign w:val="center"/>
          </w:tcPr>
          <w:p>
            <w:r>
              <w:rPr>
                <w:b w:val="false"/>
                <w:bCs w:val="false"/>
                <w:color w:val="3A4A5C"/>
                <w:sz w:val="20"/>
                <w:szCs w:val="20"/>
              </w:rPr>
              <w:t xml:space="preserve">Próximo</w:t>
            </w:r>
          </w:p>
        </w:tc>
        <w:tc>
          <w:tcPr>
            <w:tcW w:type="dxa" w:w="7560"/>
            <w:shd w:fill="FFFFFF" w:val="clear"/>
            <w:tcMar>
              <w:top w:type="dxa" w:w="100"/>
              <w:left w:type="dxa" w:w="130"/>
              <w:bottom w:type="dxa" w:w="100"/>
              <w:right w:type="dxa" w:w="130"/>
            </w:tcMar>
            <w:vAlign w:val="center"/>
          </w:tcPr>
          <w:p>
            <w:r>
              <w:rPr>
                <w:b w:val="false"/>
                <w:bCs w:val="false"/>
                <w:color w:val="3A4A5C"/>
                <w:sz w:val="20"/>
                <w:szCs w:val="20"/>
              </w:rPr>
              <w:t xml:space="preserve">Cumplimiento VeriFactu completo (encadenado SHA-256 de eventos de factura); chatbot de ayuda embebido con inyección de contexto por pantalla y plan; oficios adicionales del catálogo.</w:t>
            </w:r>
          </w:p>
        </w:tc>
      </w:tr>
      <w:tr>
        <w:tc>
          <w:tcPr>
            <w:tcW w:type="dxa" w:w="1800"/>
            <w:shd w:fill="F7F4F0" w:val="clear"/>
            <w:tcMar>
              <w:top w:type="dxa" w:w="100"/>
              <w:left w:type="dxa" w:w="130"/>
              <w:bottom w:type="dxa" w:w="100"/>
              <w:right w:type="dxa" w:w="130"/>
            </w:tcMar>
            <w:vAlign w:val="center"/>
          </w:tcPr>
          <w:p>
            <w:r>
              <w:rPr>
                <w:b w:val="false"/>
                <w:bCs w:val="false"/>
                <w:color w:val="3A4A5C"/>
                <w:sz w:val="20"/>
                <w:szCs w:val="20"/>
              </w:rPr>
              <w:t xml:space="preserve">Después</w:t>
            </w:r>
          </w:p>
        </w:tc>
        <w:tc>
          <w:tcPr>
            <w:tcW w:type="dxa" w:w="7560"/>
            <w:shd w:fill="F7F4F0" w:val="clear"/>
            <w:tcMar>
              <w:top w:type="dxa" w:w="100"/>
              <w:left w:type="dxa" w:w="130"/>
              <w:bottom w:type="dxa" w:w="100"/>
              <w:right w:type="dxa" w:w="130"/>
            </w:tcMar>
            <w:vAlign w:val="center"/>
          </w:tcPr>
          <w:p>
            <w:r>
              <w:rPr>
                <w:b w:val="false"/>
                <w:bCs w:val="false"/>
                <w:color w:val="3A4A5C"/>
                <w:sz w:val="20"/>
                <w:szCs w:val="20"/>
              </w:rPr>
              <w:t xml:space="preserve">Consolidación en España; expansión a Portugal/Iberia.</w:t>
            </w:r>
          </w:p>
        </w:tc>
      </w:tr>
      <w:tr>
        <w:tc>
          <w:tcPr>
            <w:tcW w:type="dxa" w:w="1800"/>
            <w:shd w:fill="FFFFFF" w:val="clear"/>
            <w:tcMar>
              <w:top w:type="dxa" w:w="100"/>
              <w:left w:type="dxa" w:w="130"/>
              <w:bottom w:type="dxa" w:w="100"/>
              <w:right w:type="dxa" w:w="130"/>
            </w:tcMar>
            <w:vAlign w:val="center"/>
          </w:tcPr>
          <w:p>
            <w:r>
              <w:rPr>
                <w:b w:val="false"/>
                <w:bCs w:val="false"/>
                <w:color w:val="3A4A5C"/>
                <w:sz w:val="20"/>
                <w:szCs w:val="20"/>
              </w:rPr>
              <w:t xml:space="preserve">Más adelante</w:t>
            </w:r>
          </w:p>
        </w:tc>
        <w:tc>
          <w:tcPr>
            <w:tcW w:type="dxa" w:w="7560"/>
            <w:shd w:fill="FFFFFF" w:val="clear"/>
            <w:tcMar>
              <w:top w:type="dxa" w:w="100"/>
              <w:left w:type="dxa" w:w="130"/>
              <w:bottom w:type="dxa" w:w="100"/>
              <w:right w:type="dxa" w:w="130"/>
            </w:tcMar>
            <w:vAlign w:val="center"/>
          </w:tcPr>
          <w:p>
            <w:r>
              <w:rPr>
                <w:b w:val="false"/>
                <w:bCs w:val="false"/>
                <w:color w:val="3A4A5C"/>
                <w:sz w:val="20"/>
                <w:szCs w:val="20"/>
              </w:rPr>
              <w:t xml:space="preserve">Expansión a México y LATAM, incluida adaptación fiscal a CFDI.</w:t>
            </w:r>
          </w:p>
        </w:tc>
      </w:tr>
      <w:tr>
        <w:tc>
          <w:tcPr>
            <w:tcW w:type="dxa" w:w="1800"/>
            <w:shd w:fill="F7F4F0" w:val="clear"/>
            <w:tcMar>
              <w:top w:type="dxa" w:w="100"/>
              <w:left w:type="dxa" w:w="130"/>
              <w:bottom w:type="dxa" w:w="100"/>
              <w:right w:type="dxa" w:w="130"/>
            </w:tcMar>
            <w:vAlign w:val="center"/>
          </w:tcPr>
          <w:p>
            <w:r>
              <w:rPr>
                <w:b w:val="false"/>
                <w:bCs w:val="false"/>
                <w:color w:val="3A4A5C"/>
                <w:sz w:val="20"/>
                <w:szCs w:val="20"/>
              </w:rPr>
              <w:t xml:space="preserve">Futuro</w:t>
            </w:r>
          </w:p>
        </w:tc>
        <w:tc>
          <w:tcPr>
            <w:tcW w:type="dxa" w:w="7560"/>
            <w:shd w:fill="F7F4F0" w:val="clear"/>
            <w:tcMar>
              <w:top w:type="dxa" w:w="100"/>
              <w:left w:type="dxa" w:w="130"/>
              <w:bottom w:type="dxa" w:w="100"/>
              <w:right w:type="dxa" w:w="130"/>
            </w:tcMar>
            <w:vAlign w:val="center"/>
          </w:tcPr>
          <w:p>
            <w:r>
              <w:rPr>
                <w:b w:val="false"/>
                <w:bCs w:val="false"/>
                <w:color w:val="3A4A5C"/>
                <w:sz w:val="20"/>
                <w:szCs w:val="20"/>
              </w:rPr>
              <w:t xml:space="preserve">Marketplace de proveedores y mayoristas; fintech embebida (financiación, seguros, pagos).</w:t>
            </w:r>
          </w:p>
        </w:tc>
      </w:tr>
    </w:tbl>
    <w:p>
      <w:pPr>
        <w:pStyle w:val="Heading1"/>
        <w:pageBreakBefore/>
      </w:pPr>
      <w:r>
        <w:t xml:space="preserve">15. Business Model</w:t>
      </w:r>
    </w:p>
    <w:p>
      <w:pPr>
        <w:spacing w:after="160"/>
      </w:pPr>
      <w:r>
        <w:rPr>
          <w:b w:val="false"/>
          <w:bCs w:val="false"/>
          <w:i w:val="false"/>
          <w:iCs w:val="false"/>
          <w:color w:val="3A4A5C"/>
          <w:sz w:val="22"/>
          <w:szCs w:val="22"/>
        </w:rPr>
        <w:t xml:space="preserve">TrabFlow opera bajo un modelo SaaS de suscripción mensual con tres planes públicos —Profesional, Empresa y Empresa+— escalonados por funcionalidad y número de miembros de equipo. El plan Empresa incorpora el módulo de mantenimiento y el de trabajos externalizados y gastos; el plan Empresa+ añade capacidad de equipo ampliada y el conjunto completo de módulos avanzados.</w:t>
      </w:r>
    </w:p>
    <w:p>
      <w:pPr>
        <w:spacing w:after="160"/>
      </w:pPr>
      <w:r>
        <w:rPr>
          <w:b w:val="false"/>
          <w:bCs w:val="false"/>
          <w:i w:val="false"/>
          <w:iCs w:val="false"/>
          <w:color w:val="3A4A5C"/>
          <w:sz w:val="22"/>
          <w:szCs w:val="22"/>
        </w:rPr>
        <w:t xml:space="preserve">Existe además un cuarto nivel, no publicitado, que se activa únicamente como oferta de recompra ante una solicitud de baja, como palanca de retención antes de perder al cliente.</w:t>
      </w:r>
    </w:p>
    <w:p>
      <w:pPr>
        <w:spacing w:after="160"/>
      </w:pPr>
      <w:r>
        <w:rPr>
          <w:b w:val="false"/>
          <w:bCs w:val="false"/>
          <w:i w:val="false"/>
          <w:iCs w:val="false"/>
          <w:color w:val="3A4A5C"/>
          <w:sz w:val="22"/>
          <w:szCs w:val="22"/>
        </w:rPr>
        <w:t xml:space="preserve">Las palancas de expansión de ingreso futuras incluyen: miembros de equipo adicionales, un eventual take-rate sobre el marketplace de proveedores y mayoristas, y servicios financieros embebidos (pagos, financiación de materiales, seguros) sobre el volumen que ya transita por la plataforma.</w:t>
      </w:r>
    </w:p>
    <w:p>
      <w:pPr>
        <w:pStyle w:val="Heading1"/>
        <w:pageBreakBefore/>
      </w:pPr>
      <w:r>
        <w:t xml:space="preserve">16. Go-To-Market Strategy</w:t>
      </w:r>
    </w:p>
    <w:p>
      <w:pPr>
        <w:pStyle w:val="ListParagraph"/>
        <w:numPr>
          <w:ilvl w:val="0"/>
          <w:numId w:val="2"/>
        </w:numPr>
        <w:spacing w:after="90"/>
      </w:pPr>
      <w:r>
        <w:rPr>
          <w:color w:val="3A4A5C"/>
          <w:sz w:val="22"/>
          <w:szCs w:val="22"/>
        </w:rPr>
        <w:t xml:space="preserve">Contenido y educación: la propia brecha de adopción de IA del sector (solo el 20% de los autónomos la usa) es el ángulo de comunicación más potente —mostrar, no explicar, cómo un presupuesto se genera hablando.</w:t>
      </w:r>
    </w:p>
    <w:p>
      <w:pPr>
        <w:pStyle w:val="ListParagraph"/>
        <w:numPr>
          <w:ilvl w:val="0"/>
          <w:numId w:val="2"/>
        </w:numPr>
        <w:spacing w:after="90"/>
      </w:pPr>
      <w:r>
        <w:rPr>
          <w:color w:val="3A4A5C"/>
          <w:sz w:val="22"/>
          <w:szCs w:val="22"/>
        </w:rPr>
        <w:t xml:space="preserve">Gremios y asociaciones sectoriales como canal de distribución y de credibilidad.</w:t>
      </w:r>
    </w:p>
    <w:p>
      <w:pPr>
        <w:pStyle w:val="ListParagraph"/>
        <w:numPr>
          <w:ilvl w:val="0"/>
          <w:numId w:val="2"/>
        </w:numPr>
        <w:spacing w:after="90"/>
      </w:pPr>
      <w:r>
        <w:rPr>
          <w:color w:val="3A4A5C"/>
          <w:sz w:val="22"/>
          <w:szCs w:val="22"/>
        </w:rPr>
        <w:t xml:space="preserve">Gestorías como socios de referido: una gestoría que ya gestiona la fiscalidad del instalador es un canal de confianza natural hacia una herramienta que mejora esa misma fiscalidad.</w:t>
      </w:r>
    </w:p>
    <w:p>
      <w:pPr>
        <w:pStyle w:val="ListParagraph"/>
        <w:numPr>
          <w:ilvl w:val="0"/>
          <w:numId w:val="2"/>
        </w:numPr>
        <w:spacing w:after="90"/>
      </w:pPr>
      <w:r>
        <w:rPr>
          <w:color w:val="3A4A5C"/>
          <w:sz w:val="22"/>
          <w:szCs w:val="22"/>
        </w:rPr>
        <w:t xml:space="preserve">Kit Digital: encaje como solución de un Agente Digitalizador, que permite a instaladores y pymes acceder a TrabFlow con ayuda pública a la digitalización.</w:t>
      </w:r>
    </w:p>
    <w:p>
      <w:pPr>
        <w:pStyle w:val="ListParagraph"/>
        <w:numPr>
          <w:ilvl w:val="0"/>
          <w:numId w:val="2"/>
        </w:numPr>
        <w:spacing w:after="90"/>
      </w:pPr>
      <w:r>
        <w:rPr>
          <w:color w:val="3A4A5C"/>
          <w:sz w:val="22"/>
          <w:szCs w:val="22"/>
        </w:rPr>
        <w:t xml:space="preserve">Programa de embajadores y beta testers entre los primeros oficios incorporados, con foco en retención antes que en crecimiento bruto.</w:t>
      </w:r>
    </w:p>
    <w:p>
      <w:pPr>
        <w:pStyle w:val="ListParagraph"/>
        <w:numPr>
          <w:ilvl w:val="0"/>
          <w:numId w:val="2"/>
        </w:numPr>
        <w:spacing w:after="90"/>
      </w:pPr>
      <w:r>
        <w:rPr>
          <w:color w:val="3A4A5C"/>
          <w:sz w:val="22"/>
          <w:szCs w:val="22"/>
        </w:rPr>
        <w:t xml:space="preserve">Referidos entre instaladores: el boca a boca dentro de un gremio es, históricamente, el canal más fuerte en este sector.</w:t>
      </w:r>
    </w:p>
    <w:p>
      <w:pPr>
        <w:pStyle w:val="Heading1"/>
        <w:pageBreakBefore/>
      </w:pPr>
      <w:r>
        <w:t xml:space="preserve">17. Growth Strategy</w:t>
      </w:r>
    </w:p>
    <w:p>
      <w:pPr>
        <w:spacing w:after="160"/>
      </w:pPr>
      <w:r>
        <w:rPr>
          <w:b w:val="false"/>
          <w:bCs w:val="false"/>
          <w:i w:val="false"/>
          <w:iCs w:val="false"/>
          <w:color w:val="3A4A5C"/>
          <w:sz w:val="22"/>
          <w:szCs w:val="22"/>
        </w:rPr>
        <w:t xml:space="preserve">La estrategia de crecimiento sigue una secuencia geográfica y de producto deliberada, priorizando demostrar retención y un canal repetible antes que optimizar ingreso:</w:t>
      </w:r>
    </w:p>
    <w:p>
      <w:pPr>
        <w:pStyle w:val="ListParagraph"/>
        <w:numPr>
          <w:ilvl w:val="0"/>
          <w:numId w:val="2"/>
        </w:numPr>
        <w:spacing w:after="90"/>
      </w:pPr>
      <w:r>
        <w:rPr>
          <w:color w:val="3A4A5C"/>
          <w:sz w:val="22"/>
          <w:szCs w:val="22"/>
        </w:rPr>
        <w:t xml:space="preserve">Fase 1 — Product-Market Fit en España: validar retención, onboarding y canal de adquisición con los primeros oficios de la Base Maestra.</w:t>
      </w:r>
    </w:p>
    <w:p>
      <w:pPr>
        <w:pStyle w:val="ListParagraph"/>
        <w:numPr>
          <w:ilvl w:val="0"/>
          <w:numId w:val="2"/>
        </w:numPr>
        <w:spacing w:after="90"/>
      </w:pPr>
      <w:r>
        <w:rPr>
          <w:color w:val="3A4A5C"/>
          <w:sz w:val="22"/>
          <w:szCs w:val="22"/>
        </w:rPr>
        <w:t xml:space="preserve">Fase 2 — Escala nacional: ampliar a los veinte oficios objetivo y consolidar el canal que mejor funcione en la Fase 1.</w:t>
      </w:r>
    </w:p>
    <w:p>
      <w:pPr>
        <w:pStyle w:val="ListParagraph"/>
        <w:numPr>
          <w:ilvl w:val="0"/>
          <w:numId w:val="2"/>
        </w:numPr>
        <w:spacing w:after="90"/>
      </w:pPr>
      <w:r>
        <w:rPr>
          <w:color w:val="3A4A5C"/>
          <w:sz w:val="22"/>
          <w:szCs w:val="22"/>
        </w:rPr>
        <w:t xml:space="preserve">Fase 3 — Iberia: expansión a Portugal.</w:t>
      </w:r>
    </w:p>
    <w:p>
      <w:pPr>
        <w:pStyle w:val="ListParagraph"/>
        <w:numPr>
          <w:ilvl w:val="0"/>
          <w:numId w:val="2"/>
        </w:numPr>
        <w:spacing w:after="90"/>
      </w:pPr>
      <w:r>
        <w:rPr>
          <w:color w:val="3A4A5C"/>
          <w:sz w:val="22"/>
          <w:szCs w:val="22"/>
        </w:rPr>
        <w:t xml:space="preserve">Fase 4 — LATAM: comenzando por México, con adaptación a CFDI y a la normativa fiscal local.</w:t>
      </w:r>
    </w:p>
    <w:p>
      <w:pPr>
        <w:pStyle w:val="ListParagraph"/>
        <w:numPr>
          <w:ilvl w:val="0"/>
          <w:numId w:val="2"/>
        </w:numPr>
        <w:spacing w:after="90"/>
      </w:pPr>
      <w:r>
        <w:rPr>
          <w:color w:val="3A4A5C"/>
          <w:sz w:val="22"/>
          <w:szCs w:val="22"/>
        </w:rPr>
        <w:t xml:space="preserve">Fase 5 — Plataforma: marketplace de proveedores y mayoristas, servicios financieros embebidos, capas adicionales de ingreso sobre la misma base de usuarios.</w:t>
      </w:r>
    </w:p>
    <w:p>
      <w:pPr>
        <w:pStyle w:val="Heading1"/>
        <w:pageBreakBefore/>
      </w:pPr>
      <w:r>
        <w:t xml:space="preserve">18. Long-Term Vision (5 Years)</w:t>
      </w:r>
    </w:p>
    <w:p>
      <w:pPr>
        <w:spacing w:after="160"/>
      </w:pPr>
      <w:r>
        <w:rPr>
          <w:b w:val="false"/>
          <w:bCs w:val="false"/>
          <w:i w:val="false"/>
          <w:iCs w:val="false"/>
          <w:color w:val="3A4A5C"/>
          <w:sz w:val="22"/>
          <w:szCs w:val="22"/>
        </w:rPr>
        <w:t xml:space="preserve">A cinco años, TrabFlow aspira a ser la infraestructura de software por defecto de decenas de miles de organizaciones de oficios en España y América Latina: el lugar donde se presupuesta, se planifica, se ejecuta, se factura y se cobra cada trabajo. Sobre esa base transaccional, una capa de marketplace de proveedores y de servicios financieros embebidos —pagos, financiación de materiales, seguros— permite que el ingreso por cliente crezca de forma natural más allá de la cuota de suscripción inicial, replicando la trayectoria que ServiceTitan y Jobber han demostrado en sus respectivos mercados, pero de forma nativa para el mundo hispanohablante.</w:t>
      </w:r>
    </w:p>
    <w:p>
      <w:pPr>
        <w:pStyle w:val="Heading1"/>
        <w:pageBreakBefore/>
      </w:pPr>
      <w:r>
        <w:t xml:space="preserve">19. Strategic Moats</w:t>
      </w:r>
    </w:p>
    <w:p>
      <w:pPr>
        <w:pStyle w:val="ListParagraph"/>
        <w:numPr>
          <w:ilvl w:val="0"/>
          <w:numId w:val="2"/>
        </w:numPr>
        <w:spacing w:after="90"/>
      </w:pPr>
      <w:r>
        <w:rPr>
          <w:color w:val="3A4A5C"/>
          <w:sz w:val="22"/>
          <w:szCs w:val="22"/>
        </w:rPr>
        <w:t xml:space="preserve">Datos propietarios compuestos: la Base Maestra y el aprendizaje continuo sobre las correcciones de precios de cada instalador (trade_ai_feedback) mejoran con cada cliente nuevo y son costosos de replicar desde cero.</w:t>
      </w:r>
    </w:p>
    <w:p>
      <w:pPr>
        <w:pStyle w:val="ListParagraph"/>
        <w:numPr>
          <w:ilvl w:val="0"/>
          <w:numId w:val="2"/>
        </w:numPr>
        <w:spacing w:after="90"/>
      </w:pPr>
      <w:r>
        <w:rPr>
          <w:color w:val="3A4A5C"/>
          <w:sz w:val="22"/>
          <w:szCs w:val="22"/>
        </w:rPr>
        <w:t xml:space="preserve">Complejidad regulatoria como barrera de entrada: cumplir VeriFactu y, más adelante, CFDI mexicano, exige una inversión de ingeniería y de conocimiento normativo que un competidor genérico no tiene incentivo a asumir.</w:t>
      </w:r>
    </w:p>
    <w:p>
      <w:pPr>
        <w:pStyle w:val="ListParagraph"/>
        <w:numPr>
          <w:ilvl w:val="0"/>
          <w:numId w:val="2"/>
        </w:numPr>
        <w:spacing w:after="90"/>
      </w:pPr>
      <w:r>
        <w:rPr>
          <w:color w:val="3A4A5C"/>
          <w:sz w:val="22"/>
          <w:szCs w:val="22"/>
        </w:rPr>
        <w:t xml:space="preserve">Confianza vertical: la relación con gremios, asociaciones y embajadores del propio sector es lenta de construir y difícil de imitar rápidamente.</w:t>
      </w:r>
    </w:p>
    <w:p>
      <w:pPr>
        <w:pStyle w:val="ListParagraph"/>
        <w:numPr>
          <w:ilvl w:val="0"/>
          <w:numId w:val="2"/>
        </w:numPr>
        <w:spacing w:after="90"/>
      </w:pPr>
      <w:r>
        <w:rPr>
          <w:color w:val="3A4A5C"/>
          <w:sz w:val="22"/>
          <w:szCs w:val="22"/>
        </w:rPr>
        <w:t xml:space="preserve">Efectos de red incipientes: la red de proveedores colaboradores y mayoristas se vuelve más valiosa cuanto más se usa, sentando las bases de un marketplace defendible.</w:t>
      </w:r>
    </w:p>
    <w:p>
      <w:pPr>
        <w:pStyle w:val="ListParagraph"/>
        <w:numPr>
          <w:ilvl w:val="0"/>
          <w:numId w:val="2"/>
        </w:numPr>
        <w:spacing w:after="90"/>
      </w:pPr>
      <w:r>
        <w:rPr>
          <w:color w:val="3A4A5C"/>
          <w:sz w:val="22"/>
          <w:szCs w:val="22"/>
        </w:rPr>
        <w:t xml:space="preserve">Coste de cambio: una vez que el historial de presupuestos, contratos y facturas de un instalador vive dentro de TrabFlow, migrar a otra herramienta tiene un coste real.</w:t>
      </w:r>
    </w:p>
    <w:p>
      <w:pPr>
        <w:pStyle w:val="Heading1"/>
        <w:pageBreakBefore/>
      </w:pPr>
      <w:r>
        <w:t xml:space="preserve">20. Key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C2535" w:val="clear"/>
            <w:tcMar>
              <w:top w:type="dxa" w:w="100"/>
              <w:left w:type="dxa" w:w="130"/>
              <w:bottom w:type="dxa" w:w="100"/>
              <w:right w:type="dxa" w:w="130"/>
            </w:tcMar>
            <w:vAlign w:val="center"/>
          </w:tcPr>
          <w:p>
            <w:r>
              <w:rPr>
                <w:b/>
                <w:bCs/>
                <w:color w:val="FFFFFF"/>
                <w:sz w:val="20"/>
                <w:szCs w:val="20"/>
              </w:rPr>
              <w:t xml:space="preserve">Métrica</w:t>
            </w:r>
          </w:p>
        </w:tc>
        <w:tc>
          <w:tcPr>
            <w:tcW w:type="dxa" w:w="5760"/>
            <w:shd w:fill="1C2535" w:val="clear"/>
            <w:tcMar>
              <w:top w:type="dxa" w:w="100"/>
              <w:left w:type="dxa" w:w="130"/>
              <w:bottom w:type="dxa" w:w="100"/>
              <w:right w:type="dxa" w:w="130"/>
            </w:tcMar>
            <w:vAlign w:val="center"/>
          </w:tcPr>
          <w:p>
            <w:r>
              <w:rPr>
                <w:b/>
                <w:bCs/>
                <w:color w:val="FFFFFF"/>
                <w:sz w:val="20"/>
                <w:szCs w:val="20"/>
              </w:rPr>
              <w:t xml:space="preserve">Por qué importa</w:t>
            </w:r>
          </w:p>
        </w:tc>
      </w:tr>
      <w:tr>
        <w:tc>
          <w:tcPr>
            <w:tcW w:type="dxa" w:w="3600"/>
            <w:shd w:fill="F7F4F0" w:val="clear"/>
            <w:tcMar>
              <w:top w:type="dxa" w:w="100"/>
              <w:left w:type="dxa" w:w="130"/>
              <w:bottom w:type="dxa" w:w="100"/>
              <w:right w:type="dxa" w:w="130"/>
            </w:tcMar>
            <w:vAlign w:val="center"/>
          </w:tcPr>
          <w:p>
            <w:r>
              <w:rPr>
                <w:b w:val="false"/>
                <w:bCs w:val="false"/>
                <w:color w:val="3A4A5C"/>
                <w:sz w:val="20"/>
                <w:szCs w:val="20"/>
              </w:rPr>
              <w:t xml:space="preserve">Tiempo hasta el primer presupuesto</w:t>
            </w:r>
          </w:p>
        </w:tc>
        <w:tc>
          <w:tcPr>
            <w:tcW w:type="dxa" w:w="5760"/>
            <w:shd w:fill="F7F4F0" w:val="clear"/>
            <w:tcMar>
              <w:top w:type="dxa" w:w="100"/>
              <w:left w:type="dxa" w:w="130"/>
              <w:bottom w:type="dxa" w:w="100"/>
              <w:right w:type="dxa" w:w="130"/>
            </w:tcMar>
            <w:vAlign w:val="center"/>
          </w:tcPr>
          <w:p>
            <w:r>
              <w:rPr>
                <w:b w:val="false"/>
                <w:bCs w:val="false"/>
                <w:color w:val="3A4A5C"/>
                <w:sz w:val="20"/>
                <w:szCs w:val="20"/>
              </w:rPr>
              <w:t xml:space="preserve">Mide si la propuesta de valor “voz a presupuesto en minutos” se cumple en la práctica desde el primer uso.</w:t>
            </w:r>
          </w:p>
        </w:tc>
      </w:tr>
      <w:tr>
        <w:tc>
          <w:tcPr>
            <w:tcW w:type="dxa" w:w="3600"/>
            <w:shd w:fill="FFFFFF" w:val="clear"/>
            <w:tcMar>
              <w:top w:type="dxa" w:w="100"/>
              <w:left w:type="dxa" w:w="130"/>
              <w:bottom w:type="dxa" w:w="100"/>
              <w:right w:type="dxa" w:w="130"/>
            </w:tcMar>
            <w:vAlign w:val="center"/>
          </w:tcPr>
          <w:p>
            <w:r>
              <w:rPr>
                <w:b w:val="false"/>
                <w:bCs w:val="false"/>
                <w:color w:val="3A4A5C"/>
                <w:sz w:val="20"/>
                <w:szCs w:val="20"/>
              </w:rPr>
              <w:t xml:space="preserve">% de presupuestos generados por voz o foto vs. manual</w:t>
            </w:r>
          </w:p>
        </w:tc>
        <w:tc>
          <w:tcPr>
            <w:tcW w:type="dxa" w:w="5760"/>
            <w:shd w:fill="FFFFFF" w:val="clear"/>
            <w:tcMar>
              <w:top w:type="dxa" w:w="100"/>
              <w:left w:type="dxa" w:w="130"/>
              <w:bottom w:type="dxa" w:w="100"/>
              <w:right w:type="dxa" w:w="130"/>
            </w:tcMar>
            <w:vAlign w:val="center"/>
          </w:tcPr>
          <w:p>
            <w:r>
              <w:rPr>
                <w:b w:val="false"/>
                <w:bCs w:val="false"/>
                <w:color w:val="3A4A5C"/>
                <w:sz w:val="20"/>
                <w:szCs w:val="20"/>
              </w:rPr>
              <w:t xml:space="preserve">Indica adopción real del pipeline de IA, no solo del resto de la plataforma.</w:t>
            </w:r>
          </w:p>
        </w:tc>
      </w:tr>
      <w:tr>
        <w:tc>
          <w:tcPr>
            <w:tcW w:type="dxa" w:w="3600"/>
            <w:shd w:fill="F7F4F0" w:val="clear"/>
            <w:tcMar>
              <w:top w:type="dxa" w:w="100"/>
              <w:left w:type="dxa" w:w="130"/>
              <w:bottom w:type="dxa" w:w="100"/>
              <w:right w:type="dxa" w:w="130"/>
            </w:tcMar>
            <w:vAlign w:val="center"/>
          </w:tcPr>
          <w:p>
            <w:r>
              <w:rPr>
                <w:b w:val="false"/>
                <w:bCs w:val="false"/>
                <w:color w:val="3A4A5C"/>
                <w:sz w:val="20"/>
                <w:szCs w:val="20"/>
              </w:rPr>
              <w:t xml:space="preserve">Tasa de conversión presupuesto → aceptado</w:t>
            </w:r>
          </w:p>
        </w:tc>
        <w:tc>
          <w:tcPr>
            <w:tcW w:type="dxa" w:w="5760"/>
            <w:shd w:fill="F7F4F0" w:val="clear"/>
            <w:tcMar>
              <w:top w:type="dxa" w:w="100"/>
              <w:left w:type="dxa" w:w="130"/>
              <w:bottom w:type="dxa" w:w="100"/>
              <w:right w:type="dxa" w:w="130"/>
            </w:tcMar>
            <w:vAlign w:val="center"/>
          </w:tcPr>
          <w:p>
            <w:r>
              <w:rPr>
                <w:b w:val="false"/>
                <w:bCs w:val="false"/>
                <w:color w:val="3A4A5C"/>
                <w:sz w:val="20"/>
                <w:szCs w:val="20"/>
              </w:rPr>
              <w:t xml:space="preserve">Proxy de la calidad y velocidad del presupuesto entregado al cliente final.</w:t>
            </w:r>
          </w:p>
        </w:tc>
      </w:tr>
      <w:tr>
        <w:tc>
          <w:tcPr>
            <w:tcW w:type="dxa" w:w="3600"/>
            <w:shd w:fill="FFFFFF" w:val="clear"/>
            <w:tcMar>
              <w:top w:type="dxa" w:w="100"/>
              <w:left w:type="dxa" w:w="130"/>
              <w:bottom w:type="dxa" w:w="100"/>
              <w:right w:type="dxa" w:w="130"/>
            </w:tcMar>
            <w:vAlign w:val="center"/>
          </w:tcPr>
          <w:p>
            <w:r>
              <w:rPr>
                <w:b w:val="false"/>
                <w:bCs w:val="false"/>
                <w:color w:val="3A4A5C"/>
                <w:sz w:val="20"/>
                <w:szCs w:val="20"/>
              </w:rPr>
              <w:t xml:space="preserve">Tasa de upgrade entre planes (Profesional → Empresa → Empresa+)</w:t>
            </w:r>
          </w:p>
        </w:tc>
        <w:tc>
          <w:tcPr>
            <w:tcW w:type="dxa" w:w="5760"/>
            <w:shd w:fill="FFFFFF" w:val="clear"/>
            <w:tcMar>
              <w:top w:type="dxa" w:w="100"/>
              <w:left w:type="dxa" w:w="130"/>
              <w:bottom w:type="dxa" w:w="100"/>
              <w:right w:type="dxa" w:w="130"/>
            </w:tcMar>
            <w:vAlign w:val="center"/>
          </w:tcPr>
          <w:p>
            <w:r>
              <w:rPr>
                <w:b w:val="false"/>
                <w:bCs w:val="false"/>
                <w:color w:val="3A4A5C"/>
                <w:sz w:val="20"/>
                <w:szCs w:val="20"/>
              </w:rPr>
              <w:t xml:space="preserve">Mide expansión de ingreso dentro de la base instalada.</w:t>
            </w:r>
          </w:p>
        </w:tc>
      </w:tr>
      <w:tr>
        <w:tc>
          <w:tcPr>
            <w:tcW w:type="dxa" w:w="3600"/>
            <w:shd w:fill="F7F4F0" w:val="clear"/>
            <w:tcMar>
              <w:top w:type="dxa" w:w="100"/>
              <w:left w:type="dxa" w:w="130"/>
              <w:bottom w:type="dxa" w:w="100"/>
              <w:right w:type="dxa" w:w="130"/>
            </w:tcMar>
            <w:vAlign w:val="center"/>
          </w:tcPr>
          <w:p>
            <w:r>
              <w:rPr>
                <w:b w:val="false"/>
                <w:bCs w:val="false"/>
                <w:color w:val="3A4A5C"/>
                <w:sz w:val="20"/>
                <w:szCs w:val="20"/>
              </w:rPr>
              <w:t xml:space="preserve">Retención / churn mensual</w:t>
            </w:r>
          </w:p>
        </w:tc>
        <w:tc>
          <w:tcPr>
            <w:tcW w:type="dxa" w:w="5760"/>
            <w:shd w:fill="F7F4F0" w:val="clear"/>
            <w:tcMar>
              <w:top w:type="dxa" w:w="100"/>
              <w:left w:type="dxa" w:w="130"/>
              <w:bottom w:type="dxa" w:w="100"/>
              <w:right w:type="dxa" w:w="130"/>
            </w:tcMar>
            <w:vAlign w:val="center"/>
          </w:tcPr>
          <w:p>
            <w:r>
              <w:rPr>
                <w:b w:val="false"/>
                <w:bCs w:val="false"/>
                <w:color w:val="3A4A5C"/>
                <w:sz w:val="20"/>
                <w:szCs w:val="20"/>
              </w:rPr>
              <w:t xml:space="preserve">Métrica central de validación de Product-Market Fit antes de escalar adquisición.</w:t>
            </w:r>
          </w:p>
        </w:tc>
      </w:tr>
      <w:tr>
        <w:tc>
          <w:tcPr>
            <w:tcW w:type="dxa" w:w="3600"/>
            <w:shd w:fill="FFFFFF" w:val="clear"/>
            <w:tcMar>
              <w:top w:type="dxa" w:w="100"/>
              <w:left w:type="dxa" w:w="130"/>
              <w:bottom w:type="dxa" w:w="100"/>
              <w:right w:type="dxa" w:w="130"/>
            </w:tcMar>
            <w:vAlign w:val="center"/>
          </w:tcPr>
          <w:p>
            <w:r>
              <w:rPr>
                <w:b w:val="false"/>
                <w:bCs w:val="false"/>
                <w:color w:val="3A4A5C"/>
                <w:sz w:val="20"/>
                <w:szCs w:val="20"/>
              </w:rPr>
              <w:t xml:space="preserve">% de ingreso recurrente vía contratos de mantenimiento</w:t>
            </w:r>
          </w:p>
        </w:tc>
        <w:tc>
          <w:tcPr>
            <w:tcW w:type="dxa" w:w="5760"/>
            <w:shd w:fill="FFFFFF" w:val="clear"/>
            <w:tcMar>
              <w:top w:type="dxa" w:w="100"/>
              <w:left w:type="dxa" w:w="130"/>
              <w:bottom w:type="dxa" w:w="100"/>
              <w:right w:type="dxa" w:w="130"/>
            </w:tcMar>
            <w:vAlign w:val="center"/>
          </w:tcPr>
          <w:p>
            <w:r>
              <w:rPr>
                <w:b w:val="false"/>
                <w:bCs w:val="false"/>
                <w:color w:val="3A4A5C"/>
                <w:sz w:val="20"/>
                <w:szCs w:val="20"/>
              </w:rPr>
              <w:t xml:space="preserve">Mide la calidad y previsibilidad del ingreso, no solo su volumen.</w:t>
            </w:r>
          </w:p>
        </w:tc>
      </w:tr>
      <w:tr>
        <w:tc>
          <w:tcPr>
            <w:tcW w:type="dxa" w:w="3600"/>
            <w:shd w:fill="F7F4F0" w:val="clear"/>
            <w:tcMar>
              <w:top w:type="dxa" w:w="100"/>
              <w:left w:type="dxa" w:w="130"/>
              <w:bottom w:type="dxa" w:w="100"/>
              <w:right w:type="dxa" w:w="130"/>
            </w:tcMar>
            <w:vAlign w:val="center"/>
          </w:tcPr>
          <w:p>
            <w:r>
              <w:rPr>
                <w:b w:val="false"/>
                <w:bCs w:val="false"/>
                <w:color w:val="3A4A5C"/>
                <w:sz w:val="20"/>
                <w:szCs w:val="20"/>
              </w:rPr>
              <w:t xml:space="preserve">GMV de proveedores y mayoristas (futuro)</w:t>
            </w:r>
          </w:p>
        </w:tc>
        <w:tc>
          <w:tcPr>
            <w:tcW w:type="dxa" w:w="5760"/>
            <w:shd w:fill="F7F4F0" w:val="clear"/>
            <w:tcMar>
              <w:top w:type="dxa" w:w="100"/>
              <w:left w:type="dxa" w:w="130"/>
              <w:bottom w:type="dxa" w:w="100"/>
              <w:right w:type="dxa" w:w="130"/>
            </w:tcMar>
            <w:vAlign w:val="center"/>
          </w:tcPr>
          <w:p>
            <w:r>
              <w:rPr>
                <w:b w:val="false"/>
                <w:bCs w:val="false"/>
                <w:color w:val="3A4A5C"/>
                <w:sz w:val="20"/>
                <w:szCs w:val="20"/>
              </w:rPr>
              <w:t xml:space="preserve">Anticipa el tamaño de la capa de marketplace una vez activada.</w:t>
            </w:r>
          </w:p>
        </w:tc>
      </w:tr>
    </w:tbl>
    <w:p>
      <w:pPr>
        <w:pStyle w:val="Heading1"/>
        <w:pageBreakBefore/>
      </w:pPr>
      <w:r>
        <w:t xml:space="preserve">21. Investment Readiness</w:t>
      </w:r>
    </w:p>
    <w:p>
      <w:pPr>
        <w:pStyle w:val="ListParagraph"/>
        <w:numPr>
          <w:ilvl w:val="0"/>
          <w:numId w:val="2"/>
        </w:numPr>
        <w:spacing w:after="90"/>
      </w:pPr>
      <w:r>
        <w:rPr>
          <w:color w:val="3A4A5C"/>
          <w:sz w:val="22"/>
          <w:szCs w:val="22"/>
        </w:rPr>
        <w:t xml:space="preserve">Producto construido y desplegado en producción en trabflow.com, con el pipeline de IA, el módulo de mantenimiento y el módulo de trabajos externalizados y gastos operativos.</w:t>
      </w:r>
    </w:p>
    <w:p>
      <w:pPr>
        <w:pStyle w:val="ListParagraph"/>
        <w:numPr>
          <w:ilvl w:val="0"/>
          <w:numId w:val="2"/>
        </w:numPr>
        <w:spacing w:after="90"/>
      </w:pPr>
      <w:r>
        <w:rPr>
          <w:color w:val="3A4A5C"/>
          <w:sz w:val="22"/>
          <w:szCs w:val="22"/>
        </w:rPr>
        <w:t xml:space="preserve">Infraestructura de cobro y suscripción (Stripe) integrada y en funcionamiento.</w:t>
      </w:r>
    </w:p>
    <w:p>
      <w:pPr>
        <w:pStyle w:val="ListParagraph"/>
        <w:numPr>
          <w:ilvl w:val="0"/>
          <w:numId w:val="2"/>
        </w:numPr>
        <w:spacing w:after="90"/>
      </w:pPr>
      <w:r>
        <w:rPr>
          <w:color w:val="3A4A5C"/>
          <w:sz w:val="22"/>
          <w:szCs w:val="22"/>
        </w:rPr>
        <w:t xml:space="preserve">Estructura societaria en proceso de formalización: denominación reservada en el Registro Mercantil Central para TrabFlow Technologies, S.L., y solicitud de marca M4383580 presentada ante la OEPM.</w:t>
      </w:r>
    </w:p>
    <w:p>
      <w:pPr>
        <w:pStyle w:val="ListParagraph"/>
        <w:numPr>
          <w:ilvl w:val="0"/>
          <w:numId w:val="2"/>
        </w:numPr>
        <w:spacing w:after="90"/>
      </w:pPr>
      <w:r>
        <w:rPr>
          <w:color w:val="3A4A5C"/>
          <w:sz w:val="22"/>
          <w:szCs w:val="22"/>
        </w:rPr>
        <w:t xml:space="preserve">Activo de datos propietario —la Base Maestra— en construcción activa y deliberada, oficio a oficio.</w:t>
      </w:r>
    </w:p>
    <w:p>
      <w:pPr>
        <w:pStyle w:val="ListParagraph"/>
        <w:numPr>
          <w:ilvl w:val="0"/>
          <w:numId w:val="2"/>
        </w:numPr>
        <w:spacing w:after="90"/>
      </w:pPr>
      <w:r>
        <w:rPr>
          <w:color w:val="3A4A5C"/>
          <w:sz w:val="22"/>
          <w:szCs w:val="22"/>
        </w:rPr>
        <w:t xml:space="preserve">Sin financiación institucional levantada hasta la fecha: desarrollo financiado por el fundador. La compañía se prepara para abrir una ronda externa que acelere equipo, catálogo y expansión geográfica.</w:t>
      </w:r>
    </w:p>
    <w:p>
      <w:pPr>
        <w:pStyle w:val="Heading1"/>
        <w:pageBreakBefore/>
      </w:pPr>
      <w:r>
        <w:t xml:space="preserve">22. Conclusion</w:t>
      </w:r>
    </w:p>
    <w:p>
      <w:pPr>
        <w:spacing w:after="160"/>
      </w:pPr>
      <w:r>
        <w:rPr>
          <w:b w:val="false"/>
          <w:bCs w:val="false"/>
          <w:i w:val="false"/>
          <w:iCs w:val="false"/>
          <w:color w:val="3A4A5C"/>
          <w:sz w:val="22"/>
          <w:szCs w:val="22"/>
        </w:rPr>
        <w:t xml:space="preserve">TrabFlow combina un problema diario, real y costoso para más de tres millones de autónomos españoles —y muchos más en América Latina— con una categoría que ya ha demostrado, en otros mercados, que puede generar compañías de varios miles de millones de dólares de valor. Lo hace desde un producto que ya existe y funciona, no desde una idea en una diapositiva, y construyendo deliberadamente, desde el primer día, los activos más difíciles de replicar: datos estructurados propios, cumplimiento fiscal nativo y confianza dentro del propio sector.</w:t>
      </w:r>
    </w:p>
    <w:p>
      <w:pPr>
        <w:spacing w:after="160"/>
      </w:pPr>
      <w:r>
        <w:rPr>
          <w:b w:val="false"/>
          <w:bCs w:val="false"/>
          <w:i w:val="false"/>
          <w:iCs w:val="false"/>
          <w:color w:val="3A4A5C"/>
          <w:sz w:val="22"/>
          <w:szCs w:val="22"/>
        </w:rPr>
        <w:t xml:space="preserve">El camino que queda por recorrer es de ejecución, no de validación de concepto: completar el catálogo, consolidar el equipo y abrir la expansión geográfica que el propio mercado de referencia internacional ya ha demostrado que es posible.</w:t>
      </w:r>
    </w:p>
    <w:p>
      <w:pPr>
        <w:spacing w:after="200"/>
      </w:pPr>
    </w:p>
    <w:sectPr>
      <w:headerReference w:type="default" r:id="rId7"/>
      <w:footerReference w:type="default" r:id="rId8"/>
      <w:pgSz w:w="12240" w:h="15840"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A8D"/>
        <w:sz w:val="15"/>
        <w:szCs w:val="15"/>
      </w:rPr>
      <w:t xml:space="preserve">TrabFlow Technologies, S.L. · Confidencial · </w:t>
    </w:r>
    <w:r>
      <w:rPr>
        <w:color w:val="6B7A8D"/>
        <w:sz w:val="15"/>
        <w:szCs w:val="15"/>
      </w:rPr>
      <w:t xml:space="preserve">Página </w:t>
    </w:r>
    <w:r>
      <w:rPr>
        <w:color w:val="6B7A8D"/>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DE9E3" w:sz="4" w:space="4"/>
      </w:pBdr>
      <w:jc w:val="right"/>
    </w:pPr>
    <w:r>
      <w:rPr>
        <w:color w:val="6B7A8D"/>
        <w:sz w:val="15"/>
        <w:szCs w:val="15"/>
      </w:rPr>
      <w:t xml:space="preserve">TRABFLOW VISION &amp; PRODUCT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4A5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5A96" w:sz="6" w:space="6"/>
      </w:pBdr>
      <w:spacing w:after="240" w:before="0"/>
      <w:outlineLvl w:val="0"/>
    </w:pPr>
    <w:rPr>
      <w:rFonts w:ascii="Arial" w:cs="Arial" w:eastAsia="Arial" w:hAnsi="Arial"/>
      <w:b/>
      <w:bCs/>
      <w:color w:val="1C2535"/>
      <w:sz w:val="32"/>
      <w:szCs w:val="32"/>
    </w:rPr>
  </w:style>
  <w:style w:type="paragraph" w:styleId="Heading2">
    <w:name w:val="Heading 2"/>
    <w:basedOn w:val="Normal"/>
    <w:next w:val="Normal"/>
    <w:qFormat/>
    <w:pPr>
      <w:spacing w:after="140" w:before="200"/>
      <w:outlineLvl w:val="1"/>
    </w:pPr>
    <w:rPr>
      <w:rFonts w:ascii="Arial" w:cs="Arial" w:eastAsia="Arial" w:hAnsi="Arial"/>
      <w:b/>
      <w:bCs/>
      <w:color w:val="1A5A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18e29ae1d9099c1bf464282138f8a25d50e5e16.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TrabFlow Vision &amp; Product</dc:title>
  <dc:creator>TrabFlow Technologies, S.L.</dc:creator>
  <cp:lastModifiedBy>Un-named</cp:lastModifiedBy>
  <cp:revision>1</cp:revision>
  <dcterms:created xsi:type="dcterms:W3CDTF">2026-06-16T16:22:51.928Z</dcterms:created>
  <dcterms:modified xsi:type="dcterms:W3CDTF">2026-06-16T16:22:51.928Z</dcterms:modified>
</cp:coreProperties>
</file>

<file path=docProps/custom.xml><?xml version="1.0" encoding="utf-8"?>
<Properties xmlns="http://schemas.openxmlformats.org/officeDocument/2006/custom-properties" xmlns:vt="http://schemas.openxmlformats.org/officeDocument/2006/docPropsVTypes"/>
</file>