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drawing>
          <wp:inline distT="0" distB="0" distL="0" distR="0">
            <wp:extent cx="3238500" cy="1619250"/>
            <wp:effectExtent t="0" r="0" b="0" l="0"/>
            <wp:docPr id="1" name="TrabFlow logo" descr="Logotipo de TrabFlow" title="Trab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619250"/>
                    </a:xfrm>
                    <a:prstGeom prst="rect">
                      <a:avLst/>
                    </a:prstGeom>
                  </pic:spPr>
                </pic:pic>
              </a:graphicData>
            </a:graphic>
          </wp:inline>
        </w:drawing>
      </w:r>
    </w:p>
    <w:p>
      <w:pPr>
        <w:spacing w:after="450"/>
      </w:pPr>
    </w:p>
    <w:p>
      <w:pPr>
        <w:jc w:val="center"/>
      </w:pPr>
      <w:r>
        <w:rPr>
          <w:rFonts w:ascii="Arial" w:cs="Arial" w:eastAsia="Arial" w:hAnsi="Arial"/>
          <w:b/>
          <w:bCs/>
          <w:color w:val="1C2535"/>
          <w:sz w:val="52"/>
          <w:szCs w:val="52"/>
        </w:rPr>
        <w:t xml:space="preserve">TRABFLOW VISION &amp; PRODUCT</w:t>
      </w:r>
    </w:p>
    <w:p>
      <w:pPr>
        <w:spacing w:after="80"/>
      </w:pPr>
    </w:p>
    <w:p>
      <w:pPr>
        <w:jc w:val="center"/>
      </w:pPr>
      <w:r>
        <w:rPr>
          <w:rFonts w:ascii="Arial" w:cs="Arial" w:eastAsia="Arial" w:hAnsi="Arial"/>
          <w:b/>
          <w:bCs/>
          <w:color w:val="C8922A"/>
          <w:sz w:val="22"/>
          <w:szCs w:val="22"/>
        </w:rPr>
        <w:t xml:space="preserve">v2.0</w:t>
      </w:r>
    </w:p>
    <w:p>
      <w:pPr>
        <w:spacing w:after="140"/>
      </w:pPr>
    </w:p>
    <w:p>
      <w:pPr>
        <w:jc w:val="center"/>
      </w:pPr>
      <w:r>
        <w:rPr>
          <w:rFonts w:ascii="Arial" w:cs="Arial" w:eastAsia="Arial" w:hAnsi="Arial"/>
          <w:i/>
          <w:iCs/>
          <w:color w:val="1A5A96"/>
          <w:sz w:val="28"/>
          <w:szCs w:val="28"/>
        </w:rPr>
        <w:t xml:space="preserve">La oportunidad, la visión y la tesis de inversión</w:t>
      </w:r>
    </w:p>
    <w:p>
      <w:pPr>
        <w:spacing w:after="900"/>
      </w:pPr>
    </w:p>
    <w:p>
      <w:pPr>
        <w:jc w:val="center"/>
      </w:pPr>
      <w:r>
        <w:rPr>
          <w:color w:val="3A4A5C"/>
          <w:sz w:val="22"/>
          <w:szCs w:val="22"/>
        </w:rPr>
        <w:t xml:space="preserve">TrabFlow Technologies, S.L.</w:t>
      </w:r>
    </w:p>
    <w:p>
      <w:pPr>
        <w:jc w:val="center"/>
      </w:pPr>
      <w:r>
        <w:rPr>
          <w:color w:val="3A4A5C"/>
          <w:sz w:val="22"/>
          <w:szCs w:val="22"/>
        </w:rPr>
        <w:t xml:space="preserve">www.trabflow.com</w:t>
      </w:r>
    </w:p>
    <w:p>
      <w:pPr>
        <w:jc w:val="center"/>
      </w:pPr>
      <w:r>
        <w:rPr>
          <w:color w:val="6B7A8D"/>
          <w:sz w:val="18"/>
          <w:szCs w:val="18"/>
        </w:rPr>
        <w:t xml:space="preserve">Junio 2026 · Documento confidencial para inversores, cofundadores y partners estratégicos</w:t>
      </w:r>
    </w:p>
    <w:p>
      <w:r>
        <w:br w:type="page"/>
      </w:r>
    </w:p>
    <w:p>
      <w:pPr>
        <w:sectPr>
          <w:pgSz w:w="12240" w:h="15840" w:orient="portrait"/>
          <w:pgMar w:top="1080" w:right="1080" w:bottom="1080" w:left="1080" w:header="708" w:footer="708" w:gutter="0"/>
          <w:pgNumType/>
          <w:docGrid w:linePitch="360"/>
        </w:sectPr>
      </w:pPr>
    </w:p>
    <w:p>
      <w:pPr>
        <w:pStyle w:val="Heading1"/>
      </w:pPr>
      <w:r>
        <w:t xml:space="preserve">Table of Contents</w:t>
      </w:r>
    </w:p>
    <w:p>
      <w:pPr>
        <w:spacing w:after="80" w:before="200"/>
      </w:pPr>
      <w:r>
        <w:rPr>
          <w:b/>
          <w:bCs/>
          <w:color w:val="C8922A"/>
          <w:sz w:val="19"/>
          <w:szCs w:val="19"/>
        </w:rPr>
        <w:t xml:space="preserve">PARTE I — LA OPORTUNIDAD</w:t>
      </w:r>
    </w:p>
    <w:p>
      <w:pPr>
        <w:tabs>
          <w:tab w:val="right" w:pos="9360" w:leader="dot"/>
        </w:tabs>
        <w:spacing w:after="80"/>
        <w:ind w:left="180"/>
      </w:pPr>
      <w:r>
        <w:rPr>
          <w:color w:val="1C2535"/>
          <w:sz w:val="21"/>
          <w:szCs w:val="21"/>
        </w:rPr>
        <w:t xml:space="preserve">1. Executive Summary</w:t>
      </w:r>
      <w:r>
        <w:rPr>
          <w:color w:val="3A4A5C"/>
          <w:sz w:val="21"/>
          <w:szCs w:val="21"/>
        </w:rPr>
        <w:t xml:space="preserve">	5</w:t>
      </w:r>
    </w:p>
    <w:p>
      <w:pPr>
        <w:tabs>
          <w:tab w:val="right" w:pos="9360" w:leader="dot"/>
        </w:tabs>
        <w:spacing w:after="80"/>
        <w:ind w:left="180"/>
      </w:pPr>
      <w:r>
        <w:rPr>
          <w:color w:val="1C2535"/>
          <w:sz w:val="21"/>
          <w:szCs w:val="21"/>
        </w:rPr>
        <w:t xml:space="preserve">2. Why Now</w:t>
      </w:r>
      <w:r>
        <w:rPr>
          <w:color w:val="3A4A5C"/>
          <w:sz w:val="21"/>
          <w:szCs w:val="21"/>
        </w:rPr>
        <w:t xml:space="preserve">	6</w:t>
      </w:r>
    </w:p>
    <w:p>
      <w:pPr>
        <w:tabs>
          <w:tab w:val="right" w:pos="9360" w:leader="dot"/>
        </w:tabs>
        <w:spacing w:after="80"/>
        <w:ind w:left="180"/>
      </w:pPr>
      <w:r>
        <w:rPr>
          <w:color w:val="1C2535"/>
          <w:sz w:val="21"/>
          <w:szCs w:val="21"/>
        </w:rPr>
        <w:t xml:space="preserve">3. The Broken Industry</w:t>
      </w:r>
      <w:r>
        <w:rPr>
          <w:color w:val="3A4A5C"/>
          <w:sz w:val="21"/>
          <w:szCs w:val="21"/>
        </w:rPr>
        <w:t xml:space="preserve">	8</w:t>
      </w:r>
    </w:p>
    <w:p>
      <w:pPr>
        <w:spacing w:after="80" w:before="200"/>
      </w:pPr>
      <w:r>
        <w:rPr>
          <w:b/>
          <w:bCs/>
          <w:color w:val="C8922A"/>
          <w:sz w:val="19"/>
          <w:szCs w:val="19"/>
        </w:rPr>
        <w:t xml:space="preserve">PARTE II — LA VISIÓN</w:t>
      </w:r>
    </w:p>
    <w:p>
      <w:pPr>
        <w:tabs>
          <w:tab w:val="right" w:pos="9360" w:leader="dot"/>
        </w:tabs>
        <w:spacing w:after="80"/>
        <w:ind w:left="180"/>
      </w:pPr>
      <w:r>
        <w:rPr>
          <w:color w:val="1C2535"/>
          <w:sz w:val="21"/>
          <w:szCs w:val="21"/>
        </w:rPr>
        <w:t xml:space="preserve">4. The Future of Trade Businesses</w:t>
      </w:r>
      <w:r>
        <w:rPr>
          <w:color w:val="3A4A5C"/>
          <w:sz w:val="21"/>
          <w:szCs w:val="21"/>
        </w:rPr>
        <w:t xml:space="preserve">	10</w:t>
      </w:r>
    </w:p>
    <w:p>
      <w:pPr>
        <w:tabs>
          <w:tab w:val="right" w:pos="9360" w:leader="dot"/>
        </w:tabs>
        <w:spacing w:after="80"/>
        <w:ind w:left="180"/>
      </w:pPr>
      <w:r>
        <w:rPr>
          <w:color w:val="1C2535"/>
          <w:sz w:val="21"/>
          <w:szCs w:val="21"/>
        </w:rPr>
        <w:t xml:space="preserve">5. Vision</w:t>
      </w:r>
      <w:r>
        <w:rPr>
          <w:color w:val="3A4A5C"/>
          <w:sz w:val="21"/>
          <w:szCs w:val="21"/>
        </w:rPr>
        <w:t xml:space="preserve">	11</w:t>
      </w:r>
    </w:p>
    <w:p>
      <w:pPr>
        <w:tabs>
          <w:tab w:val="right" w:pos="9360" w:leader="dot"/>
        </w:tabs>
        <w:spacing w:after="80"/>
        <w:ind w:left="180"/>
      </w:pPr>
      <w:r>
        <w:rPr>
          <w:color w:val="1C2535"/>
          <w:sz w:val="21"/>
          <w:szCs w:val="21"/>
        </w:rPr>
        <w:t xml:space="preserve">6. Mission</w:t>
      </w:r>
      <w:r>
        <w:rPr>
          <w:color w:val="3A4A5C"/>
          <w:sz w:val="21"/>
          <w:szCs w:val="21"/>
        </w:rPr>
        <w:t xml:space="preserve">	12</w:t>
      </w:r>
    </w:p>
    <w:p>
      <w:pPr>
        <w:spacing w:after="80" w:before="200"/>
      </w:pPr>
      <w:r>
        <w:rPr>
          <w:b/>
          <w:bCs/>
          <w:color w:val="C8922A"/>
          <w:sz w:val="19"/>
          <w:szCs w:val="19"/>
        </w:rPr>
        <w:t xml:space="preserve">PARTE III — PRODUCTO</w:t>
      </w:r>
    </w:p>
    <w:p>
      <w:pPr>
        <w:tabs>
          <w:tab w:val="right" w:pos="9360" w:leader="dot"/>
        </w:tabs>
        <w:spacing w:after="80"/>
        <w:ind w:left="180"/>
      </w:pPr>
      <w:r>
        <w:rPr>
          <w:color w:val="1C2535"/>
          <w:sz w:val="21"/>
          <w:szCs w:val="21"/>
        </w:rPr>
        <w:t xml:space="preserve">7. Product Philosophy</w:t>
      </w:r>
      <w:r>
        <w:rPr>
          <w:color w:val="3A4A5C"/>
          <w:sz w:val="21"/>
          <w:szCs w:val="21"/>
        </w:rPr>
        <w:t xml:space="preserve">	14</w:t>
      </w:r>
    </w:p>
    <w:p>
      <w:pPr>
        <w:tabs>
          <w:tab w:val="right" w:pos="9360" w:leader="dot"/>
        </w:tabs>
        <w:spacing w:after="80"/>
        <w:ind w:left="180"/>
      </w:pPr>
      <w:r>
        <w:rPr>
          <w:color w:val="1C2535"/>
          <w:sz w:val="21"/>
          <w:szCs w:val="21"/>
        </w:rPr>
        <w:t xml:space="preserve">8. Product Overview</w:t>
      </w:r>
      <w:r>
        <w:rPr>
          <w:color w:val="3A4A5C"/>
          <w:sz w:val="21"/>
          <w:szCs w:val="21"/>
        </w:rPr>
        <w:t xml:space="preserve">	15</w:t>
      </w:r>
    </w:p>
    <w:p>
      <w:pPr>
        <w:tabs>
          <w:tab w:val="right" w:pos="9360" w:leader="dot"/>
        </w:tabs>
        <w:spacing w:after="80"/>
        <w:ind w:left="180"/>
      </w:pPr>
      <w:r>
        <w:rPr>
          <w:color w:val="1C2535"/>
          <w:sz w:val="21"/>
          <w:szCs w:val="21"/>
        </w:rPr>
        <w:t xml:space="preserve">9. AI Architecture Explained for Investors</w:t>
      </w:r>
      <w:r>
        <w:rPr>
          <w:color w:val="3A4A5C"/>
          <w:sz w:val="21"/>
          <w:szCs w:val="21"/>
        </w:rPr>
        <w:t xml:space="preserve">	16</w:t>
      </w:r>
    </w:p>
    <w:p>
      <w:pPr>
        <w:spacing w:after="80" w:before="200"/>
      </w:pPr>
      <w:r>
        <w:rPr>
          <w:b/>
          <w:bCs/>
          <w:color w:val="C8922A"/>
          <w:sz w:val="19"/>
          <w:szCs w:val="19"/>
        </w:rPr>
        <w:t xml:space="preserve">PARTE IV — MERCADO</w:t>
      </w:r>
    </w:p>
    <w:p>
      <w:pPr>
        <w:tabs>
          <w:tab w:val="right" w:pos="9360" w:leader="dot"/>
        </w:tabs>
        <w:spacing w:after="80"/>
        <w:ind w:left="180"/>
      </w:pPr>
      <w:r>
        <w:rPr>
          <w:color w:val="1C2535"/>
          <w:sz w:val="21"/>
          <w:szCs w:val="21"/>
        </w:rPr>
        <w:t xml:space="preserve">10. TAM / SAM / SOM</w:t>
      </w:r>
      <w:r>
        <w:rPr>
          <w:color w:val="3A4A5C"/>
          <w:sz w:val="21"/>
          <w:szCs w:val="21"/>
        </w:rPr>
        <w:t xml:space="preserve">	18</w:t>
      </w:r>
    </w:p>
    <w:p>
      <w:pPr>
        <w:tabs>
          <w:tab w:val="right" w:pos="9360" w:leader="dot"/>
        </w:tabs>
        <w:spacing w:after="80"/>
        <w:ind w:left="180"/>
      </w:pPr>
      <w:r>
        <w:rPr>
          <w:color w:val="1C2535"/>
          <w:sz w:val="21"/>
          <w:szCs w:val="21"/>
        </w:rPr>
        <w:t xml:space="preserve">11. Competitive Landscape</w:t>
      </w:r>
      <w:r>
        <w:rPr>
          <w:color w:val="3A4A5C"/>
          <w:sz w:val="21"/>
          <w:szCs w:val="21"/>
        </w:rPr>
        <w:t xml:space="preserve">	19</w:t>
      </w:r>
    </w:p>
    <w:p>
      <w:pPr>
        <w:tabs>
          <w:tab w:val="right" w:pos="9360" w:leader="dot"/>
        </w:tabs>
        <w:spacing w:after="80"/>
        <w:ind w:left="180"/>
      </w:pPr>
      <w:r>
        <w:rPr>
          <w:color w:val="1C2535"/>
          <w:sz w:val="21"/>
          <w:szCs w:val="21"/>
        </w:rPr>
        <w:t xml:space="preserve">12. Why TrabFlow Wins</w:t>
      </w:r>
      <w:r>
        <w:rPr>
          <w:color w:val="3A4A5C"/>
          <w:sz w:val="21"/>
          <w:szCs w:val="21"/>
        </w:rPr>
        <w:t xml:space="preserve">	20</w:t>
      </w:r>
    </w:p>
    <w:p>
      <w:pPr>
        <w:spacing w:after="80" w:before="200"/>
      </w:pPr>
      <w:r>
        <w:rPr>
          <w:b/>
          <w:bCs/>
          <w:color w:val="C8922A"/>
          <w:sz w:val="19"/>
          <w:szCs w:val="19"/>
        </w:rPr>
        <w:t xml:space="preserve">PARTE V — MOAT</w:t>
      </w:r>
    </w:p>
    <w:p>
      <w:pPr>
        <w:tabs>
          <w:tab w:val="right" w:pos="9360" w:leader="dot"/>
        </w:tabs>
        <w:spacing w:after="80"/>
        <w:ind w:left="180"/>
      </w:pPr>
      <w:r>
        <w:rPr>
          <w:color w:val="1C2535"/>
          <w:sz w:val="21"/>
          <w:szCs w:val="21"/>
        </w:rPr>
        <w:t xml:space="preserve">13. Data Moat</w:t>
      </w:r>
      <w:r>
        <w:rPr>
          <w:color w:val="3A4A5C"/>
          <w:sz w:val="21"/>
          <w:szCs w:val="21"/>
        </w:rPr>
        <w:t xml:space="preserve">	22</w:t>
      </w:r>
    </w:p>
    <w:p>
      <w:pPr>
        <w:tabs>
          <w:tab w:val="right" w:pos="9360" w:leader="dot"/>
        </w:tabs>
        <w:spacing w:after="80"/>
        <w:ind w:left="180"/>
      </w:pPr>
      <w:r>
        <w:rPr>
          <w:color w:val="1C2535"/>
          <w:sz w:val="21"/>
          <w:szCs w:val="21"/>
        </w:rPr>
        <w:t xml:space="preserve">14. Regulatory Moat</w:t>
      </w:r>
      <w:r>
        <w:rPr>
          <w:color w:val="3A4A5C"/>
          <w:sz w:val="21"/>
          <w:szCs w:val="21"/>
        </w:rPr>
        <w:t xml:space="preserve">	23</w:t>
      </w:r>
    </w:p>
    <w:p>
      <w:pPr>
        <w:tabs>
          <w:tab w:val="right" w:pos="9360" w:leader="dot"/>
        </w:tabs>
        <w:spacing w:after="80"/>
        <w:ind w:left="180"/>
      </w:pPr>
      <w:r>
        <w:rPr>
          <w:color w:val="1C2535"/>
          <w:sz w:val="21"/>
          <w:szCs w:val="21"/>
        </w:rPr>
        <w:t xml:space="preserve">15. Distribution Moat</w:t>
      </w:r>
      <w:r>
        <w:rPr>
          <w:color w:val="3A4A5C"/>
          <w:sz w:val="21"/>
          <w:szCs w:val="21"/>
        </w:rPr>
        <w:t xml:space="preserve">	24</w:t>
      </w:r>
    </w:p>
    <w:p>
      <w:pPr>
        <w:tabs>
          <w:tab w:val="right" w:pos="9360" w:leader="dot"/>
        </w:tabs>
        <w:spacing w:after="80"/>
        <w:ind w:left="180"/>
      </w:pPr>
      <w:r>
        <w:rPr>
          <w:color w:val="1C2535"/>
          <w:sz w:val="21"/>
          <w:szCs w:val="21"/>
        </w:rPr>
        <w:t xml:space="preserve">16. Marketplace Moat</w:t>
      </w:r>
      <w:r>
        <w:rPr>
          <w:color w:val="3A4A5C"/>
          <w:sz w:val="21"/>
          <w:szCs w:val="21"/>
        </w:rPr>
        <w:t xml:space="preserve">	25</w:t>
      </w:r>
    </w:p>
    <w:p>
      <w:pPr>
        <w:spacing w:after="80" w:before="200"/>
      </w:pPr>
      <w:r>
        <w:rPr>
          <w:b/>
          <w:bCs/>
          <w:color w:val="C8922A"/>
          <w:sz w:val="19"/>
          <w:szCs w:val="19"/>
        </w:rPr>
        <w:t xml:space="preserve">PARTE VI — MODELO DE NEGOCIO</w:t>
      </w:r>
    </w:p>
    <w:p>
      <w:pPr>
        <w:tabs>
          <w:tab w:val="right" w:pos="9360" w:leader="dot"/>
        </w:tabs>
        <w:spacing w:after="80"/>
        <w:ind w:left="180"/>
      </w:pPr>
      <w:r>
        <w:rPr>
          <w:color w:val="1C2535"/>
          <w:sz w:val="21"/>
          <w:szCs w:val="21"/>
        </w:rPr>
        <w:t xml:space="preserve">17. Pricing</w:t>
      </w:r>
      <w:r>
        <w:rPr>
          <w:color w:val="3A4A5C"/>
          <w:sz w:val="21"/>
          <w:szCs w:val="21"/>
        </w:rPr>
        <w:t xml:space="preserve">	27</w:t>
      </w:r>
    </w:p>
    <w:p>
      <w:pPr>
        <w:tabs>
          <w:tab w:val="right" w:pos="9360" w:leader="dot"/>
        </w:tabs>
        <w:spacing w:after="80"/>
        <w:ind w:left="180"/>
      </w:pPr>
      <w:r>
        <w:rPr>
          <w:color w:val="1C2535"/>
          <w:sz w:val="21"/>
          <w:szCs w:val="21"/>
        </w:rPr>
        <w:t xml:space="preserve">18. Unit Economics</w:t>
      </w:r>
      <w:r>
        <w:rPr>
          <w:color w:val="3A4A5C"/>
          <w:sz w:val="21"/>
          <w:szCs w:val="21"/>
        </w:rPr>
        <w:t xml:space="preserve">	28</w:t>
      </w:r>
    </w:p>
    <w:p>
      <w:pPr>
        <w:tabs>
          <w:tab w:val="right" w:pos="9360" w:leader="dot"/>
        </w:tabs>
        <w:spacing w:after="80"/>
        <w:ind w:left="180"/>
      </w:pPr>
      <w:r>
        <w:rPr>
          <w:color w:val="1C2535"/>
          <w:sz w:val="21"/>
          <w:szCs w:val="21"/>
        </w:rPr>
        <w:t xml:space="preserve">19. Revenue Expansion</w:t>
      </w:r>
      <w:r>
        <w:rPr>
          <w:color w:val="3A4A5C"/>
          <w:sz w:val="21"/>
          <w:szCs w:val="21"/>
        </w:rPr>
        <w:t xml:space="preserve">	30</w:t>
      </w:r>
    </w:p>
    <w:p>
      <w:pPr>
        <w:spacing w:after="80" w:before="200"/>
      </w:pPr>
      <w:r>
        <w:rPr>
          <w:b/>
          <w:bCs/>
          <w:color w:val="C8922A"/>
          <w:sz w:val="19"/>
          <w:szCs w:val="19"/>
        </w:rPr>
        <w:t xml:space="preserve">PARTE VII — GO TO MARKET</w:t>
      </w:r>
    </w:p>
    <w:p>
      <w:pPr>
        <w:tabs>
          <w:tab w:val="right" w:pos="9360" w:leader="dot"/>
        </w:tabs>
        <w:spacing w:after="80"/>
        <w:ind w:left="180"/>
      </w:pPr>
      <w:r>
        <w:rPr>
          <w:color w:val="1C2535"/>
          <w:sz w:val="21"/>
          <w:szCs w:val="21"/>
        </w:rPr>
        <w:t xml:space="preserve">20. Acquisition Engine</w:t>
      </w:r>
      <w:r>
        <w:rPr>
          <w:color w:val="3A4A5C"/>
          <w:sz w:val="21"/>
          <w:szCs w:val="21"/>
        </w:rPr>
        <w:t xml:space="preserve">	32</w:t>
      </w:r>
    </w:p>
    <w:p>
      <w:pPr>
        <w:tabs>
          <w:tab w:val="right" w:pos="9360" w:leader="dot"/>
        </w:tabs>
        <w:spacing w:after="80"/>
        <w:ind w:left="180"/>
      </w:pPr>
      <w:r>
        <w:rPr>
          <w:color w:val="1C2535"/>
          <w:sz w:val="21"/>
          <w:szCs w:val="21"/>
        </w:rPr>
        <w:t xml:space="preserve">21. Partnerships</w:t>
      </w:r>
      <w:r>
        <w:rPr>
          <w:color w:val="3A4A5C"/>
          <w:sz w:val="21"/>
          <w:szCs w:val="21"/>
        </w:rPr>
        <w:t xml:space="preserve">	33</w:t>
      </w:r>
    </w:p>
    <w:p>
      <w:pPr>
        <w:tabs>
          <w:tab w:val="right" w:pos="9360" w:leader="dot"/>
        </w:tabs>
        <w:spacing w:after="80"/>
        <w:ind w:left="180"/>
      </w:pPr>
      <w:r>
        <w:rPr>
          <w:color w:val="1C2535"/>
          <w:sz w:val="21"/>
          <w:szCs w:val="21"/>
        </w:rPr>
        <w:t xml:space="preserve">22. Community Strategy</w:t>
      </w:r>
      <w:r>
        <w:rPr>
          <w:color w:val="3A4A5C"/>
          <w:sz w:val="21"/>
          <w:szCs w:val="21"/>
        </w:rPr>
        <w:t xml:space="preserve">	34</w:t>
      </w:r>
    </w:p>
    <w:p>
      <w:pPr>
        <w:spacing w:after="80" w:before="200"/>
      </w:pPr>
      <w:r>
        <w:rPr>
          <w:b/>
          <w:bCs/>
          <w:color w:val="C8922A"/>
          <w:sz w:val="19"/>
          <w:szCs w:val="19"/>
        </w:rPr>
        <w:t xml:space="preserve">PARTE VIII — ROADMAP</w:t>
      </w:r>
    </w:p>
    <w:p>
      <w:pPr>
        <w:tabs>
          <w:tab w:val="right" w:pos="9360" w:leader="dot"/>
        </w:tabs>
        <w:spacing w:after="80"/>
        <w:ind w:left="180"/>
      </w:pPr>
      <w:r>
        <w:rPr>
          <w:color w:val="1C2535"/>
          <w:sz w:val="21"/>
          <w:szCs w:val="21"/>
        </w:rPr>
        <w:t xml:space="preserve">23. Product Roadmap</w:t>
      </w:r>
      <w:r>
        <w:rPr>
          <w:color w:val="3A4A5C"/>
          <w:sz w:val="21"/>
          <w:szCs w:val="21"/>
        </w:rPr>
        <w:t xml:space="preserve">	36</w:t>
      </w:r>
    </w:p>
    <w:p>
      <w:pPr>
        <w:tabs>
          <w:tab w:val="right" w:pos="9360" w:leader="dot"/>
        </w:tabs>
        <w:spacing w:after="80"/>
        <w:ind w:left="180"/>
      </w:pPr>
      <w:r>
        <w:rPr>
          <w:color w:val="1C2535"/>
          <w:sz w:val="21"/>
          <w:szCs w:val="21"/>
        </w:rPr>
        <w:t xml:space="preserve">24. Expansion Roadmap</w:t>
      </w:r>
      <w:r>
        <w:rPr>
          <w:color w:val="3A4A5C"/>
          <w:sz w:val="21"/>
          <w:szCs w:val="21"/>
        </w:rPr>
        <w:t xml:space="preserve">	37</w:t>
      </w:r>
    </w:p>
    <w:p>
      <w:pPr>
        <w:spacing w:after="80" w:before="200"/>
      </w:pPr>
      <w:r>
        <w:rPr>
          <w:b/>
          <w:bCs/>
          <w:color w:val="C8922A"/>
          <w:sz w:val="19"/>
          <w:szCs w:val="19"/>
        </w:rPr>
        <w:t xml:space="preserve">PARTE IX — INVERSIÓN</w:t>
      </w:r>
    </w:p>
    <w:p>
      <w:pPr>
        <w:tabs>
          <w:tab w:val="right" w:pos="9360" w:leader="dot"/>
        </w:tabs>
        <w:spacing w:after="80"/>
        <w:ind w:left="180"/>
      </w:pPr>
      <w:r>
        <w:rPr>
          <w:color w:val="1C2535"/>
          <w:sz w:val="21"/>
          <w:szCs w:val="21"/>
        </w:rPr>
        <w:t xml:space="preserve">25. Current Status</w:t>
      </w:r>
      <w:r>
        <w:rPr>
          <w:color w:val="3A4A5C"/>
          <w:sz w:val="21"/>
          <w:szCs w:val="21"/>
        </w:rPr>
        <w:t xml:space="preserve">	39</w:t>
      </w:r>
    </w:p>
    <w:p>
      <w:pPr>
        <w:tabs>
          <w:tab w:val="right" w:pos="9360" w:leader="dot"/>
        </w:tabs>
        <w:spacing w:after="80"/>
        <w:ind w:left="180"/>
      </w:pPr>
      <w:r>
        <w:rPr>
          <w:color w:val="1C2535"/>
          <w:sz w:val="21"/>
          <w:szCs w:val="21"/>
        </w:rPr>
        <w:t xml:space="preserve">26. Use Of Funds</w:t>
      </w:r>
      <w:r>
        <w:rPr>
          <w:color w:val="3A4A5C"/>
          <w:sz w:val="21"/>
          <w:szCs w:val="21"/>
        </w:rPr>
        <w:t xml:space="preserve">	40</w:t>
      </w:r>
    </w:p>
    <w:p>
      <w:pPr>
        <w:tabs>
          <w:tab w:val="right" w:pos="9360" w:leader="dot"/>
        </w:tabs>
        <w:spacing w:after="80"/>
        <w:ind w:left="180"/>
      </w:pPr>
      <w:r>
        <w:rPr>
          <w:color w:val="1C2535"/>
          <w:sz w:val="21"/>
          <w:szCs w:val="21"/>
        </w:rPr>
        <w:t xml:space="preserve">27. Investment Thesis</w:t>
      </w:r>
      <w:r>
        <w:rPr>
          <w:color w:val="3A4A5C"/>
          <w:sz w:val="21"/>
          <w:szCs w:val="21"/>
        </w:rPr>
        <w:t xml:space="preserve">	41</w:t>
      </w:r>
    </w:p>
    <w:p>
      <w:pPr>
        <w:tabs>
          <w:tab w:val="right" w:pos="9360" w:leader="dot"/>
        </w:tabs>
        <w:spacing w:after="80"/>
        <w:ind w:left="180"/>
      </w:pPr>
      <w:r>
        <w:rPr>
          <w:color w:val="1C2535"/>
          <w:sz w:val="21"/>
          <w:szCs w:val="21"/>
        </w:rPr>
        <w:t xml:space="preserve">28. Risks</w:t>
      </w:r>
      <w:r>
        <w:rPr>
          <w:color w:val="3A4A5C"/>
          <w:sz w:val="21"/>
          <w:szCs w:val="21"/>
        </w:rPr>
        <w:t xml:space="preserve">	42</w:t>
      </w:r>
    </w:p>
    <w:p>
      <w:pPr>
        <w:tabs>
          <w:tab w:val="right" w:pos="9360" w:leader="dot"/>
        </w:tabs>
        <w:spacing w:after="80"/>
        <w:ind w:left="180"/>
      </w:pPr>
      <w:r>
        <w:rPr>
          <w:color w:val="1C2535"/>
          <w:sz w:val="21"/>
          <w:szCs w:val="21"/>
        </w:rPr>
        <w:t xml:space="preserve">29. Conclusion</w:t>
      </w:r>
      <w:r>
        <w:rPr>
          <w:color w:val="3A4A5C"/>
          <w:sz w:val="21"/>
          <w:szCs w:val="21"/>
        </w:rPr>
        <w:t xml:space="preserve">	43</w:t>
      </w:r>
    </w:p>
    <w:p>
      <w:r>
        <w:br w:type="page"/>
      </w:r>
    </w:p>
    <w:p>
      <w:pPr>
        <w:sectPr>
          <w:pgSz w:w="12240" w:h="15840" w:orient="portrait"/>
          <w:pgMar w:top="1080" w:right="1080" w:bottom="1080" w:left="1080" w:header="708" w:footer="708" w:gutter="0"/>
          <w:pgNumType/>
          <w:docGrid w:linePitch="360"/>
        </w:sectPr>
      </w:pP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I</w:t>
      </w:r>
    </w:p>
    <w:p>
      <w:pPr>
        <w:spacing w:after="160"/>
      </w:pPr>
    </w:p>
    <w:p>
      <w:pPr>
        <w:jc w:val="center"/>
      </w:pPr>
      <w:r>
        <w:rPr>
          <w:rFonts w:ascii="Arial" w:cs="Arial" w:eastAsia="Arial" w:hAnsi="Arial"/>
          <w:b/>
          <w:bCs/>
          <w:color w:val="1C2535"/>
          <w:sz w:val="44"/>
          <w:szCs w:val="44"/>
        </w:rPr>
        <w:t xml:space="preserve">La Oportunidad</w:t>
      </w:r>
    </w:p>
    <w:p>
      <w:pPr>
        <w:spacing w:after="100"/>
      </w:pPr>
    </w:p>
    <w:p>
      <w:pPr>
        <w:jc w:val="center"/>
      </w:pPr>
      <w:r>
        <w:rPr>
          <w:i/>
          <w:iCs/>
          <w:color w:val="1A5A96"/>
          <w:sz w:val="24"/>
          <w:szCs w:val="24"/>
        </w:rPr>
        <w:t xml:space="preserve">Por qué este mercado, por qué ahora</w:t>
      </w:r>
    </w:p>
    <w:p>
      <w:pPr>
        <w:pStyle w:val="Heading1"/>
        <w:pageBreakBefore/>
      </w:pPr>
      <w:r>
        <w:t xml:space="preserve">1. Executive Summary</w:t>
      </w:r>
    </w:p>
    <w:p>
      <w:pPr>
        <w:spacing w:after="160"/>
      </w:pPr>
      <w:r>
        <w:rPr>
          <w:color w:val="3A4A5C"/>
          <w:sz w:val="22"/>
          <w:szCs w:val="22"/>
        </w:rPr>
        <w:t xml:space="preserve">TrabFlow es el sistema operativo de inteligencia artificial para instaladores autónomos y pymes de oficios técnicos —fontanería, electricidad, climatización, cerrajería, reformas, pintura, albañilería— en España, con expansión planificada a Portugal y América Latina.</w:t>
      </w:r>
    </w:p>
    <w:p>
      <w:pPr>
        <w:spacing w:after="60"/>
      </w:pPr>
      <w:r>
        <w:rPr>
          <w:b/>
          <w:bCs/>
          <w:color w:val="1A5A96"/>
          <w:sz w:val="30"/>
          <w:szCs w:val="30"/>
        </w:rPr>
        <w:t xml:space="preserve">150.000–250.000  </w:t>
      </w:r>
      <w:r>
        <w:rPr>
          <w:color w:val="6B7A8D"/>
          <w:sz w:val="20"/>
          <w:szCs w:val="20"/>
        </w:rPr>
        <w:t xml:space="preserve">profesionales y microempresas de oficios objetivo solo en España (estimación propia, ver Parte IV)</w:t>
      </w:r>
    </w:p>
    <w:p>
      <w:pPr>
        <w:spacing w:after="60"/>
      </w:pPr>
      <w:r>
        <w:rPr>
          <w:b/>
          <w:bCs/>
          <w:color w:val="1A5A96"/>
          <w:sz w:val="30"/>
          <w:szCs w:val="30"/>
        </w:rPr>
        <w:t xml:space="preserve">20%  </w:t>
      </w:r>
      <w:r>
        <w:rPr>
          <w:color w:val="6B7A8D"/>
          <w:sz w:val="20"/>
          <w:szCs w:val="20"/>
        </w:rPr>
        <w:t xml:space="preserve">de los autónomos españoles usa hoy IA en su actividad — el 80% restante es el mercado (UPTA, junio 2026)</w:t>
      </w:r>
    </w:p>
    <w:p>
      <w:pPr>
        <w:spacing w:after="60"/>
      </w:pPr>
      <w:r>
        <w:rPr>
          <w:b/>
          <w:bCs/>
          <w:color w:val="1A5A96"/>
          <w:sz w:val="30"/>
          <w:szCs w:val="30"/>
        </w:rPr>
        <w:t xml:space="preserve">7.000M$ / 1.000M$  </w:t>
      </w:r>
      <w:r>
        <w:rPr>
          <w:color w:val="6B7A8D"/>
          <w:sz w:val="20"/>
          <w:szCs w:val="20"/>
        </w:rPr>
        <w:t xml:space="preserve">capitalización e ingresos anuales de ServiceTitan, la referencia de esta categoría en EE. UU. (mediados de 2026)</w:t>
      </w:r>
    </w:p>
    <w:p>
      <w:pPr>
        <w:spacing w:after="160"/>
      </w:pPr>
      <w:r>
        <w:rPr>
          <w:color w:val="3A4A5C"/>
          <w:sz w:val="22"/>
          <w:szCs w:val="22"/>
        </w:rPr>
        <w:t xml:space="preserve">La magnitud de la oportunidad no es una promesa abstracta: es un mercado de cientos de miles de profesionales, en un sector que mueve miles de millones de euros al año en España, atendido hoy por papel, Excel y WhatsApp en texto libre, justo cuando tres fuerzas convergen —IA generativa accesible, una ola regulatoria de digitalización obligatoria (VeriFactu) y fondos públicos para financiarla (Kit Digital)— que hacen que este sea el momento, no hace diez años ni dentro de cinco, para construir la categoría.</w:t>
      </w:r>
    </w:p>
    <w:p>
      <w:pPr>
        <w:spacing w:after="160"/>
      </w:pPr>
      <w:r>
        <w:rPr>
          <w:color w:val="3A4A5C"/>
          <w:sz w:val="22"/>
          <w:szCs w:val="22"/>
        </w:rPr>
        <w:t xml:space="preserve">Lo que hace única a TrabFlow no es “tener IA” —eso lo puede anunciar cualquiera— sino una arquitectura de producto que invierte la relación habitual entre el instalador y el software: en TrabFlow, el instalador no rellena formularios, habla, y la plataforma estructura ese trabajo contra un catálogo propietario de actuaciones por oficio (la Base Maestra) en lugar de improvisar precios. Esa combinación —IA conversacional + dato propietario estructurado + cumplimiento fiscal español y latinoamericano nativo— no existe hoy en ningún competidor, español o internacional.</w:t>
      </w:r>
    </w:p>
    <w:p>
      <w:pPr>
        <w:spacing w:after="160"/>
      </w:pPr>
      <w:r>
        <w:rPr>
          <w:color w:val="3A4A5C"/>
          <w:sz w:val="22"/>
          <w:szCs w:val="22"/>
        </w:rPr>
        <w:t xml:space="preserve">Lo que se está construyendo realmente, hoy, no es una idea: es una plataforma en producción en trabflow.com, con cobro recurrente activo vía Stripe, tres oficios completos de la Base Maestra (fontanería, electricidad, albañilería) con cien actuaciones estructuradas cada uno, y una sociedad matriz —TrabFlow Technologies, S.L.— en proceso de constitución formal sobre una denominación ya reservada en el Registro Mercantil Central y una marca ya solicitada ante la OEPM.</w:t>
      </w:r>
    </w:p>
    <w:p>
      <w:pPr>
        <w:spacing w:after="160"/>
      </w:pPr>
      <w:r>
        <w:rPr>
          <w:color w:val="3A4A5C"/>
          <w:sz w:val="22"/>
          <w:szCs w:val="22"/>
        </w:rPr>
        <w:t xml:space="preserve">TrabFlow busca capital para acelerar tres frentes simultáneos: completar el catálogo restante de la Base Maestra, consolidar el equipo fundador más allá de una sola persona, y ejecutar la expansión a Portugal y México que el propio mercado de referencia internacional ya ha demostrado que es posible.</w:t>
      </w:r>
    </w:p>
    <w:p>
      <w:pPr>
        <w:pStyle w:val="Heading1"/>
        <w:pageBreakBefore/>
      </w:pPr>
      <w:r>
        <w:t xml:space="preserve">2. Why Now</w:t>
      </w:r>
    </w:p>
    <w:p>
      <w:pPr>
        <w:spacing w:after="160"/>
      </w:pPr>
      <w:r>
        <w:rPr>
          <w:color w:val="3A4A5C"/>
          <w:sz w:val="22"/>
          <w:szCs w:val="22"/>
        </w:rPr>
        <w:t xml:space="preserve">La pregunta que cualquier inversor experimentado se hace ante una oportunidad que suena bien es: ¿por qué no existe ya? La respuesta de TrabFlow es que seis fuerzas, ninguna de ellas presente simultáneamente hace incluso tres años, convergen ahora mismo sobre el mismo segmento de mercado.</w:t>
      </w:r>
    </w:p>
    <w:p>
      <w:pPr>
        <w:pStyle w:val="Heading2"/>
      </w:pPr>
      <w:r>
        <w:t xml:space="preserve">1. La IA generativa conversacional se ha vuelto barata y fiable</w:t>
      </w:r>
    </w:p>
    <w:p>
      <w:pPr>
        <w:spacing w:after="160"/>
      </w:pPr>
      <w:r>
        <w:rPr>
          <w:color w:val="3A4A5C"/>
          <w:sz w:val="22"/>
          <w:szCs w:val="22"/>
        </w:rPr>
        <w:t xml:space="preserve">Transcribir voz con precisión en español y estructurar un presupuesto técnico a partir de una descripción hablada es una tarea que, hasta hace poco, exigía equipos de ingeniería de IA propios y costes por llamada incompatibles con un precio de suscripción de 49€/mes. Hoy, modelos como Claude Haiku son lo bastante baratos y lo bastante precisos como para que ese coste por presupuesto generado represente una fracción mínima del ARPU. Esta ventana de coste-rendimiento es reciente: es la razón estructural por la que un producto como TrabFlow es viable hoy y no lo era hace pocos años.</w:t>
      </w:r>
    </w:p>
    <w:p>
      <w:pPr>
        <w:pStyle w:val="Heading2"/>
      </w:pPr>
      <w:r>
        <w:t xml:space="preserve">2. VeriFactu convierte la digitalización en obligación legal, no en opción</w:t>
      </w:r>
    </w:p>
    <w:p>
      <w:pPr>
        <w:spacing w:after="160"/>
      </w:pPr>
      <w:r>
        <w:rPr>
          <w:color w:val="3A4A5C"/>
          <w:sz w:val="22"/>
          <w:szCs w:val="22"/>
        </w:rPr>
        <w:t xml:space="preserve">El Real Decreto 1007/2023, modificado por el Real Decreto-ley 15/2025 de 2 de diciembre, fija como fecha límite el 1 de enero de 2027 para sociedades y el 1 de julio de 2027 para autónomos: a partir de esas fechas, todo profesional que facture con un sistema informático deberá usar un software que cumpla los requisitos de huella digital encadenada (hash) y trazabilidad ante Hacienda. No es una recomendación de buenas prácticas: es una obligación con sanciones, y convierte a cada instalador que hoy factura en Excel o a mano en un comprador forzoso de software de facturación compatible en un plazo de doce a dieciocho meses.</w:t>
      </w:r>
    </w:p>
    <w:p>
      <w:pPr>
        <w:pStyle w:val="Heading2"/>
      </w:pPr>
      <w:r>
        <w:t xml:space="preserve">3. Kit Digital pone dinero público encima de la mesa</w:t>
      </w:r>
    </w:p>
    <w:p>
      <w:pPr>
        <w:spacing w:after="160"/>
      </w:pPr>
      <w:r>
        <w:rPr>
          <w:color w:val="3A4A5C"/>
          <w:sz w:val="22"/>
          <w:szCs w:val="22"/>
        </w:rPr>
        <w:t xml:space="preserve">La Orden TDF/39/2026, publicada en el BOE el 28 de enero de 2026, reactivó el Programa Kit Digital con fondos remanentes, sin fecha de cierre fija, por orden de llegada, con bonos de hasta 12.000–19.000€ según el tamaño de la empresa, canalizados a través de Agentes Digitalizadores acreditados. Es, literalmente, presupuesto público disponible para que un instalador pague TrabFlow sin poner un euro de su bolsillo.</w:t>
      </w:r>
    </w:p>
    <w:p>
      <w:pPr>
        <w:pStyle w:val="Heading2"/>
      </w:pPr>
      <w:r>
        <w:t xml:space="preserve">4. La factura electrónica B2B obligatoria se suma a la ola</w:t>
      </w:r>
    </w:p>
    <w:p>
      <w:pPr>
        <w:spacing w:after="160"/>
      </w:pPr>
      <w:r>
        <w:rPr>
          <w:color w:val="3A4A5C"/>
          <w:sz w:val="22"/>
          <w:szCs w:val="22"/>
        </w:rPr>
        <w:t xml:space="preserve">La Ley Crea y Crece, con su Orden Ministerial de desarrollo prevista para finales de 2026, obligará al intercambio de facturas electrónicas estructuradas entre empresas y profesionales. Combinada con VeriFactu, configura un escenario en el que un instalador que no actualice su forma de facturar en los próximos veinticuatro meses, sencillamente, no podrá seguir operando con normalidad.</w:t>
      </w:r>
    </w:p>
    <w:p>
      <w:pPr>
        <w:pStyle w:val="Heading2"/>
      </w:pPr>
      <w:r>
        <w:t xml:space="preserve">5. WhatsApp ya ganó la guerra del canal de comunicación</w:t>
      </w:r>
    </w:p>
    <w:p>
      <w:pPr>
        <w:spacing w:after="160"/>
      </w:pPr>
      <w:r>
        <w:rPr>
          <w:color w:val="3A4A5C"/>
          <w:sz w:val="22"/>
          <w:szCs w:val="22"/>
        </w:rPr>
        <w:t xml:space="preserve">Ningún instalador español coordina hoy a sus clientes por email o por una app de mensajería corporativa: lo hace por WhatsApp, sin excepción. Ninguna plataforma vertical —ni las españolas ni las internacionales— lo trata como canal nativo de primera clase en lugar de una integración añadida después. Construir sobre ese hábito ya consolidado, en lugar de pedirle al instalador que cambie de canal, es una decisión de diseño que reduce la fricción de adopción a casi cero.</w:t>
      </w:r>
    </w:p>
    <w:p>
      <w:pPr>
        <w:pStyle w:val="Heading2"/>
      </w:pPr>
      <w:r>
        <w:t xml:space="preserve">6. La escasez de mano de obra cualificada encarece cada hora de papeleo</w:t>
      </w:r>
    </w:p>
    <w:p>
      <w:pPr>
        <w:spacing w:after="160"/>
      </w:pPr>
      <w:r>
        <w:rPr>
          <w:color w:val="3A4A5C"/>
          <w:sz w:val="22"/>
          <w:szCs w:val="22"/>
        </w:rPr>
        <w:t xml:space="preserve">Según un análisis de Cronoshare recogido por Infobae en noviembre de 2025, la escasez de profesionales cualificados está elevando los salarios de electricistas y fontaneros autónomos en España, con electricistas en el rango de 2.500–3.500€/mes y fontaneros en 2.000–3.500€/mes. Cuanto más vale la hora de un instalador, más caro resulta cada minuto que dedica a escribir un presupuesto en lugar de facturarlo en obra —lo que vuelve más urgente, no menos, sustituir ese papeleo por una conversación de tres minutos.</w:t>
      </w:r>
    </w:p>
    <w:p>
      <w:pPr>
        <w:pBdr>
          <w:left w:val="single" w:color="C8922A" w:sz="18" w:space="8"/>
        </w:pBdr>
        <w:spacing w:after="200" w:before="120"/>
        <w:ind w:left="360"/>
      </w:pPr>
      <w:r>
        <w:rPr>
          <w:rFonts w:ascii="Georgia" w:cs="Georgia" w:eastAsia="Georgia" w:hAnsi="Georgia"/>
          <w:i/>
          <w:iCs/>
          <w:color w:val="1C2535"/>
          <w:sz w:val="25"/>
          <w:szCs w:val="25"/>
        </w:rPr>
        <w:t xml:space="preserve">Ninguna de estas seis fuerzas existía simultáneamente hace cinco años. Todas existen hoy, y ninguna desaparece en los próximos tres.</w:t>
      </w:r>
    </w:p>
    <w:p>
      <w:pPr>
        <w:pStyle w:val="Heading1"/>
        <w:pageBreakBefore/>
      </w:pPr>
      <w:r>
        <w:t xml:space="preserve">3. The Broken Industry</w:t>
      </w:r>
    </w:p>
    <w:p>
      <w:pPr>
        <w:spacing w:after="160"/>
      </w:pPr>
      <w:r>
        <w:rPr>
          <w:color w:val="3A4A5C"/>
          <w:sz w:val="22"/>
          <w:szCs w:val="22"/>
        </w:rPr>
        <w:t xml:space="preserve">El problema no es exclusivo de un oficio: aparece, con la misma forma, en fontanería, electricidad, climatización, reformas y mantenimiento técnico. Cambia el material; no cambia el papeleo.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C2535" w:val="clear"/>
            <w:tcMar>
              <w:top w:type="dxa" w:w="90"/>
              <w:left w:type="dxa" w:w="120"/>
              <w:bottom w:type="dxa" w:w="90"/>
              <w:right w:type="dxa" w:w="120"/>
            </w:tcMar>
            <w:vAlign w:val="center"/>
          </w:tcPr>
          <w:p>
            <w:r>
              <w:rPr>
                <w:b/>
                <w:bCs/>
                <w:color w:val="FFFFFF"/>
                <w:sz w:val="18"/>
                <w:szCs w:val="18"/>
              </w:rPr>
              <w:t xml:space="preserve">Oficio</w:t>
            </w:r>
          </w:p>
        </w:tc>
        <w:tc>
          <w:tcPr>
            <w:tcW w:type="dxa" w:w="6960"/>
            <w:shd w:fill="1C2535" w:val="clear"/>
            <w:tcMar>
              <w:top w:type="dxa" w:w="90"/>
              <w:left w:type="dxa" w:w="120"/>
              <w:bottom w:type="dxa" w:w="90"/>
              <w:right w:type="dxa" w:w="120"/>
            </w:tcMar>
            <w:vAlign w:val="center"/>
          </w:tcPr>
          <w:p>
            <w:r>
              <w:rPr>
                <w:b/>
                <w:bCs/>
                <w:color w:val="FFFFFF"/>
                <w:sz w:val="18"/>
                <w:szCs w:val="18"/>
              </w:rPr>
              <w:t xml:space="preserve">Cómo se manifiesta el mismo problema</w:t>
            </w:r>
          </w:p>
        </w:tc>
      </w:tr>
      <w:tr>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Fontanería</w:t>
            </w:r>
          </w:p>
        </w:tc>
        <w:tc>
          <w:tcPr>
            <w:tcW w:type="dxa" w:w="6960"/>
            <w:shd w:fill="F7F4F0" w:val="clear"/>
            <w:tcMar>
              <w:top w:type="dxa" w:w="90"/>
              <w:left w:type="dxa" w:w="120"/>
              <w:bottom w:type="dxa" w:w="90"/>
              <w:right w:type="dxa" w:w="120"/>
            </w:tcMar>
            <w:vAlign w:val="center"/>
          </w:tcPr>
          <w:p>
            <w:r>
              <w:rPr>
                <w:b w:val="false"/>
                <w:bCs w:val="false"/>
                <w:color w:val="3A4A5C"/>
                <w:sz w:val="19"/>
                <w:szCs w:val="19"/>
              </w:rPr>
              <w:t xml:space="preserve">Presupuestos de sustitución (bañera por plato de ducha, cambio de termo) calculados de memoria, sin partidas de desmontaje ni gestión de residuos, que erosionan el margen sin que el instalador lo note.</w:t>
            </w:r>
          </w:p>
        </w:tc>
      </w:tr>
      <w:tr>
        <w:tc>
          <w:tcPr>
            <w:tcW w:type="dxa" w:w="2400"/>
            <w:shd w:fill="FFFFFF" w:val="clear"/>
            <w:tcMar>
              <w:top w:type="dxa" w:w="90"/>
              <w:left w:type="dxa" w:w="120"/>
              <w:bottom w:type="dxa" w:w="90"/>
              <w:right w:type="dxa" w:w="120"/>
            </w:tcMar>
            <w:vAlign w:val="center"/>
          </w:tcPr>
          <w:p>
            <w:r>
              <w:rPr>
                <w:b w:val="false"/>
                <w:bCs w:val="false"/>
                <w:color w:val="3A4A5C"/>
                <w:sz w:val="19"/>
                <w:szCs w:val="19"/>
              </w:rPr>
              <w:t xml:space="preserve">Electricidad</w:t>
            </w:r>
          </w:p>
        </w:tc>
        <w:tc>
          <w:tcPr>
            <w:tcW w:type="dxa" w:w="6960"/>
            <w:shd w:fill="FFFFFF" w:val="clear"/>
            <w:tcMar>
              <w:top w:type="dxa" w:w="90"/>
              <w:left w:type="dxa" w:w="120"/>
              <w:bottom w:type="dxa" w:w="90"/>
              <w:right w:type="dxa" w:w="120"/>
            </w:tcMar>
            <w:vAlign w:val="center"/>
          </w:tcPr>
          <w:p>
            <w:r>
              <w:rPr>
                <w:b w:val="false"/>
                <w:bCs w:val="false"/>
                <w:color w:val="3A4A5C"/>
                <w:sz w:val="19"/>
                <w:szCs w:val="19"/>
              </w:rPr>
              <w:t xml:space="preserve">Boletines y certificados de instalación gestionados en papel; riesgo de no poder demostrar trazabilidad fiscal de la factura ante una inspección tras julio de 2027 (VeriFactu).</w:t>
            </w:r>
          </w:p>
        </w:tc>
      </w:tr>
      <w:tr>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Climatización / HVAC</w:t>
            </w:r>
          </w:p>
        </w:tc>
        <w:tc>
          <w:tcPr>
            <w:tcW w:type="dxa" w:w="6960"/>
            <w:shd w:fill="F7F4F0" w:val="clear"/>
            <w:tcMar>
              <w:top w:type="dxa" w:w="90"/>
              <w:left w:type="dxa" w:w="120"/>
              <w:bottom w:type="dxa" w:w="90"/>
              <w:right w:type="dxa" w:w="120"/>
            </w:tcMar>
            <w:vAlign w:val="center"/>
          </w:tcPr>
          <w:p>
            <w:r>
              <w:rPr>
                <w:b w:val="false"/>
                <w:bCs w:val="false"/>
                <w:color w:val="3A4A5C"/>
                <w:sz w:val="19"/>
                <w:szCs w:val="19"/>
              </w:rPr>
              <w:t xml:space="preserve">Contratos de mantenimiento periódico (revisiones de equipos) llevados en una hoja de cálculo; visitas y facturas recurrentes que se olvidan o se retrasan mes tras mes.</w:t>
            </w:r>
          </w:p>
        </w:tc>
      </w:tr>
      <w:tr>
        <w:tc>
          <w:tcPr>
            <w:tcW w:type="dxa" w:w="2400"/>
            <w:shd w:fill="FFFFFF" w:val="clear"/>
            <w:tcMar>
              <w:top w:type="dxa" w:w="90"/>
              <w:left w:type="dxa" w:w="120"/>
              <w:bottom w:type="dxa" w:w="90"/>
              <w:right w:type="dxa" w:w="120"/>
            </w:tcMar>
            <w:vAlign w:val="center"/>
          </w:tcPr>
          <w:p>
            <w:r>
              <w:rPr>
                <w:b w:val="false"/>
                <w:bCs w:val="false"/>
                <w:color w:val="3A4A5C"/>
                <w:sz w:val="19"/>
                <w:szCs w:val="19"/>
              </w:rPr>
              <w:t xml:space="preserve">Reformas</w:t>
            </w:r>
          </w:p>
        </w:tc>
        <w:tc>
          <w:tcPr>
            <w:tcW w:type="dxa" w:w="6960"/>
            <w:shd w:fill="FFFFFF" w:val="clear"/>
            <w:tcMar>
              <w:top w:type="dxa" w:w="90"/>
              <w:left w:type="dxa" w:w="120"/>
              <w:bottom w:type="dxa" w:w="90"/>
              <w:right w:type="dxa" w:w="120"/>
            </w:tcMar>
            <w:vAlign w:val="center"/>
          </w:tcPr>
          <w:p>
            <w:r>
              <w:rPr>
                <w:b w:val="false"/>
                <w:bCs w:val="false"/>
                <w:color w:val="3A4A5C"/>
                <w:sz w:val="19"/>
                <w:szCs w:val="19"/>
              </w:rPr>
              <w:t xml:space="preserve">Trabajos con materiales comprados a mayoristas y partidas subcontratadas a otros gremios, sin visibilidad real de margen hasta que el trabajo ya está cerrado y facturado.</w:t>
            </w:r>
          </w:p>
        </w:tc>
      </w:tr>
      <w:tr>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Mantenimiento técnico</w:t>
            </w:r>
          </w:p>
        </w:tc>
        <w:tc>
          <w:tcPr>
            <w:tcW w:type="dxa" w:w="6960"/>
            <w:shd w:fill="F7F4F0" w:val="clear"/>
            <w:tcMar>
              <w:top w:type="dxa" w:w="90"/>
              <w:left w:type="dxa" w:w="120"/>
              <w:bottom w:type="dxa" w:w="90"/>
              <w:right w:type="dxa" w:w="120"/>
            </w:tcMar>
            <w:vAlign w:val="center"/>
          </w:tcPr>
          <w:p>
            <w:r>
              <w:rPr>
                <w:b w:val="false"/>
                <w:bCs w:val="false"/>
                <w:color w:val="3A4A5C"/>
                <w:sz w:val="19"/>
                <w:szCs w:val="19"/>
              </w:rPr>
              <w:t xml:space="preserve">Cláusulas contractuales sector-específicas (PCI, Legionella, sanidad, colegios) gestionadas en plantillas de Word sueltas, con riesgo de incumplimiento normativo silencioso.</w:t>
            </w:r>
          </w:p>
        </w:tc>
      </w:tr>
    </w:tbl>
    <w:p>
      <w:pPr>
        <w:pStyle w:val="Heading2"/>
      </w:pPr>
      <w:r>
        <w:t xml:space="preserve">Cuantificación del problema</w:t>
      </w:r>
    </w:p>
    <w:p>
      <w:pPr>
        <w:spacing w:after="160"/>
      </w:pPr>
      <w:r>
        <w:rPr>
          <w:color w:val="3A4A5C"/>
          <w:sz w:val="22"/>
          <w:szCs w:val="22"/>
        </w:rPr>
        <w:t xml:space="preserve">Tomando como referencia el rango salarial de electricistas y fontaneros autónomos citado en la sección anterior (entre 2.000€ y 3.500€/mes) y una jornada de 22 días laborables, el valor de una hora de trabajo facturable de un instalador cualificado se sitúa, de forma conservadora, en el entorno de 15–25€/hora en coste de oportunidad puro, y considerablemente más si se valora a precio de venta al cliente final. Sobre esa base:</w:t>
      </w:r>
    </w:p>
    <w:p>
      <w:pPr>
        <w:pStyle w:val="ListParagraph"/>
        <w:numPr>
          <w:ilvl w:val="0"/>
          <w:numId w:val="2"/>
        </w:numPr>
        <w:spacing w:after="90"/>
      </w:pPr>
      <w:r>
        <w:rPr>
          <w:color w:val="3A4A5C"/>
          <w:sz w:val="22"/>
          <w:szCs w:val="22"/>
        </w:rPr>
        <w:t xml:space="preserve">Tiempo perdido: 2–4 horas diarias de papeleo (presupuestos, facturas, llamadas de seguimiento) equivalen, de forma conservadora, a entre 450€ y 1.000€ al mes de capacidad facturable no aprovechada por instalador.</w:t>
      </w:r>
    </w:p>
    <w:p>
      <w:pPr>
        <w:pStyle w:val="ListParagraph"/>
        <w:numPr>
          <w:ilvl w:val="0"/>
          <w:numId w:val="2"/>
        </w:numPr>
        <w:spacing w:after="90"/>
      </w:pPr>
      <w:r>
        <w:rPr>
          <w:color w:val="3A4A5C"/>
          <w:sz w:val="22"/>
          <w:szCs w:val="22"/>
        </w:rPr>
        <w:t xml:space="preserve">Margen perdido: cuando una parte del trabajo se subcontrata o se compra a un mayorista sin un cálculo de margen explícito, es habitual que el precio final al cliente no recoja correctamente ese coste, erosionando el margen real del trabajo sin que el instalador lo detecte hasta el cierre del mes.</w:t>
      </w:r>
    </w:p>
    <w:p>
      <w:pPr>
        <w:pStyle w:val="ListParagraph"/>
        <w:numPr>
          <w:ilvl w:val="0"/>
          <w:numId w:val="2"/>
        </w:numPr>
        <w:spacing w:after="90"/>
      </w:pPr>
      <w:r>
        <w:rPr>
          <w:color w:val="3A4A5C"/>
          <w:sz w:val="22"/>
          <w:szCs w:val="22"/>
        </w:rPr>
        <w:t xml:space="preserve">Errores de facturación: numeración inconsistente, ausencia de snapshot fiscal del cliente en el momento de emisión, y series de facturación que no distinguen contratos de mantenimiento, trabajos puntuales y rectificativas, son exactamente el tipo de fallo que VeriFactu convierte en una sanción potencial a partir de 2027, no solo en una mala práctica administrativa.</w:t>
      </w:r>
    </w:p>
    <w:p>
      <w:pPr>
        <w:spacing w:after="200" w:before="40"/>
      </w:pPr>
      <w:r>
        <w:rPr>
          <w:i/>
          <w:iCs/>
          <w:color w:val="6B7A8D"/>
          <w:sz w:val="17"/>
          <w:szCs w:val="17"/>
        </w:rPr>
        <w:t xml:space="preserve">Las cifras de tiempo y margen perdido son estimaciones ilustrativas construidas a partir de datos salariales públicos del sector (Cronoshare/Infobae, noviembre 2025), no mediciones directas sobre clientes de TrabFlow.</w:t>
      </w: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II</w:t>
      </w:r>
    </w:p>
    <w:p>
      <w:pPr>
        <w:spacing w:after="160"/>
      </w:pPr>
    </w:p>
    <w:p>
      <w:pPr>
        <w:jc w:val="center"/>
      </w:pPr>
      <w:r>
        <w:rPr>
          <w:rFonts w:ascii="Arial" w:cs="Arial" w:eastAsia="Arial" w:hAnsi="Arial"/>
          <w:b/>
          <w:bCs/>
          <w:color w:val="1C2535"/>
          <w:sz w:val="44"/>
          <w:szCs w:val="44"/>
        </w:rPr>
        <w:t xml:space="preserve">La Visión</w:t>
      </w:r>
    </w:p>
    <w:p>
      <w:pPr>
        <w:spacing w:after="100"/>
      </w:pPr>
    </w:p>
    <w:p>
      <w:pPr>
        <w:jc w:val="center"/>
      </w:pPr>
      <w:r>
        <w:rPr>
          <w:i/>
          <w:iCs/>
          <w:color w:val="1A5A96"/>
          <w:sz w:val="24"/>
          <w:szCs w:val="24"/>
        </w:rPr>
        <w:t xml:space="preserve">Hacia dónde va la categoría, y hacia dónde va TrabFlow dentro de ella</w:t>
      </w:r>
    </w:p>
    <w:p>
      <w:pPr>
        <w:pStyle w:val="Heading1"/>
        <w:pageBreakBefore/>
      </w:pPr>
      <w:r>
        <w:t xml:space="preserve">4. The Future of Trade Businesses</w:t>
      </w:r>
    </w:p>
    <w:p>
      <w:pPr>
        <w:pBdr>
          <w:left w:val="single" w:color="C8922A" w:sz="18" w:space="8"/>
        </w:pBdr>
        <w:spacing w:after="200" w:before="120"/>
        <w:ind w:left="360"/>
      </w:pPr>
      <w:r>
        <w:rPr>
          <w:rFonts w:ascii="Georgia" w:cs="Georgia" w:eastAsia="Georgia" w:hAnsi="Georgia"/>
          <w:i/>
          <w:iCs/>
          <w:color w:val="1C2535"/>
          <w:sz w:val="25"/>
          <w:szCs w:val="25"/>
        </w:rPr>
        <w:t xml:space="preserve">El instalador no utilizará software. Hablará con software.</w:t>
      </w:r>
    </w:p>
    <w:p>
      <w:pPr>
        <w:spacing w:after="160"/>
      </w:pPr>
      <w:r>
        <w:rPr>
          <w:color w:val="3A4A5C"/>
          <w:sz w:val="22"/>
          <w:szCs w:val="22"/>
        </w:rPr>
        <w:t xml:space="preserve">Durante dos décadas, “digitalizar” un negocio de oficios ha significado lo mismo: sustituir un cuaderno de papel por una pantalla con formularios. El instalador sigue haciendo el mismo trabajo —rellenar campos, elegir desplegables, pulsar botones— solo que ahora lo hace en una tablet en lugar de en un papel. Esa sustitución superficial es la razón por la que la adopción de software de gestión en este sector ha sido, durante años, mucho más lenta que en otros verticales: no elimina el problema real, que es el tiempo y la atención que exige interactuar con una interfaz mientras se está debajo de un fregadero o subido a una escalera.</w:t>
      </w:r>
    </w:p>
    <w:p>
      <w:pPr>
        <w:spacing w:after="160"/>
      </w:pPr>
      <w:r>
        <w:rPr>
          <w:color w:val="3A4A5C"/>
          <w:sz w:val="22"/>
          <w:szCs w:val="22"/>
        </w:rPr>
        <w:t xml:space="preserve">TrabFlow parte de una premisa distinta: la interfaz principal no es una pantalla con campos, es una conversación. El instalador describe lo que ha hecho o lo que va a hacer, igual que se lo describiría a un compañero de oficio, y es la plataforma la que traduce esa descripción a una estructura de datos —presupuesto, parte de trabajo, factura— sin que el instalador tenga que aprender dónde está cada botón.</w:t>
      </w:r>
    </w:p>
    <w:p>
      <w:pPr>
        <w:spacing w:after="160"/>
      </w:pPr>
      <w:r>
        <w:rPr>
          <w:color w:val="3A4A5C"/>
          <w:sz w:val="22"/>
          <w:szCs w:val="22"/>
        </w:rPr>
        <w:t xml:space="preserve">Esta no es una mejora incremental de UX: es un cambio de paradigma de interacción, equivalente al salto de la línea de comandos a la interfaz gráfica, pero en sentido inverso —de la interfaz gráfica a la conversación natural— y es exactamente el tipo de cambio de paradigma que históricamente ha definido a la siguiente generación de plataformas de software, no a una mejora de la generación anterior.</w:t>
      </w:r>
    </w:p>
    <w:p>
      <w:pPr>
        <w:pStyle w:val="Heading1"/>
        <w:pageBreakBefore/>
      </w:pPr>
      <w:r>
        <w:t xml:space="preserve">5. Vision</w:t>
      </w:r>
    </w:p>
    <w:p>
      <w:pPr>
        <w:pBdr>
          <w:left w:val="single" w:color="C8922A" w:sz="18" w:space="8"/>
        </w:pBdr>
        <w:spacing w:after="200" w:before="120"/>
        <w:ind w:left="360"/>
      </w:pPr>
      <w:r>
        <w:rPr>
          <w:rFonts w:ascii="Georgia" w:cs="Georgia" w:eastAsia="Georgia" w:hAnsi="Georgia"/>
          <w:i/>
          <w:iCs/>
          <w:color w:val="1C2535"/>
          <w:sz w:val="25"/>
          <w:szCs w:val="25"/>
        </w:rPr>
        <w:t xml:space="preserve">Que cualquier profesional de oficio en el mundo hispanohablante gestione su negocio entero hablando con TrabFlow, desde el primer contacto con el cliente hasta el cobro de la factura.</w:t>
      </w:r>
    </w:p>
    <w:p>
      <w:pPr>
        <w:spacing w:after="160"/>
      </w:pPr>
      <w:r>
        <w:rPr>
          <w:color w:val="3A4A5C"/>
          <w:sz w:val="22"/>
          <w:szCs w:val="22"/>
        </w:rPr>
        <w:t xml:space="preserve">A diez años, esa visión se despliega en cuatro capas que se construyen una sobre otra:</w:t>
      </w:r>
    </w:p>
    <w:p>
      <w:pPr>
        <w:spacing w:after="140"/>
      </w:pPr>
      <w:r>
        <w:rPr>
          <w:b/>
          <w:bCs/>
          <w:color w:val="1C2535"/>
          <w:sz w:val="22"/>
          <w:szCs w:val="22"/>
        </w:rPr>
        <w:t xml:space="preserve">Año 1–2 — España. </w:t>
      </w:r>
      <w:r>
        <w:rPr>
          <w:color w:val="3A4A5C"/>
          <w:sz w:val="22"/>
          <w:szCs w:val="22"/>
        </w:rPr>
        <w:t xml:space="preserve">Consolidación del producto y de la Base Maestra completa (veinte oficios), validación de retención y de un canal de adquisición repetible.</w:t>
      </w:r>
    </w:p>
    <w:p>
      <w:pPr>
        <w:spacing w:after="140"/>
      </w:pPr>
      <w:r>
        <w:rPr>
          <w:b/>
          <w:bCs/>
          <w:color w:val="1C2535"/>
          <w:sz w:val="22"/>
          <w:szCs w:val="22"/>
        </w:rPr>
        <w:t xml:space="preserve">Año 2–3 — Iberia. </w:t>
      </w:r>
      <w:r>
        <w:rPr>
          <w:color w:val="3A4A5C"/>
          <w:sz w:val="22"/>
          <w:szCs w:val="22"/>
        </w:rPr>
        <w:t xml:space="preserve">Expansión a Portugal, mercado de tamaño y estructura sectorial comparable, reutilizando el mismo producto con adaptación lingüística y fiscal mínima.</w:t>
      </w:r>
    </w:p>
    <w:p>
      <w:pPr>
        <w:spacing w:after="140"/>
      </w:pPr>
      <w:r>
        <w:rPr>
          <w:b/>
          <w:bCs/>
          <w:color w:val="1C2535"/>
          <w:sz w:val="22"/>
          <w:szCs w:val="22"/>
        </w:rPr>
        <w:t xml:space="preserve">Año 3–6 — LATAM. </w:t>
      </w:r>
      <w:r>
        <w:rPr>
          <w:color w:val="3A4A5C"/>
          <w:sz w:val="22"/>
          <w:szCs w:val="22"/>
        </w:rPr>
        <w:t xml:space="preserve">Entrada en México como mercado puente —mayor población de profesionales de oficios que toda Europa hispanohablante junta— con adaptación a CFDI, seguida de los mercados latinoamericanos de mayor tamaño relativo (Colombia, Argentina, Chile).</w:t>
      </w:r>
    </w:p>
    <w:p>
      <w:pPr>
        <w:spacing w:after="140"/>
      </w:pPr>
      <w:r>
        <w:rPr>
          <w:b/>
          <w:bCs/>
          <w:color w:val="1C2535"/>
          <w:sz w:val="22"/>
          <w:szCs w:val="22"/>
        </w:rPr>
        <w:t xml:space="preserve">Año 5–10 — Plataforma. </w:t>
      </w:r>
      <w:r>
        <w:rPr>
          <w:color w:val="3A4A5C"/>
          <w:sz w:val="22"/>
          <w:szCs w:val="22"/>
        </w:rPr>
        <w:t xml:space="preserve">Sobre la base transaccional ya instalada, una capa de marketplace de proveedores y mayoristas, y de servicios financieros embebidos —pagos, financiación de materiales, seguros— que convierte a TrabFlow de un software de suscripción en la infraestructura económica de facto del sector.</w:t>
      </w:r>
    </w:p>
    <w:p>
      <w:pPr>
        <w:spacing w:after="160"/>
      </w:pPr>
      <w:r>
        <w:rPr>
          <w:color w:val="3A4A5C"/>
          <w:sz w:val="22"/>
          <w:szCs w:val="22"/>
        </w:rPr>
        <w:t xml:space="preserve">El resultado, a diez años, no es “una app más para instaladores”: es la capa de software por defecto sobre la que opera una parte significativa de la economía de oficios técnicos del mundo hispanohablante, con un ARPU que crece con el tiempo de vida de cada cliente en lugar de depender únicamente de la adquisición de clientes nuevos.</w:t>
      </w:r>
    </w:p>
    <w:p>
      <w:pPr>
        <w:pStyle w:val="Heading1"/>
        <w:pageBreakBefore/>
      </w:pPr>
      <w:r>
        <w:t xml:space="preserve">6. Mission</w:t>
      </w:r>
    </w:p>
    <w:p>
      <w:pPr>
        <w:pBdr>
          <w:left w:val="single" w:color="C8922A" w:sz="18" w:space="8"/>
        </w:pBdr>
        <w:spacing w:after="200" w:before="120"/>
        <w:ind w:left="360"/>
      </w:pPr>
      <w:r>
        <w:rPr>
          <w:rFonts w:ascii="Georgia" w:cs="Georgia" w:eastAsia="Georgia" w:hAnsi="Georgia"/>
          <w:i/>
          <w:iCs/>
          <w:color w:val="1C2535"/>
          <w:sz w:val="25"/>
          <w:szCs w:val="25"/>
        </w:rPr>
        <w:t xml:space="preserve">Eliminar el papeleo del oficio: que generar un presupuesto, gestionar un trabajo y cobrar una factura sea tan simple como hablar.</w:t>
      </w:r>
    </w:p>
    <w:p>
      <w:pPr>
        <w:spacing w:after="160"/>
      </w:pPr>
      <w:r>
        <w:rPr>
          <w:color w:val="3A4A5C"/>
          <w:sz w:val="22"/>
          <w:szCs w:val="22"/>
        </w:rPr>
        <w:t xml:space="preserve">Esta misión funciona como filtro de producto: cualquier flujo que hoy obligue a un instalador a escribir, rellenar un formulario largo o recordar un precio de memoria es candidato a sustituirse por voz, fotografía o una plantilla pre-construida. Es una misión deliberadamente estrecha —no “digitalizar el sector” en abstracto, sino eliminar el papeleo, en concreto— y esa estrechez es lo que la hace operativa para tomar decisiones de producto todos los días.</w:t>
      </w: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III</w:t>
      </w:r>
    </w:p>
    <w:p>
      <w:pPr>
        <w:spacing w:after="160"/>
      </w:pPr>
    </w:p>
    <w:p>
      <w:pPr>
        <w:jc w:val="center"/>
      </w:pPr>
      <w:r>
        <w:rPr>
          <w:rFonts w:ascii="Arial" w:cs="Arial" w:eastAsia="Arial" w:hAnsi="Arial"/>
          <w:b/>
          <w:bCs/>
          <w:color w:val="1C2535"/>
          <w:sz w:val="44"/>
          <w:szCs w:val="44"/>
        </w:rPr>
        <w:t xml:space="preserve">Producto</w:t>
      </w:r>
    </w:p>
    <w:p>
      <w:pPr>
        <w:spacing w:after="100"/>
      </w:pPr>
    </w:p>
    <w:p>
      <w:pPr>
        <w:jc w:val="center"/>
      </w:pPr>
      <w:r>
        <w:rPr>
          <w:i/>
          <w:iCs/>
          <w:color w:val="1A5A96"/>
          <w:sz w:val="24"/>
          <w:szCs w:val="24"/>
        </w:rPr>
        <w:t xml:space="preserve">Los principios de diseño y lo que existe hoy, módulo a módulo</w:t>
      </w:r>
    </w:p>
    <w:p>
      <w:pPr>
        <w:pStyle w:val="Heading1"/>
        <w:pageBreakBefore/>
      </w:pPr>
      <w:r>
        <w:t xml:space="preserve">7. Product Philosophy</w:t>
      </w:r>
    </w:p>
    <w:p>
      <w:pPr>
        <w:spacing w:after="160"/>
      </w:pPr>
      <w:r>
        <w:rPr>
          <w:color w:val="3A4A5C"/>
          <w:sz w:val="22"/>
          <w:szCs w:val="22"/>
        </w:rPr>
        <w:t xml:space="preserve">Cinco principios, no negociables, gobiernan cada decisión de producto en TrabFlow:</w:t>
      </w:r>
    </w:p>
    <w:p>
      <w:pPr>
        <w:pStyle w:val="Heading2"/>
      </w:pPr>
      <w:r>
        <w:t xml:space="preserve">Voice First</w:t>
      </w:r>
    </w:p>
    <w:p>
      <w:pPr>
        <w:spacing w:after="160"/>
      </w:pPr>
      <w:r>
        <w:rPr>
          <w:color w:val="3A4A5C"/>
          <w:sz w:val="22"/>
          <w:szCs w:val="22"/>
        </w:rPr>
        <w:t xml:space="preserve">La voz es la entrada por defecto, no una función adicional. Si una tarea se puede completar hablando, esa es la forma en la que TrabFlow espera que se complete; el formulario manual existe como alternativa, no como camino principal.</w:t>
      </w:r>
    </w:p>
    <w:p>
      <w:pPr>
        <w:pStyle w:val="Heading2"/>
      </w:pPr>
      <w:r>
        <w:t xml:space="preserve">Mobile First</w:t>
      </w:r>
    </w:p>
    <w:p>
      <w:pPr>
        <w:spacing w:after="160"/>
      </w:pPr>
      <w:r>
        <w:rPr>
          <w:color w:val="3A4A5C"/>
          <w:sz w:val="22"/>
          <w:szCs w:val="22"/>
        </w:rPr>
        <w:t xml:space="preserve">El lugar donde se genera el valor es la obra, no la oficina. La app móvil está diseñada para velocidad de campo con nueve módulos esenciales; la profundidad analítica y administrativa vive en el panel de escritorio, siguiendo el mismo principio que ServiceTitan y Jobber han validado en sus mercados.</w:t>
      </w:r>
    </w:p>
    <w:p>
      <w:pPr>
        <w:pStyle w:val="Heading2"/>
      </w:pPr>
      <w:r>
        <w:t xml:space="preserve">AI Native</w:t>
      </w:r>
    </w:p>
    <w:p>
      <w:pPr>
        <w:spacing w:after="160"/>
      </w:pPr>
      <w:r>
        <w:rPr>
          <w:color w:val="3A4A5C"/>
          <w:sz w:val="22"/>
          <w:szCs w:val="22"/>
        </w:rPr>
        <w:t xml:space="preserve">La inteligencia artificial no es una función dentro del producto: es la capa de entrada de todo el producto. Pero —y esto es una decisión de diseño deliberada, no una limitación— la IA nunca asigna precios; estructura el trabajo y recupera información de un catálogo, y deja la decisión final de precio en manos del instalador o del catálogo de su propia organización.</w:t>
      </w:r>
    </w:p>
    <w:p>
      <w:pPr>
        <w:pStyle w:val="Heading2"/>
      </w:pPr>
      <w:r>
        <w:t xml:space="preserve">WhatsApp Native</w:t>
      </w:r>
    </w:p>
    <w:p>
      <w:pPr>
        <w:spacing w:after="160"/>
      </w:pPr>
      <w:r>
        <w:rPr>
          <w:color w:val="3A4A5C"/>
          <w:sz w:val="22"/>
          <w:szCs w:val="22"/>
        </w:rPr>
        <w:t xml:space="preserve">WhatsApp se trata como un canal de primera clase, no como una integración añadida al final. El presupuesto, el recordatorio de cobro y el aviso de visita viven donde el cliente y el instalador ya se comunican.</w:t>
      </w:r>
    </w:p>
    <w:p>
      <w:pPr>
        <w:pStyle w:val="Heading2"/>
      </w:pPr>
      <w:r>
        <w:t xml:space="preserve">Compliance Native</w:t>
      </w:r>
    </w:p>
    <w:p>
      <w:pPr>
        <w:spacing w:after="160"/>
      </w:pPr>
      <w:r>
        <w:rPr>
          <w:color w:val="3A4A5C"/>
          <w:sz w:val="22"/>
          <w:szCs w:val="22"/>
        </w:rPr>
        <w:t xml:space="preserve">El cumplimiento fiscal español —y, más adelante, mexicano— no es una capa que se añade antes de un lanzamiento comercial: es parte del modelo de datos desde el primer día (series de facturación, snapshot fiscal al emitir, camino hacia VeriFactu).</w:t>
      </w:r>
    </w:p>
    <w:p>
      <w:pPr>
        <w:pStyle w:val="Heading1"/>
        <w:pageBreakBefore/>
      </w:pPr>
      <w:r>
        <w:t xml:space="preserve">8. Product Overview</w:t>
      </w:r>
    </w:p>
    <w:p>
      <w:pPr>
        <w:spacing w:after="160"/>
      </w:pPr>
      <w:r>
        <w:rPr>
          <w:color w:val="3A4A5C"/>
          <w:sz w:val="22"/>
          <w:szCs w:val="22"/>
        </w:rPr>
        <w:t xml:space="preserve">Cada módulo de TrabFlow resuelve un problema concreto y verificable del día a día del instalador. Así se traduce, módulo a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460"/>
      </w:tblGrid>
      <w:tr>
        <w:trPr>
          <w:tblHeader/>
        </w:trPr>
        <w:tc>
          <w:tcPr>
            <w:tcW w:type="dxa" w:w="1900"/>
            <w:shd w:fill="1C2535" w:val="clear"/>
            <w:tcMar>
              <w:top w:type="dxa" w:w="90"/>
              <w:left w:type="dxa" w:w="120"/>
              <w:bottom w:type="dxa" w:w="90"/>
              <w:right w:type="dxa" w:w="120"/>
            </w:tcMar>
            <w:vAlign w:val="center"/>
          </w:tcPr>
          <w:p>
            <w:r>
              <w:rPr>
                <w:b/>
                <w:bCs/>
                <w:color w:val="FFFFFF"/>
                <w:sz w:val="18"/>
                <w:szCs w:val="18"/>
              </w:rPr>
              <w:t xml:space="preserve">Módulo</w:t>
            </w:r>
          </w:p>
        </w:tc>
        <w:tc>
          <w:tcPr>
            <w:tcW w:type="dxa" w:w="2500"/>
            <w:shd w:fill="1C2535" w:val="clear"/>
            <w:tcMar>
              <w:top w:type="dxa" w:w="90"/>
              <w:left w:type="dxa" w:w="120"/>
              <w:bottom w:type="dxa" w:w="90"/>
              <w:right w:type="dxa" w:w="120"/>
            </w:tcMar>
            <w:vAlign w:val="center"/>
          </w:tcPr>
          <w:p>
            <w:r>
              <w:rPr>
                <w:b/>
                <w:bCs/>
                <w:color w:val="FFFFFF"/>
                <w:sz w:val="18"/>
                <w:szCs w:val="18"/>
              </w:rPr>
              <w:t xml:space="preserve">Problema</w:t>
            </w:r>
          </w:p>
        </w:tc>
        <w:tc>
          <w:tcPr>
            <w:tcW w:type="dxa" w:w="2500"/>
            <w:shd w:fill="1C2535" w:val="clear"/>
            <w:tcMar>
              <w:top w:type="dxa" w:w="90"/>
              <w:left w:type="dxa" w:w="120"/>
              <w:bottom w:type="dxa" w:w="90"/>
              <w:right w:type="dxa" w:w="120"/>
            </w:tcMar>
            <w:vAlign w:val="center"/>
          </w:tcPr>
          <w:p>
            <w:r>
              <w:rPr>
                <w:b/>
                <w:bCs/>
                <w:color w:val="FFFFFF"/>
                <w:sz w:val="18"/>
                <w:szCs w:val="18"/>
              </w:rPr>
              <w:t xml:space="preserve">Solución</w:t>
            </w:r>
          </w:p>
        </w:tc>
        <w:tc>
          <w:tcPr>
            <w:tcW w:type="dxa" w:w="2460"/>
            <w:shd w:fill="1C2535" w:val="clear"/>
            <w:tcMar>
              <w:top w:type="dxa" w:w="90"/>
              <w:left w:type="dxa" w:w="120"/>
              <w:bottom w:type="dxa" w:w="90"/>
              <w:right w:type="dxa" w:w="120"/>
            </w:tcMar>
            <w:vAlign w:val="center"/>
          </w:tcPr>
          <w:p>
            <w:r>
              <w:rPr>
                <w:b/>
                <w:bCs/>
                <w:color w:val="FFFFFF"/>
                <w:sz w:val="18"/>
                <w:szCs w:val="18"/>
              </w:rPr>
              <w:t xml:space="preserve">Beneficio · Estado</w:t>
            </w:r>
          </w:p>
        </w:tc>
      </w:tr>
      <w:tr>
        <w:tc>
          <w:tcPr>
            <w:tcW w:type="dxa" w:w="1900"/>
            <w:shd w:fill="F7F4F0" w:val="clear"/>
            <w:tcMar>
              <w:top w:type="dxa" w:w="90"/>
              <w:left w:type="dxa" w:w="120"/>
              <w:bottom w:type="dxa" w:w="90"/>
              <w:right w:type="dxa" w:w="120"/>
            </w:tcMar>
            <w:vAlign w:val="center"/>
          </w:tcPr>
          <w:p>
            <w:r>
              <w:rPr>
                <w:b w:val="false"/>
                <w:bCs w:val="false"/>
                <w:color w:val="3A4A5C"/>
                <w:sz w:val="19"/>
                <w:szCs w:val="19"/>
              </w:rPr>
              <w:t xml:space="preserve">Presupuestos por voz / foto</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Presupuestar a mano es lento e inconsistente.</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Dictar o fotografiar el trabajo; la IA estructura las partidas contra la Base Maestra.</w:t>
            </w:r>
          </w:p>
        </w:tc>
        <w:tc>
          <w:tcPr>
            <w:tcW w:type="dxa" w:w="2460"/>
            <w:shd w:fill="F7F4F0" w:val="clear"/>
            <w:tcMar>
              <w:top w:type="dxa" w:w="90"/>
              <w:left w:type="dxa" w:w="120"/>
              <w:bottom w:type="dxa" w:w="90"/>
              <w:right w:type="dxa" w:w="120"/>
            </w:tcMar>
            <w:vAlign w:val="center"/>
          </w:tcPr>
          <w:p>
            <w:r>
              <w:rPr>
                <w:b w:val="false"/>
                <w:bCs w:val="false"/>
                <w:color w:val="3A4A5C"/>
                <w:sz w:val="19"/>
                <w:szCs w:val="19"/>
              </w:rPr>
              <w:t xml:space="preserve">Minutos en lugar de horas. En producción.</w:t>
            </w:r>
          </w:p>
        </w:tc>
      </w:tr>
      <w:tr>
        <w:tc>
          <w:tcPr>
            <w:tcW w:type="dxa" w:w="1900"/>
            <w:shd w:fill="FFFFFF" w:val="clear"/>
            <w:tcMar>
              <w:top w:type="dxa" w:w="90"/>
              <w:left w:type="dxa" w:w="120"/>
              <w:bottom w:type="dxa" w:w="90"/>
              <w:right w:type="dxa" w:w="120"/>
            </w:tcMar>
            <w:vAlign w:val="center"/>
          </w:tcPr>
          <w:p>
            <w:r>
              <w:rPr>
                <w:b w:val="false"/>
                <w:bCs w:val="false"/>
                <w:color w:val="3A4A5C"/>
                <w:sz w:val="19"/>
                <w:szCs w:val="19"/>
              </w:rPr>
              <w:t xml:space="preserve">Gestión 360° (presupuesto→factura)</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Saltar entre herramientas para cada fase del trabajo.</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Un único flujo desde el primer contacto hasta el cobro.</w:t>
            </w:r>
          </w:p>
        </w:tc>
        <w:tc>
          <w:tcPr>
            <w:tcW w:type="dxa" w:w="2460"/>
            <w:shd w:fill="FFFFFF" w:val="clear"/>
            <w:tcMar>
              <w:top w:type="dxa" w:w="90"/>
              <w:left w:type="dxa" w:w="120"/>
              <w:bottom w:type="dxa" w:w="90"/>
              <w:right w:type="dxa" w:w="120"/>
            </w:tcMar>
            <w:vAlign w:val="center"/>
          </w:tcPr>
          <w:p>
            <w:r>
              <w:rPr>
                <w:b w:val="false"/>
                <w:bCs w:val="false"/>
                <w:color w:val="3A4A5C"/>
                <w:sz w:val="19"/>
                <w:szCs w:val="19"/>
              </w:rPr>
              <w:t xml:space="preserve">Menos errores de traspaso. En producción.</w:t>
            </w:r>
          </w:p>
        </w:tc>
      </w:tr>
      <w:tr>
        <w:tc>
          <w:tcPr>
            <w:tcW w:type="dxa" w:w="1900"/>
            <w:shd w:fill="F7F4F0" w:val="clear"/>
            <w:tcMar>
              <w:top w:type="dxa" w:w="90"/>
              <w:left w:type="dxa" w:w="120"/>
              <w:bottom w:type="dxa" w:w="90"/>
              <w:right w:type="dxa" w:w="120"/>
            </w:tcMar>
            <w:vAlign w:val="center"/>
          </w:tcPr>
          <w:p>
            <w:r>
              <w:rPr>
                <w:b w:val="false"/>
                <w:bCs w:val="false"/>
                <w:color w:val="3A4A5C"/>
                <w:sz w:val="19"/>
                <w:szCs w:val="19"/>
              </w:rPr>
              <w:t xml:space="preserve">Contratos de mantenimiento</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Renovaciones y facturación periódica olvidadas en hojas de cálculo.</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Generación automática de visitas y facturas recurrentes, con cláusulas por sector (PCI, sanidad, colegios, etc.).</w:t>
            </w:r>
          </w:p>
        </w:tc>
        <w:tc>
          <w:tcPr>
            <w:tcW w:type="dxa" w:w="2460"/>
            <w:shd w:fill="F7F4F0" w:val="clear"/>
            <w:tcMar>
              <w:top w:type="dxa" w:w="90"/>
              <w:left w:type="dxa" w:w="120"/>
              <w:bottom w:type="dxa" w:w="90"/>
              <w:right w:type="dxa" w:w="120"/>
            </w:tcMar>
            <w:vAlign w:val="center"/>
          </w:tcPr>
          <w:p>
            <w:r>
              <w:rPr>
                <w:b w:val="false"/>
                <w:bCs w:val="false"/>
                <w:color w:val="3A4A5C"/>
                <w:sz w:val="19"/>
                <w:szCs w:val="19"/>
              </w:rPr>
              <w:t xml:space="preserve">Ingreso recurrente sin gestión manual. En producción.</w:t>
            </w:r>
          </w:p>
        </w:tc>
      </w:tr>
      <w:tr>
        <w:tc>
          <w:tcPr>
            <w:tcW w:type="dxa" w:w="1900"/>
            <w:shd w:fill="FFFFFF" w:val="clear"/>
            <w:tcMar>
              <w:top w:type="dxa" w:w="90"/>
              <w:left w:type="dxa" w:w="120"/>
              <w:bottom w:type="dxa" w:w="90"/>
              <w:right w:type="dxa" w:w="120"/>
            </w:tcMar>
            <w:vAlign w:val="center"/>
          </w:tcPr>
          <w:p>
            <w:r>
              <w:rPr>
                <w:b w:val="false"/>
                <w:bCs w:val="false"/>
                <w:color w:val="3A4A5C"/>
                <w:sz w:val="19"/>
                <w:szCs w:val="19"/>
              </w:rPr>
              <w:t xml:space="preserve">Trabajos externalizados y proveedores</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Subcontratar sin saber el margen real.</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Calculadora de margen integrada sobre el trabajo del proveedor colaborador.</w:t>
            </w:r>
          </w:p>
        </w:tc>
        <w:tc>
          <w:tcPr>
            <w:tcW w:type="dxa" w:w="2460"/>
            <w:shd w:fill="FFFFFF" w:val="clear"/>
            <w:tcMar>
              <w:top w:type="dxa" w:w="90"/>
              <w:left w:type="dxa" w:w="120"/>
              <w:bottom w:type="dxa" w:w="90"/>
              <w:right w:type="dxa" w:w="120"/>
            </w:tcMar>
            <w:vAlign w:val="center"/>
          </w:tcPr>
          <w:p>
            <w:r>
              <w:rPr>
                <w:b w:val="false"/>
                <w:bCs w:val="false"/>
                <w:color w:val="3A4A5C"/>
                <w:sz w:val="19"/>
                <w:szCs w:val="19"/>
              </w:rPr>
              <w:t xml:space="preserve">Visibilidad de rentabilidad real. En producción.</w:t>
            </w:r>
          </w:p>
        </w:tc>
      </w:tr>
      <w:tr>
        <w:tc>
          <w:tcPr>
            <w:tcW w:type="dxa" w:w="1900"/>
            <w:shd w:fill="F7F4F0" w:val="clear"/>
            <w:tcMar>
              <w:top w:type="dxa" w:w="90"/>
              <w:left w:type="dxa" w:w="120"/>
              <w:bottom w:type="dxa" w:w="90"/>
              <w:right w:type="dxa" w:w="120"/>
            </w:tcMar>
            <w:vAlign w:val="center"/>
          </w:tcPr>
          <w:p>
            <w:r>
              <w:rPr>
                <w:b w:val="false"/>
                <w:bCs w:val="false"/>
                <w:color w:val="3A4A5C"/>
                <w:sz w:val="19"/>
                <w:szCs w:val="19"/>
              </w:rPr>
              <w:t xml:space="preserve">Equipo y coordinación de campo</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Coordinar técnicos por llamadas y grupos de WhatsApp.</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Asignación de trabajos con notificación push; cada técnico ve solo lo suyo.</w:t>
            </w:r>
          </w:p>
        </w:tc>
        <w:tc>
          <w:tcPr>
            <w:tcW w:type="dxa" w:w="2460"/>
            <w:shd w:fill="F7F4F0" w:val="clear"/>
            <w:tcMar>
              <w:top w:type="dxa" w:w="90"/>
              <w:left w:type="dxa" w:w="120"/>
              <w:bottom w:type="dxa" w:w="90"/>
              <w:right w:type="dxa" w:w="120"/>
            </w:tcMar>
            <w:vAlign w:val="center"/>
          </w:tcPr>
          <w:p>
            <w:r>
              <w:rPr>
                <w:b w:val="false"/>
                <w:bCs w:val="false"/>
                <w:color w:val="3A4A5C"/>
                <w:sz w:val="19"/>
                <w:szCs w:val="19"/>
              </w:rPr>
              <w:t xml:space="preserve">Menos llamadas, menos confusión. En producción.</w:t>
            </w:r>
          </w:p>
        </w:tc>
      </w:tr>
      <w:tr>
        <w:tc>
          <w:tcPr>
            <w:tcW w:type="dxa" w:w="1900"/>
            <w:shd w:fill="FFFFFF" w:val="clear"/>
            <w:tcMar>
              <w:top w:type="dxa" w:w="90"/>
              <w:left w:type="dxa" w:w="120"/>
              <w:bottom w:type="dxa" w:w="90"/>
              <w:right w:type="dxa" w:w="120"/>
            </w:tcMar>
            <w:vAlign w:val="center"/>
          </w:tcPr>
          <w:p>
            <w:r>
              <w:rPr>
                <w:b w:val="false"/>
                <w:bCs w:val="false"/>
                <w:color w:val="3A4A5C"/>
                <w:sz w:val="19"/>
                <w:szCs w:val="19"/>
              </w:rPr>
              <w:t xml:space="preserve">Panel financiero (ingresos / gastos)</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No saber si el mes ha sido rentable hasta que lo dice la gestoría.</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Ingresos, gastos y resultado neto con desglose mensual, en tiempo real.</w:t>
            </w:r>
          </w:p>
        </w:tc>
        <w:tc>
          <w:tcPr>
            <w:tcW w:type="dxa" w:w="2460"/>
            <w:shd w:fill="FFFFFF" w:val="clear"/>
            <w:tcMar>
              <w:top w:type="dxa" w:w="90"/>
              <w:left w:type="dxa" w:w="120"/>
              <w:bottom w:type="dxa" w:w="90"/>
              <w:right w:type="dxa" w:w="120"/>
            </w:tcMar>
            <w:vAlign w:val="center"/>
          </w:tcPr>
          <w:p>
            <w:r>
              <w:rPr>
                <w:b w:val="false"/>
                <w:bCs w:val="false"/>
                <w:color w:val="3A4A5C"/>
                <w:sz w:val="19"/>
                <w:szCs w:val="19"/>
              </w:rPr>
              <w:t xml:space="preserve">Decisiones con datos, no con intuición. En producción.</w:t>
            </w:r>
          </w:p>
        </w:tc>
      </w:tr>
      <w:tr>
        <w:tc>
          <w:tcPr>
            <w:tcW w:type="dxa" w:w="1900"/>
            <w:shd w:fill="F7F4F0" w:val="clear"/>
            <w:tcMar>
              <w:top w:type="dxa" w:w="90"/>
              <w:left w:type="dxa" w:w="120"/>
              <w:bottom w:type="dxa" w:w="90"/>
              <w:right w:type="dxa" w:w="120"/>
            </w:tcMar>
            <w:vAlign w:val="center"/>
          </w:tcPr>
          <w:p>
            <w:r>
              <w:rPr>
                <w:b w:val="false"/>
                <w:bCs w:val="false"/>
                <w:color w:val="3A4A5C"/>
                <w:sz w:val="19"/>
                <w:szCs w:val="19"/>
              </w:rPr>
              <w:t xml:space="preserve">Base Maestra (catálogo por oficio)</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La IA “se inventa” precios o cantidades.</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Catálogo estructurado de cien actuaciones por oficio que la IA consulta en lugar de improvisar.</w:t>
            </w:r>
          </w:p>
        </w:tc>
        <w:tc>
          <w:tcPr>
            <w:tcW w:type="dxa" w:w="2460"/>
            <w:shd w:fill="F7F4F0" w:val="clear"/>
            <w:tcMar>
              <w:top w:type="dxa" w:w="90"/>
              <w:left w:type="dxa" w:w="120"/>
              <w:bottom w:type="dxa" w:w="90"/>
              <w:right w:type="dxa" w:w="120"/>
            </w:tcMar>
            <w:vAlign w:val="center"/>
          </w:tcPr>
          <w:p>
            <w:r>
              <w:rPr>
                <w:b w:val="false"/>
                <w:bCs w:val="false"/>
                <w:color w:val="3A4A5C"/>
                <w:sz w:val="19"/>
                <w:szCs w:val="19"/>
              </w:rPr>
              <w:t xml:space="preserve">3 de 20 oficios completos. En construcción activa.</w:t>
            </w:r>
          </w:p>
        </w:tc>
      </w:tr>
      <w:tr>
        <w:tc>
          <w:tcPr>
            <w:tcW w:type="dxa" w:w="1900"/>
            <w:shd w:fill="FFFFFF" w:val="clear"/>
            <w:tcMar>
              <w:top w:type="dxa" w:w="90"/>
              <w:left w:type="dxa" w:w="120"/>
              <w:bottom w:type="dxa" w:w="90"/>
              <w:right w:type="dxa" w:w="120"/>
            </w:tcMar>
            <w:vAlign w:val="center"/>
          </w:tcPr>
          <w:p>
            <w:r>
              <w:rPr>
                <w:b w:val="false"/>
                <w:bCs w:val="false"/>
                <w:color w:val="3A4A5C"/>
                <w:sz w:val="19"/>
                <w:szCs w:val="19"/>
              </w:rPr>
              <w:t xml:space="preserve">Chatbot de ayuda contextual</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Soporte y formación dependen de un humano disponible.</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Asistente con contexto de pantalla, plan y oficio del usuario, integrado en la propia app.</w:t>
            </w:r>
          </w:p>
        </w:tc>
        <w:tc>
          <w:tcPr>
            <w:tcW w:type="dxa" w:w="2460"/>
            <w:shd w:fill="FFFFFF" w:val="clear"/>
            <w:tcMar>
              <w:top w:type="dxa" w:w="90"/>
              <w:left w:type="dxa" w:w="120"/>
              <w:bottom w:type="dxa" w:w="90"/>
              <w:right w:type="dxa" w:w="120"/>
            </w:tcMar>
            <w:vAlign w:val="center"/>
          </w:tcPr>
          <w:p>
            <w:r>
              <w:rPr>
                <w:b w:val="false"/>
                <w:bCs w:val="false"/>
                <w:color w:val="3A4A5C"/>
                <w:sz w:val="19"/>
                <w:szCs w:val="19"/>
              </w:rPr>
              <w:t xml:space="preserve">Mejora la activación y alimenta el roadmap. En diseño.</w:t>
            </w:r>
          </w:p>
        </w:tc>
      </w:tr>
    </w:tbl>
    <w:p>
      <w:pPr>
        <w:pStyle w:val="Heading1"/>
        <w:pageBreakBefore/>
      </w:pPr>
      <w:r>
        <w:t xml:space="preserve">9. AI Architecture Explained for Investors</w:t>
      </w:r>
    </w:p>
    <w:p>
      <w:pPr>
        <w:spacing w:after="160"/>
      </w:pPr>
      <w:r>
        <w:rPr>
          <w:color w:val="3A4A5C"/>
          <w:sz w:val="22"/>
          <w:szCs w:val="22"/>
        </w:rPr>
        <w:t xml:space="preserve">Esta sección explica, sin código ni jerga técnica, por qué la arquitectura de inteligencia artificial de TrabFlow es uno de los activos más defendibles del negocio, no solo una función del producto.</w:t>
      </w:r>
    </w:p>
    <w:p>
      <w:pPr>
        <w:pStyle w:val="Heading2"/>
      </w:pPr>
      <w:r>
        <w:t xml:space="preserve">El problema de fondo: la IA que “se inventa” precios es un pasivo, no un activo</w:t>
      </w:r>
    </w:p>
    <w:p>
      <w:pPr>
        <w:spacing w:after="160"/>
      </w:pPr>
      <w:r>
        <w:rPr>
          <w:color w:val="3A4A5C"/>
          <w:sz w:val="22"/>
          <w:szCs w:val="22"/>
        </w:rPr>
        <w:t xml:space="preserve">Cualquier modelo de lenguaje puede generar un presupuesto plausible para una reforma de baño. El problema es que “plausible” no es lo mismo que “correcto”, y un presupuesto técnico con un precio inventado por una IA, enviado a un cliente real, es un riesgo legal y comercial para el instalador, no una conveniencia.</w:t>
      </w:r>
    </w:p>
    <w:p>
      <w:pPr>
        <w:pStyle w:val="Heading2"/>
      </w:pPr>
      <w:r>
        <w:t xml:space="preserve">La Base Maestra: retrieve, don’t generate</w:t>
      </w:r>
    </w:p>
    <w:p>
      <w:pPr>
        <w:spacing w:after="160"/>
      </w:pPr>
      <w:r>
        <w:rPr>
          <w:color w:val="3A4A5C"/>
          <w:sz w:val="22"/>
          <w:szCs w:val="22"/>
        </w:rPr>
        <w:t xml:space="preserve">TrabFlow resuelve esto con un principio de arquitectura simple de explicar y difícil de copiar bien: la IA no genera precios, recupera información. Existe un catálogo propietario y estructurado —la Base Maestra— de actuaciones típicas por oficio, construido manualmente, oficio por oficio, con sus reglas de cálculo, sus partidas obligatorias y sus partidas auxiliares. Cuando un instalador describe un trabajo, la IA lo clasifica contra ese catálogo y recupera la estructura correcta; si no encuentra una coincidencia clara en el catálogo del propio instalador, marca la partida como “sin precio, requiere asignación manual” en lugar de inventar una cifra.</w:t>
      </w:r>
    </w:p>
    <w:p>
      <w:pPr>
        <w:pStyle w:val="Heading2"/>
      </w:pPr>
      <w:r>
        <w:t xml:space="preserve">Recuperación contextual</w:t>
      </w:r>
    </w:p>
    <w:p>
      <w:pPr>
        <w:spacing w:after="160"/>
      </w:pPr>
      <w:r>
        <w:rPr>
          <w:color w:val="3A4A5C"/>
          <w:sz w:val="22"/>
          <w:szCs w:val="22"/>
        </w:rPr>
        <w:t xml:space="preserve">El catálogo no es estático por cliente: cada organización tiene su propia tarifa de precios, y la IA prioriza esa tarifa antes que cualquier valor genérico. Esto significa que dos instaladores que describen el mismo trabajo reciben la misma estructura de partidas, pero cada uno ve sus propios precios —su negocio, sus condiciones— no un precio de mercado genérico que probablemente esté equivocado para su zona o su proveedor habitual.</w:t>
      </w:r>
    </w:p>
    <w:p>
      <w:pPr>
        <w:pStyle w:val="Heading2"/>
      </w:pPr>
      <w:r>
        <w:t xml:space="preserve">Aprendizaje continuo: el activo que se compone con el uso</w:t>
      </w:r>
    </w:p>
    <w:p>
      <w:pPr>
        <w:spacing w:after="160"/>
      </w:pPr>
      <w:r>
        <w:rPr>
          <w:color w:val="3A4A5C"/>
          <w:sz w:val="22"/>
          <w:szCs w:val="22"/>
        </w:rPr>
        <w:t xml:space="preserve">Cada corrección que un instalador hace sobre una partida sugerida por la IA es una señal: qué tipo de trabajo se confundió con cuál, qué partida faltaba, qué precio era razonable. Esa señal alimenta la mejora continua del catálogo. Es la razón por la que la Base Maestra se vuelve más valiosa con cada cliente nuevo y con cada mes de uso —y por la que un competidor que quisiera replicarla no podría simplemente “copiar” el catálogo: tendría que reconstruir años de uso real para llegar a la misma precisión.</w:t>
      </w:r>
    </w:p>
    <w:p>
      <w:pPr>
        <w:pBdr>
          <w:left w:val="single" w:color="C8922A" w:sz="18" w:space="8"/>
        </w:pBdr>
        <w:spacing w:after="200" w:before="120"/>
        <w:ind w:left="360"/>
      </w:pPr>
      <w:r>
        <w:rPr>
          <w:rFonts w:ascii="Georgia" w:cs="Georgia" w:eastAsia="Georgia" w:hAnsi="Georgia"/>
          <w:i/>
          <w:iCs/>
          <w:color w:val="1C2535"/>
          <w:sz w:val="25"/>
          <w:szCs w:val="25"/>
        </w:rPr>
        <w:t xml:space="preserve">La Base Maestra no es una base de datos de precios. Es la memoria de oficio acumulada de TrabFlow, y es probablemente el activo individual más valioso del negocio.</w:t>
      </w: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IV</w:t>
      </w:r>
    </w:p>
    <w:p>
      <w:pPr>
        <w:spacing w:after="160"/>
      </w:pPr>
    </w:p>
    <w:p>
      <w:pPr>
        <w:jc w:val="center"/>
      </w:pPr>
      <w:r>
        <w:rPr>
          <w:rFonts w:ascii="Arial" w:cs="Arial" w:eastAsia="Arial" w:hAnsi="Arial"/>
          <w:b/>
          <w:bCs/>
          <w:color w:val="1C2535"/>
          <w:sz w:val="44"/>
          <w:szCs w:val="44"/>
        </w:rPr>
        <w:t xml:space="preserve">Mercado</w:t>
      </w:r>
    </w:p>
    <w:p>
      <w:pPr>
        <w:spacing w:after="100"/>
      </w:pPr>
    </w:p>
    <w:p>
      <w:pPr>
        <w:jc w:val="center"/>
      </w:pPr>
      <w:r>
        <w:rPr>
          <w:i/>
          <w:iCs/>
          <w:color w:val="1A5A96"/>
          <w:sz w:val="24"/>
          <w:szCs w:val="24"/>
        </w:rPr>
        <w:t xml:space="preserve">Tamaño de la oportunidad y posición frente a la competencia</w:t>
      </w:r>
    </w:p>
    <w:p>
      <w:pPr>
        <w:pStyle w:val="Heading1"/>
        <w:pageBreakBefore/>
      </w:pPr>
      <w:r>
        <w:t xml:space="preserve">10. TAM / SAM / SOM</w:t>
      </w:r>
    </w:p>
    <w:p>
      <w:pPr>
        <w:spacing w:after="160"/>
      </w:pPr>
      <w:r>
        <w:rPr>
          <w:color w:val="3A4A5C"/>
          <w:sz w:val="22"/>
          <w:szCs w:val="22"/>
        </w:rPr>
        <w:t xml:space="preserve">Metodología: el cálculo parte de dos anclas verificables —el número total de autónomos en España y el tamaño documentado de un solo oficio de referencia (instalaciones eléctricas)— y construye desde ahí una estimación deliberadamente conservadora del universo de oficios objetivo de TrabFlow.</w:t>
      </w:r>
    </w:p>
    <w:p>
      <w:pPr>
        <w:pStyle w:val="ListParagraph"/>
        <w:numPr>
          <w:ilvl w:val="0"/>
          <w:numId w:val="2"/>
        </w:numPr>
        <w:spacing w:after="90"/>
      </w:pPr>
      <w:r>
        <w:rPr>
          <w:color w:val="3A4A5C"/>
          <w:sz w:val="22"/>
          <w:szCs w:val="22"/>
        </w:rPr>
        <w:t xml:space="preserve">España tenía 3.431.797 autónomos registrados a 31 de diciembre de 2025 (cifra oficial, en máximos históricos).</w:t>
      </w:r>
    </w:p>
    <w:p>
      <w:pPr>
        <w:pStyle w:val="ListParagraph"/>
        <w:numPr>
          <w:ilvl w:val="0"/>
          <w:numId w:val="2"/>
        </w:numPr>
        <w:spacing w:after="90"/>
      </w:pPr>
      <w:r>
        <w:rPr>
          <w:color w:val="3A4A5C"/>
          <w:sz w:val="22"/>
          <w:szCs w:val="22"/>
        </w:rPr>
        <w:t xml:space="preserve">El sector de instalaciones eléctricas por sí solo agrupa 10.300 empresas en España y facturó cerca de 19.300 millones de euros en 2023 (1,29% del PIB español), según la Guía de Empresas Instaladoras de C de Comunicación.</w:t>
      </w:r>
    </w:p>
    <w:p>
      <w:pPr>
        <w:pStyle w:val="ListParagraph"/>
        <w:numPr>
          <w:ilvl w:val="0"/>
          <w:numId w:val="2"/>
        </w:numPr>
        <w:spacing w:after="90"/>
      </w:pPr>
      <w:r>
        <w:rPr>
          <w:color w:val="3A4A5C"/>
          <w:sz w:val="22"/>
          <w:szCs w:val="22"/>
        </w:rPr>
        <w:t xml:space="preserve">Fontanería, climatización, cerrajería, pintura, reformas y albañilería son, en conjunto, de tamaño comparable o mayor al de electricidad en número de profesionales.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rPr>
          <w:tblHeader/>
        </w:trPr>
        <w:tc>
          <w:tcPr>
            <w:tcW w:type="dxa" w:w="1700"/>
            <w:shd w:fill="1C2535" w:val="clear"/>
            <w:tcMar>
              <w:top w:type="dxa" w:w="90"/>
              <w:left w:type="dxa" w:w="120"/>
              <w:bottom w:type="dxa" w:w="90"/>
              <w:right w:type="dxa" w:w="120"/>
            </w:tcMar>
            <w:vAlign w:val="center"/>
          </w:tcPr>
          <w:p>
            <w:r>
              <w:rPr>
                <w:b/>
                <w:bCs/>
                <w:color w:val="FFFFFF"/>
                <w:sz w:val="18"/>
                <w:szCs w:val="18"/>
              </w:rPr>
              <w:t xml:space="preserve">Nivel</w:t>
            </w:r>
          </w:p>
        </w:tc>
        <w:tc>
          <w:tcPr>
            <w:tcW w:type="dxa" w:w="3600"/>
            <w:shd w:fill="1C2535" w:val="clear"/>
            <w:tcMar>
              <w:top w:type="dxa" w:w="90"/>
              <w:left w:type="dxa" w:w="120"/>
              <w:bottom w:type="dxa" w:w="90"/>
              <w:right w:type="dxa" w:w="120"/>
            </w:tcMar>
            <w:vAlign w:val="center"/>
          </w:tcPr>
          <w:p>
            <w:r>
              <w:rPr>
                <w:b/>
                <w:bCs/>
                <w:color w:val="FFFFFF"/>
                <w:sz w:val="18"/>
                <w:szCs w:val="18"/>
              </w:rPr>
              <w:t xml:space="preserve">Definición</w:t>
            </w:r>
          </w:p>
        </w:tc>
        <w:tc>
          <w:tcPr>
            <w:tcW w:type="dxa" w:w="4060"/>
            <w:shd w:fill="1C2535" w:val="clear"/>
            <w:tcMar>
              <w:top w:type="dxa" w:w="90"/>
              <w:left w:type="dxa" w:w="120"/>
              <w:bottom w:type="dxa" w:w="90"/>
              <w:right w:type="dxa" w:w="120"/>
            </w:tcMar>
            <w:vAlign w:val="center"/>
          </w:tcPr>
          <w:p>
            <w:r>
              <w:rPr>
                <w:b/>
                <w:bCs/>
                <w:color w:val="FFFFFF"/>
                <w:sz w:val="18"/>
                <w:szCs w:val="18"/>
              </w:rPr>
              <w:t xml:space="preserve">Estimación</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TAM</w:t>
            </w:r>
          </w:p>
        </w:tc>
        <w:tc>
          <w:tcPr>
            <w:tcW w:type="dxa" w:w="3600"/>
            <w:shd w:fill="F7F4F0" w:val="clear"/>
            <w:tcMar>
              <w:top w:type="dxa" w:w="90"/>
              <w:left w:type="dxa" w:w="120"/>
              <w:bottom w:type="dxa" w:w="90"/>
              <w:right w:type="dxa" w:w="120"/>
            </w:tcMar>
            <w:vAlign w:val="center"/>
          </w:tcPr>
          <w:p>
            <w:r>
              <w:rPr>
                <w:b w:val="false"/>
                <w:bCs w:val="false"/>
                <w:color w:val="3A4A5C"/>
                <w:sz w:val="19"/>
                <w:szCs w:val="19"/>
              </w:rPr>
              <w:t xml:space="preserve">Mercado total: España + Portugal + LATAM hispanohablante, software de gestión vertical para oficios de instalación y mantenimiento.</w:t>
            </w:r>
          </w:p>
        </w:tc>
        <w:tc>
          <w:tcPr>
            <w:tcW w:type="dxa" w:w="4060"/>
            <w:shd w:fill="F7F4F0" w:val="clear"/>
            <w:tcMar>
              <w:top w:type="dxa" w:w="90"/>
              <w:left w:type="dxa" w:w="120"/>
              <w:bottom w:type="dxa" w:w="90"/>
              <w:right w:type="dxa" w:w="120"/>
            </w:tcMar>
            <w:vAlign w:val="center"/>
          </w:tcPr>
          <w:p>
            <w:r>
              <w:rPr>
                <w:b w:val="false"/>
                <w:bCs w:val="false"/>
                <w:color w:val="3A4A5C"/>
                <w:sz w:val="19"/>
                <w:szCs w:val="19"/>
              </w:rPr>
              <w:t xml:space="preserve">Varios miles de millones de € a nivel global; el mercado de field service software en EE. UU. por sí solo se proyectaba en 2.800M$ en 2025, creciendo a doble dígito anual.</w:t>
            </w:r>
          </w:p>
        </w:tc>
      </w:tr>
      <w:tr>
        <w:tc>
          <w:tcPr>
            <w:tcW w:type="dxa" w:w="1700"/>
            <w:shd w:fill="FFFFFF" w:val="clear"/>
            <w:tcMar>
              <w:top w:type="dxa" w:w="90"/>
              <w:left w:type="dxa" w:w="120"/>
              <w:bottom w:type="dxa" w:w="90"/>
              <w:right w:type="dxa" w:w="120"/>
            </w:tcMar>
            <w:vAlign w:val="center"/>
          </w:tcPr>
          <w:p>
            <w:r>
              <w:rPr>
                <w:b w:val="false"/>
                <w:bCs w:val="false"/>
                <w:color w:val="3A4A5C"/>
                <w:sz w:val="19"/>
                <w:szCs w:val="19"/>
              </w:rPr>
              <w:t xml:space="preserve">SAM</w:t>
            </w:r>
          </w:p>
        </w:tc>
        <w:tc>
          <w:tcPr>
            <w:tcW w:type="dxa" w:w="3600"/>
            <w:shd w:fill="FFFFFF" w:val="clear"/>
            <w:tcMar>
              <w:top w:type="dxa" w:w="90"/>
              <w:left w:type="dxa" w:w="120"/>
              <w:bottom w:type="dxa" w:w="90"/>
              <w:right w:type="dxa" w:w="120"/>
            </w:tcMar>
            <w:vAlign w:val="center"/>
          </w:tcPr>
          <w:p>
            <w:r>
              <w:rPr>
                <w:b w:val="false"/>
                <w:bCs w:val="false"/>
                <w:color w:val="3A4A5C"/>
                <w:sz w:val="19"/>
                <w:szCs w:val="19"/>
              </w:rPr>
              <w:t xml:space="preserve">Profesionales y microempresas de oficios objetivo en España, alcanzables con el producto y el idioma actuales.</w:t>
            </w:r>
          </w:p>
        </w:tc>
        <w:tc>
          <w:tcPr>
            <w:tcW w:type="dxa" w:w="4060"/>
            <w:shd w:fill="FFFFFF" w:val="clear"/>
            <w:tcMar>
              <w:top w:type="dxa" w:w="90"/>
              <w:left w:type="dxa" w:w="120"/>
              <w:bottom w:type="dxa" w:w="90"/>
              <w:right w:type="dxa" w:w="120"/>
            </w:tcMar>
            <w:vAlign w:val="center"/>
          </w:tcPr>
          <w:p>
            <w:r>
              <w:rPr>
                <w:b w:val="false"/>
                <w:bCs w:val="false"/>
                <w:color w:val="3A4A5C"/>
                <w:sz w:val="19"/>
                <w:szCs w:val="19"/>
              </w:rPr>
              <w:t xml:space="preserve">150.000–250.000 profesionales/microempresas × ARPU potencial → del orden de 90M–250M€/año de gasto potencial en software vertical.</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SOM</w:t>
            </w:r>
          </w:p>
        </w:tc>
        <w:tc>
          <w:tcPr>
            <w:tcW w:type="dxa" w:w="3600"/>
            <w:shd w:fill="F7F4F0" w:val="clear"/>
            <w:tcMar>
              <w:top w:type="dxa" w:w="90"/>
              <w:left w:type="dxa" w:w="120"/>
              <w:bottom w:type="dxa" w:w="90"/>
              <w:right w:type="dxa" w:w="120"/>
            </w:tcMar>
            <w:vAlign w:val="center"/>
          </w:tcPr>
          <w:p>
            <w:r>
              <w:rPr>
                <w:b w:val="false"/>
                <w:bCs w:val="false"/>
                <w:color w:val="3A4A5C"/>
                <w:sz w:val="19"/>
                <w:szCs w:val="19"/>
              </w:rPr>
              <w:t xml:space="preserve">Clientes de pago capturables en 3–5 años con la estrategia de adquisición actual.</w:t>
            </w:r>
          </w:p>
        </w:tc>
        <w:tc>
          <w:tcPr>
            <w:tcW w:type="dxa" w:w="4060"/>
            <w:shd w:fill="F7F4F0" w:val="clear"/>
            <w:tcMar>
              <w:top w:type="dxa" w:w="90"/>
              <w:left w:type="dxa" w:w="120"/>
              <w:bottom w:type="dxa" w:w="90"/>
              <w:right w:type="dxa" w:w="120"/>
            </w:tcMar>
            <w:vAlign w:val="center"/>
          </w:tcPr>
          <w:p>
            <w:r>
              <w:rPr>
                <w:b w:val="false"/>
                <w:bCs w:val="false"/>
                <w:color w:val="3A4A5C"/>
                <w:sz w:val="19"/>
                <w:szCs w:val="19"/>
              </w:rPr>
              <w:t xml:space="preserve">Entre 200 y 1.300 clientes de pago, coherente con el rango Conservador–Agresivo del modelo financiero a 3 años (Parte VI).</w:t>
            </w:r>
          </w:p>
        </w:tc>
      </w:tr>
    </w:tbl>
    <w:p>
      <w:pPr>
        <w:spacing w:after="200" w:before="40"/>
      </w:pPr>
      <w:r>
        <w:rPr>
          <w:i/>
          <w:iCs/>
          <w:color w:val="6B7A8D"/>
          <w:sz w:val="17"/>
          <w:szCs w:val="17"/>
        </w:rPr>
        <w:t xml:space="preserve">Estimación propia. El número exacto de profesionales por oficio no está disponible en una única fuente pública; se ha optado por una estimación conservadora y metodológicamente transparente en lugar de una cifra de precisión falsa.</w:t>
      </w:r>
    </w:p>
    <w:p>
      <w:pPr>
        <w:pStyle w:val="Heading1"/>
        <w:pageBreakBefore/>
      </w:pPr>
      <w:r>
        <w:t xml:space="preserve">11.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1750"/>
        <w:gridCol w:w="1500"/>
        <w:gridCol w:w="1380"/>
        <w:gridCol w:w="1780"/>
      </w:tblGrid>
      <w:tr>
        <w:trPr>
          <w:tblHeader/>
        </w:trPr>
        <w:tc>
          <w:tcPr>
            <w:tcW w:type="dxa" w:w="1500"/>
            <w:shd w:fill="1C2535" w:val="clear"/>
            <w:tcMar>
              <w:top w:type="dxa" w:w="90"/>
              <w:left w:type="dxa" w:w="120"/>
              <w:bottom w:type="dxa" w:w="90"/>
              <w:right w:type="dxa" w:w="120"/>
            </w:tcMar>
            <w:vAlign w:val="center"/>
          </w:tcPr>
          <w:p>
            <w:r>
              <w:rPr>
                <w:b/>
                <w:bCs/>
                <w:color w:val="FFFFFF"/>
                <w:sz w:val="18"/>
                <w:szCs w:val="18"/>
              </w:rPr>
              <w:t xml:space="preserve">Competidor</w:t>
            </w:r>
          </w:p>
        </w:tc>
        <w:tc>
          <w:tcPr>
            <w:tcW w:type="dxa" w:w="1450"/>
            <w:shd w:fill="1C2535" w:val="clear"/>
            <w:tcMar>
              <w:top w:type="dxa" w:w="90"/>
              <w:left w:type="dxa" w:w="120"/>
              <w:bottom w:type="dxa" w:w="90"/>
              <w:right w:type="dxa" w:w="120"/>
            </w:tcMar>
            <w:vAlign w:val="center"/>
          </w:tcPr>
          <w:p>
            <w:r>
              <w:rPr>
                <w:b/>
                <w:bCs/>
                <w:color w:val="FFFFFF"/>
                <w:sz w:val="18"/>
                <w:szCs w:val="18"/>
              </w:rPr>
              <w:t xml:space="preserve">Geografía</w:t>
            </w:r>
          </w:p>
        </w:tc>
        <w:tc>
          <w:tcPr>
            <w:tcW w:type="dxa" w:w="1750"/>
            <w:shd w:fill="1C2535" w:val="clear"/>
            <w:tcMar>
              <w:top w:type="dxa" w:w="90"/>
              <w:left w:type="dxa" w:w="120"/>
              <w:bottom w:type="dxa" w:w="90"/>
              <w:right w:type="dxa" w:w="120"/>
            </w:tcMar>
            <w:vAlign w:val="center"/>
          </w:tcPr>
          <w:p>
            <w:r>
              <w:rPr>
                <w:b/>
                <w:bCs/>
                <w:color w:val="FFFFFF"/>
                <w:sz w:val="18"/>
                <w:szCs w:val="18"/>
              </w:rPr>
              <w:t xml:space="preserve">Segmento</w:t>
            </w:r>
          </w:p>
        </w:tc>
        <w:tc>
          <w:tcPr>
            <w:tcW w:type="dxa" w:w="1500"/>
            <w:shd w:fill="1C2535" w:val="clear"/>
            <w:tcMar>
              <w:top w:type="dxa" w:w="90"/>
              <w:left w:type="dxa" w:w="120"/>
              <w:bottom w:type="dxa" w:w="90"/>
              <w:right w:type="dxa" w:w="120"/>
            </w:tcMar>
            <w:vAlign w:val="center"/>
          </w:tcPr>
          <w:p>
            <w:r>
              <w:rPr>
                <w:b/>
                <w:bCs/>
                <w:color w:val="FFFFFF"/>
                <w:sz w:val="18"/>
                <w:szCs w:val="18"/>
              </w:rPr>
              <w:t xml:space="preserve">IA / voz nativa</w:t>
            </w:r>
          </w:p>
        </w:tc>
        <w:tc>
          <w:tcPr>
            <w:tcW w:type="dxa" w:w="1380"/>
            <w:shd w:fill="1C2535" w:val="clear"/>
            <w:tcMar>
              <w:top w:type="dxa" w:w="90"/>
              <w:left w:type="dxa" w:w="120"/>
              <w:bottom w:type="dxa" w:w="90"/>
              <w:right w:type="dxa" w:w="120"/>
            </w:tcMar>
            <w:vAlign w:val="center"/>
          </w:tcPr>
          <w:p>
            <w:r>
              <w:rPr>
                <w:b/>
                <w:bCs/>
                <w:color w:val="FFFFFF"/>
                <w:sz w:val="18"/>
                <w:szCs w:val="18"/>
              </w:rPr>
              <w:t xml:space="preserve">WhatsApp nativo</w:t>
            </w:r>
          </w:p>
        </w:tc>
        <w:tc>
          <w:tcPr>
            <w:tcW w:type="dxa" w:w="1780"/>
            <w:shd w:fill="1C2535" w:val="clear"/>
            <w:tcMar>
              <w:top w:type="dxa" w:w="90"/>
              <w:left w:type="dxa" w:w="120"/>
              <w:bottom w:type="dxa" w:w="90"/>
              <w:right w:type="dxa" w:w="120"/>
            </w:tcMar>
            <w:vAlign w:val="center"/>
          </w:tcPr>
          <w:p>
            <w:r>
              <w:rPr>
                <w:b/>
                <w:bCs/>
                <w:color w:val="FFFFFF"/>
                <w:sz w:val="18"/>
                <w:szCs w:val="18"/>
              </w:rPr>
              <w:t xml:space="preserve">Fiscalidad ES/LATAM</w:t>
            </w:r>
          </w:p>
        </w:tc>
      </w:tr>
      <w:tr>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Holded</w:t>
            </w:r>
          </w:p>
        </w:tc>
        <w:tc>
          <w:tcPr>
            <w:tcW w:type="dxa" w:w="1450"/>
            <w:shd w:fill="F7F4F0" w:val="clear"/>
            <w:tcMar>
              <w:top w:type="dxa" w:w="90"/>
              <w:left w:type="dxa" w:w="120"/>
              <w:bottom w:type="dxa" w:w="90"/>
              <w:right w:type="dxa" w:w="120"/>
            </w:tcMar>
            <w:vAlign w:val="center"/>
          </w:tcPr>
          <w:p>
            <w:r>
              <w:rPr>
                <w:b w:val="false"/>
                <w:bCs w:val="false"/>
                <w:color w:val="3A4A5C"/>
                <w:sz w:val="19"/>
                <w:szCs w:val="19"/>
              </w:rPr>
              <w:t xml:space="preserve">España</w:t>
            </w:r>
          </w:p>
        </w:tc>
        <w:tc>
          <w:tcPr>
            <w:tcW w:type="dxa" w:w="1750"/>
            <w:shd w:fill="F7F4F0" w:val="clear"/>
            <w:tcMar>
              <w:top w:type="dxa" w:w="90"/>
              <w:left w:type="dxa" w:w="120"/>
              <w:bottom w:type="dxa" w:w="90"/>
              <w:right w:type="dxa" w:w="120"/>
            </w:tcMar>
            <w:vAlign w:val="center"/>
          </w:tcPr>
          <w:p>
            <w:r>
              <w:rPr>
                <w:b w:val="false"/>
                <w:bCs w:val="false"/>
                <w:color w:val="3A4A5C"/>
                <w:sz w:val="19"/>
                <w:szCs w:val="19"/>
              </w:rPr>
              <w:t xml:space="preserve">Pyme genérica</w:t>
            </w:r>
          </w:p>
        </w:tc>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38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780"/>
            <w:shd w:fill="F7F4F0" w:val="clear"/>
            <w:tcMar>
              <w:top w:type="dxa" w:w="90"/>
              <w:left w:type="dxa" w:w="120"/>
              <w:bottom w:type="dxa" w:w="90"/>
              <w:right w:type="dxa" w:w="120"/>
            </w:tcMar>
            <w:vAlign w:val="center"/>
          </w:tcPr>
          <w:p>
            <w:r>
              <w:rPr>
                <w:b w:val="false"/>
                <w:bCs w:val="false"/>
                <w:color w:val="3A4A5C"/>
                <w:sz w:val="19"/>
                <w:szCs w:val="19"/>
              </w:rPr>
              <w:t xml:space="preserve">Sí (genérico, no por oficio)</w:t>
            </w:r>
          </w:p>
        </w:tc>
      </w:tr>
      <w:tr>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Quipu</w:t>
            </w:r>
          </w:p>
        </w:tc>
        <w:tc>
          <w:tcPr>
            <w:tcW w:type="dxa" w:w="1450"/>
            <w:shd w:fill="FFFFFF" w:val="clear"/>
            <w:tcMar>
              <w:top w:type="dxa" w:w="90"/>
              <w:left w:type="dxa" w:w="120"/>
              <w:bottom w:type="dxa" w:w="90"/>
              <w:right w:type="dxa" w:w="120"/>
            </w:tcMar>
            <w:vAlign w:val="center"/>
          </w:tcPr>
          <w:p>
            <w:r>
              <w:rPr>
                <w:b w:val="false"/>
                <w:bCs w:val="false"/>
                <w:color w:val="3A4A5C"/>
                <w:sz w:val="19"/>
                <w:szCs w:val="19"/>
              </w:rPr>
              <w:t xml:space="preserve">España</w:t>
            </w:r>
          </w:p>
        </w:tc>
        <w:tc>
          <w:tcPr>
            <w:tcW w:type="dxa" w:w="1750"/>
            <w:shd w:fill="FFFFFF" w:val="clear"/>
            <w:tcMar>
              <w:top w:type="dxa" w:w="90"/>
              <w:left w:type="dxa" w:w="120"/>
              <w:bottom w:type="dxa" w:w="90"/>
              <w:right w:type="dxa" w:w="120"/>
            </w:tcMar>
            <w:vAlign w:val="center"/>
          </w:tcPr>
          <w:p>
            <w:r>
              <w:rPr>
                <w:b w:val="false"/>
                <w:bCs w:val="false"/>
                <w:color w:val="3A4A5C"/>
                <w:sz w:val="19"/>
                <w:szCs w:val="19"/>
              </w:rPr>
              <w:t xml:space="preserve">Autónomo / pyme genérica</w:t>
            </w:r>
          </w:p>
        </w:tc>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380"/>
            <w:shd w:fill="FFFFFF"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780"/>
            <w:shd w:fill="FFFFFF" w:val="clear"/>
            <w:tcMar>
              <w:top w:type="dxa" w:w="90"/>
              <w:left w:type="dxa" w:w="120"/>
              <w:bottom w:type="dxa" w:w="90"/>
              <w:right w:type="dxa" w:w="120"/>
            </w:tcMar>
            <w:vAlign w:val="center"/>
          </w:tcPr>
          <w:p>
            <w:r>
              <w:rPr>
                <w:b w:val="false"/>
                <w:bCs w:val="false"/>
                <w:color w:val="3A4A5C"/>
                <w:sz w:val="19"/>
                <w:szCs w:val="19"/>
              </w:rPr>
              <w:t xml:space="preserve">Sí (genérico)</w:t>
            </w:r>
          </w:p>
        </w:tc>
      </w:tr>
      <w:tr>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Billin</w:t>
            </w:r>
          </w:p>
        </w:tc>
        <w:tc>
          <w:tcPr>
            <w:tcW w:type="dxa" w:w="1450"/>
            <w:shd w:fill="F7F4F0" w:val="clear"/>
            <w:tcMar>
              <w:top w:type="dxa" w:w="90"/>
              <w:left w:type="dxa" w:w="120"/>
              <w:bottom w:type="dxa" w:w="90"/>
              <w:right w:type="dxa" w:w="120"/>
            </w:tcMar>
            <w:vAlign w:val="center"/>
          </w:tcPr>
          <w:p>
            <w:r>
              <w:rPr>
                <w:b w:val="false"/>
                <w:bCs w:val="false"/>
                <w:color w:val="3A4A5C"/>
                <w:sz w:val="19"/>
                <w:szCs w:val="19"/>
              </w:rPr>
              <w:t xml:space="preserve">España</w:t>
            </w:r>
          </w:p>
        </w:tc>
        <w:tc>
          <w:tcPr>
            <w:tcW w:type="dxa" w:w="1750"/>
            <w:shd w:fill="F7F4F0" w:val="clear"/>
            <w:tcMar>
              <w:top w:type="dxa" w:w="90"/>
              <w:left w:type="dxa" w:w="120"/>
              <w:bottom w:type="dxa" w:w="90"/>
              <w:right w:type="dxa" w:w="120"/>
            </w:tcMar>
            <w:vAlign w:val="center"/>
          </w:tcPr>
          <w:p>
            <w:r>
              <w:rPr>
                <w:b w:val="false"/>
                <w:bCs w:val="false"/>
                <w:color w:val="3A4A5C"/>
                <w:sz w:val="19"/>
                <w:szCs w:val="19"/>
              </w:rPr>
              <w:t xml:space="preserve">Autónomo genérico</w:t>
            </w:r>
          </w:p>
        </w:tc>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38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780"/>
            <w:shd w:fill="F7F4F0" w:val="clear"/>
            <w:tcMar>
              <w:top w:type="dxa" w:w="90"/>
              <w:left w:type="dxa" w:w="120"/>
              <w:bottom w:type="dxa" w:w="90"/>
              <w:right w:type="dxa" w:w="120"/>
            </w:tcMar>
            <w:vAlign w:val="center"/>
          </w:tcPr>
          <w:p>
            <w:r>
              <w:rPr>
                <w:b w:val="false"/>
                <w:bCs w:val="false"/>
                <w:color w:val="3A4A5C"/>
                <w:sz w:val="19"/>
                <w:szCs w:val="19"/>
              </w:rPr>
              <w:t xml:space="preserve">Sí (genérico)</w:t>
            </w:r>
          </w:p>
        </w:tc>
      </w:tr>
      <w:tr>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ServiceTitan</w:t>
            </w:r>
          </w:p>
        </w:tc>
        <w:tc>
          <w:tcPr>
            <w:tcW w:type="dxa" w:w="1450"/>
            <w:shd w:fill="FFFFFF" w:val="clear"/>
            <w:tcMar>
              <w:top w:type="dxa" w:w="90"/>
              <w:left w:type="dxa" w:w="120"/>
              <w:bottom w:type="dxa" w:w="90"/>
              <w:right w:type="dxa" w:w="120"/>
            </w:tcMar>
            <w:vAlign w:val="center"/>
          </w:tcPr>
          <w:p>
            <w:r>
              <w:rPr>
                <w:b w:val="false"/>
                <w:bCs w:val="false"/>
                <w:color w:val="3A4A5C"/>
                <w:sz w:val="19"/>
                <w:szCs w:val="19"/>
              </w:rPr>
              <w:t xml:space="preserve">EE. UU.</w:t>
            </w:r>
          </w:p>
        </w:tc>
        <w:tc>
          <w:tcPr>
            <w:tcW w:type="dxa" w:w="1750"/>
            <w:shd w:fill="FFFFFF" w:val="clear"/>
            <w:tcMar>
              <w:top w:type="dxa" w:w="90"/>
              <w:left w:type="dxa" w:w="120"/>
              <w:bottom w:type="dxa" w:w="90"/>
              <w:right w:type="dxa" w:w="120"/>
            </w:tcMar>
            <w:vAlign w:val="center"/>
          </w:tcPr>
          <w:p>
            <w:r>
              <w:rPr>
                <w:b w:val="false"/>
                <w:bCs w:val="false"/>
                <w:color w:val="3A4A5C"/>
                <w:sz w:val="19"/>
                <w:szCs w:val="19"/>
              </w:rPr>
              <w:t xml:space="preserve">Field service, empresa mediana/grande</w:t>
            </w:r>
          </w:p>
        </w:tc>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Parcial (IA de voz en llamadas de call center)</w:t>
            </w:r>
          </w:p>
        </w:tc>
        <w:tc>
          <w:tcPr>
            <w:tcW w:type="dxa" w:w="1380"/>
            <w:shd w:fill="FFFFFF"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780"/>
            <w:shd w:fill="FFFFFF" w:val="clear"/>
            <w:tcMar>
              <w:top w:type="dxa" w:w="90"/>
              <w:left w:type="dxa" w:w="120"/>
              <w:bottom w:type="dxa" w:w="90"/>
              <w:right w:type="dxa" w:w="120"/>
            </w:tcMar>
            <w:vAlign w:val="center"/>
          </w:tcPr>
          <w:p>
            <w:r>
              <w:rPr>
                <w:b w:val="false"/>
                <w:bCs w:val="false"/>
                <w:color w:val="3A4A5C"/>
                <w:sz w:val="19"/>
                <w:szCs w:val="19"/>
              </w:rPr>
              <w:t xml:space="preserve">No</w:t>
            </w:r>
          </w:p>
        </w:tc>
      </w:tr>
      <w:tr>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Jobber</w:t>
            </w:r>
          </w:p>
        </w:tc>
        <w:tc>
          <w:tcPr>
            <w:tcW w:type="dxa" w:w="1450"/>
            <w:shd w:fill="F7F4F0" w:val="clear"/>
            <w:tcMar>
              <w:top w:type="dxa" w:w="90"/>
              <w:left w:type="dxa" w:w="120"/>
              <w:bottom w:type="dxa" w:w="90"/>
              <w:right w:type="dxa" w:w="120"/>
            </w:tcMar>
            <w:vAlign w:val="center"/>
          </w:tcPr>
          <w:p>
            <w:r>
              <w:rPr>
                <w:b w:val="false"/>
                <w:bCs w:val="false"/>
                <w:color w:val="3A4A5C"/>
                <w:sz w:val="19"/>
                <w:szCs w:val="19"/>
              </w:rPr>
              <w:t xml:space="preserve">EE. UU. / Canadá</w:t>
            </w:r>
          </w:p>
        </w:tc>
        <w:tc>
          <w:tcPr>
            <w:tcW w:type="dxa" w:w="1750"/>
            <w:shd w:fill="F7F4F0" w:val="clear"/>
            <w:tcMar>
              <w:top w:type="dxa" w:w="90"/>
              <w:left w:type="dxa" w:w="120"/>
              <w:bottom w:type="dxa" w:w="90"/>
              <w:right w:type="dxa" w:w="120"/>
            </w:tcMar>
            <w:vAlign w:val="center"/>
          </w:tcPr>
          <w:p>
            <w:r>
              <w:rPr>
                <w:b w:val="false"/>
                <w:bCs w:val="false"/>
                <w:color w:val="3A4A5C"/>
                <w:sz w:val="19"/>
                <w:szCs w:val="19"/>
              </w:rPr>
              <w:t xml:space="preserve">Field service, 1–20 técnicos</w:t>
            </w:r>
          </w:p>
        </w:tc>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38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780"/>
            <w:shd w:fill="F7F4F0" w:val="clear"/>
            <w:tcMar>
              <w:top w:type="dxa" w:w="90"/>
              <w:left w:type="dxa" w:w="120"/>
              <w:bottom w:type="dxa" w:w="90"/>
              <w:right w:type="dxa" w:w="120"/>
            </w:tcMar>
            <w:vAlign w:val="center"/>
          </w:tcPr>
          <w:p>
            <w:r>
              <w:rPr>
                <w:b w:val="false"/>
                <w:bCs w:val="false"/>
                <w:color w:val="3A4A5C"/>
                <w:sz w:val="19"/>
                <w:szCs w:val="19"/>
              </w:rPr>
              <w:t xml:space="preserve">No</w:t>
            </w:r>
          </w:p>
        </w:tc>
      </w:tr>
      <w:tr>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Tradify</w:t>
            </w:r>
          </w:p>
        </w:tc>
        <w:tc>
          <w:tcPr>
            <w:tcW w:type="dxa" w:w="1450"/>
            <w:shd w:fill="FFFFFF" w:val="clear"/>
            <w:tcMar>
              <w:top w:type="dxa" w:w="90"/>
              <w:left w:type="dxa" w:w="120"/>
              <w:bottom w:type="dxa" w:w="90"/>
              <w:right w:type="dxa" w:w="120"/>
            </w:tcMar>
            <w:vAlign w:val="center"/>
          </w:tcPr>
          <w:p>
            <w:r>
              <w:rPr>
                <w:b w:val="false"/>
                <w:bCs w:val="false"/>
                <w:color w:val="3A4A5C"/>
                <w:sz w:val="19"/>
                <w:szCs w:val="19"/>
              </w:rPr>
              <w:t xml:space="preserve">Reino Unido / Oceanía</w:t>
            </w:r>
          </w:p>
        </w:tc>
        <w:tc>
          <w:tcPr>
            <w:tcW w:type="dxa" w:w="1750"/>
            <w:shd w:fill="FFFFFF" w:val="clear"/>
            <w:tcMar>
              <w:top w:type="dxa" w:w="90"/>
              <w:left w:type="dxa" w:w="120"/>
              <w:bottom w:type="dxa" w:w="90"/>
              <w:right w:type="dxa" w:w="120"/>
            </w:tcMar>
            <w:vAlign w:val="center"/>
          </w:tcPr>
          <w:p>
            <w:r>
              <w:rPr>
                <w:b w:val="false"/>
                <w:bCs w:val="false"/>
                <w:color w:val="3A4A5C"/>
                <w:sz w:val="19"/>
                <w:szCs w:val="19"/>
              </w:rPr>
              <w:t xml:space="preserve">Autónomo / equipo pequeño</w:t>
            </w:r>
          </w:p>
        </w:tc>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380"/>
            <w:shd w:fill="FFFFFF"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780"/>
            <w:shd w:fill="FFFFFF" w:val="clear"/>
            <w:tcMar>
              <w:top w:type="dxa" w:w="90"/>
              <w:left w:type="dxa" w:w="120"/>
              <w:bottom w:type="dxa" w:w="90"/>
              <w:right w:type="dxa" w:w="120"/>
            </w:tcMar>
            <w:vAlign w:val="center"/>
          </w:tcPr>
          <w:p>
            <w:r>
              <w:rPr>
                <w:b w:val="false"/>
                <w:bCs w:val="false"/>
                <w:color w:val="3A4A5C"/>
                <w:sz w:val="19"/>
                <w:szCs w:val="19"/>
              </w:rPr>
              <w:t xml:space="preserve">No</w:t>
            </w:r>
          </w:p>
        </w:tc>
      </w:tr>
      <w:tr>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Simpro</w:t>
            </w:r>
          </w:p>
        </w:tc>
        <w:tc>
          <w:tcPr>
            <w:tcW w:type="dxa" w:w="1450"/>
            <w:shd w:fill="F7F4F0" w:val="clear"/>
            <w:tcMar>
              <w:top w:type="dxa" w:w="90"/>
              <w:left w:type="dxa" w:w="120"/>
              <w:bottom w:type="dxa" w:w="90"/>
              <w:right w:type="dxa" w:w="120"/>
            </w:tcMar>
            <w:vAlign w:val="center"/>
          </w:tcPr>
          <w:p>
            <w:r>
              <w:rPr>
                <w:b w:val="false"/>
                <w:bCs w:val="false"/>
                <w:color w:val="3A4A5C"/>
                <w:sz w:val="19"/>
                <w:szCs w:val="19"/>
              </w:rPr>
              <w:t xml:space="preserve">Global (anglosajón)</w:t>
            </w:r>
          </w:p>
        </w:tc>
        <w:tc>
          <w:tcPr>
            <w:tcW w:type="dxa" w:w="1750"/>
            <w:shd w:fill="F7F4F0" w:val="clear"/>
            <w:tcMar>
              <w:top w:type="dxa" w:w="90"/>
              <w:left w:type="dxa" w:w="120"/>
              <w:bottom w:type="dxa" w:w="90"/>
              <w:right w:type="dxa" w:w="120"/>
            </w:tcMar>
            <w:vAlign w:val="center"/>
          </w:tcPr>
          <w:p>
            <w:r>
              <w:rPr>
                <w:b w:val="false"/>
                <w:bCs w:val="false"/>
                <w:color w:val="3A4A5C"/>
                <w:sz w:val="19"/>
                <w:szCs w:val="19"/>
              </w:rPr>
              <w:t xml:space="preserve">Field service, empresa mediana/grande</w:t>
            </w:r>
          </w:p>
        </w:tc>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38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780"/>
            <w:shd w:fill="F7F4F0" w:val="clear"/>
            <w:tcMar>
              <w:top w:type="dxa" w:w="90"/>
              <w:left w:type="dxa" w:w="120"/>
              <w:bottom w:type="dxa" w:w="90"/>
              <w:right w:type="dxa" w:w="120"/>
            </w:tcMar>
            <w:vAlign w:val="center"/>
          </w:tcPr>
          <w:p>
            <w:r>
              <w:rPr>
                <w:b w:val="false"/>
                <w:bCs w:val="false"/>
                <w:color w:val="3A4A5C"/>
                <w:sz w:val="19"/>
                <w:szCs w:val="19"/>
              </w:rPr>
              <w:t xml:space="preserve">No</w:t>
            </w:r>
          </w:p>
        </w:tc>
      </w:tr>
      <w:tr>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TrabFlow</w:t>
            </w:r>
          </w:p>
        </w:tc>
        <w:tc>
          <w:tcPr>
            <w:tcW w:type="dxa" w:w="1450"/>
            <w:shd w:fill="FFFFFF" w:val="clear"/>
            <w:tcMar>
              <w:top w:type="dxa" w:w="90"/>
              <w:left w:type="dxa" w:w="120"/>
              <w:bottom w:type="dxa" w:w="90"/>
              <w:right w:type="dxa" w:w="120"/>
            </w:tcMar>
            <w:vAlign w:val="center"/>
          </w:tcPr>
          <w:p>
            <w:r>
              <w:rPr>
                <w:b w:val="false"/>
                <w:bCs w:val="false"/>
                <w:color w:val="3A4A5C"/>
                <w:sz w:val="19"/>
                <w:szCs w:val="19"/>
              </w:rPr>
              <w:t xml:space="preserve">España → Iberia → LATAM</w:t>
            </w:r>
          </w:p>
        </w:tc>
        <w:tc>
          <w:tcPr>
            <w:tcW w:type="dxa" w:w="1750"/>
            <w:shd w:fill="FFFFFF" w:val="clear"/>
            <w:tcMar>
              <w:top w:type="dxa" w:w="90"/>
              <w:left w:type="dxa" w:w="120"/>
              <w:bottom w:type="dxa" w:w="90"/>
              <w:right w:type="dxa" w:w="120"/>
            </w:tcMar>
            <w:vAlign w:val="center"/>
          </w:tcPr>
          <w:p>
            <w:r>
              <w:rPr>
                <w:b w:val="false"/>
                <w:bCs w:val="false"/>
                <w:color w:val="3A4A5C"/>
                <w:sz w:val="19"/>
                <w:szCs w:val="19"/>
              </w:rPr>
              <w:t xml:space="preserve">Autónomo / pyme de oficios</w:t>
            </w:r>
          </w:p>
        </w:tc>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Sí (voz y foto, nativo)</w:t>
            </w:r>
          </w:p>
        </w:tc>
        <w:tc>
          <w:tcPr>
            <w:tcW w:type="dxa" w:w="1380"/>
            <w:shd w:fill="FFFFFF" w:val="clear"/>
            <w:tcMar>
              <w:top w:type="dxa" w:w="90"/>
              <w:left w:type="dxa" w:w="120"/>
              <w:bottom w:type="dxa" w:w="90"/>
              <w:right w:type="dxa" w:w="120"/>
            </w:tcMar>
            <w:vAlign w:val="center"/>
          </w:tcPr>
          <w:p>
            <w:r>
              <w:rPr>
                <w:b w:val="false"/>
                <w:bCs w:val="false"/>
                <w:color w:val="3A4A5C"/>
                <w:sz w:val="19"/>
                <w:szCs w:val="19"/>
              </w:rPr>
              <w:t xml:space="preserve">Sí (nativo)</w:t>
            </w:r>
          </w:p>
        </w:tc>
        <w:tc>
          <w:tcPr>
            <w:tcW w:type="dxa" w:w="1780"/>
            <w:shd w:fill="FFFFFF" w:val="clear"/>
            <w:tcMar>
              <w:top w:type="dxa" w:w="90"/>
              <w:left w:type="dxa" w:w="120"/>
              <w:bottom w:type="dxa" w:w="90"/>
              <w:right w:type="dxa" w:w="120"/>
            </w:tcMar>
            <w:vAlign w:val="center"/>
          </w:tcPr>
          <w:p>
            <w:r>
              <w:rPr>
                <w:b w:val="false"/>
                <w:bCs w:val="false"/>
                <w:color w:val="3A4A5C"/>
                <w:sz w:val="19"/>
                <w:szCs w:val="19"/>
              </w:rPr>
              <w:t xml:space="preserve">Sí (nativo, por oficio)</w:t>
            </w:r>
          </w:p>
        </w:tc>
      </w:tr>
    </w:tbl>
    <w:p>
      <w:pPr>
        <w:spacing w:after="200" w:before="40"/>
      </w:pPr>
      <w:r>
        <w:rPr>
          <w:i/>
          <w:iCs/>
          <w:color w:val="6B7A8D"/>
          <w:sz w:val="17"/>
          <w:szCs w:val="17"/>
        </w:rPr>
        <w:t xml:space="preserve">Comparativa de producto basada en información pública y análisis propio; no constituye un análisis exhaustivo de cada plataforma. ServiceTitan: capitalización ~7.000M$ e ingresos ~1.000M$ (mediados 2026). Jobber: ~167,5M$ de ingresos (2024), 100.000+ clientes. Holded: adquirida por Visma por más de 120M€ (2021), prueba de que el software horizontal español para pymes es objetivo de M&amp;A.</w:t>
      </w:r>
    </w:p>
    <w:p>
      <w:pPr>
        <w:spacing w:after="160"/>
      </w:pPr>
      <w:r>
        <w:rPr>
          <w:color w:val="3A4A5C"/>
          <w:sz w:val="22"/>
          <w:szCs w:val="22"/>
        </w:rPr>
        <w:t xml:space="preserve">La conclusión de la matriz es simple: nadie ocupa la celda donde se cruzan IA conversacional nativa, WhatsApp nativo y fiscalidad española/latinoamericana nativa. Los actores españoles (Holded, Quipu, Billin) resuelven la fiscalidad pero no el oficio ni la IA; los actores internacionales (ServiceTitan, Jobber, Tradify, Simpro) resuelven el oficio pero no el idioma, el canal ni la fiscalidad de este mercado.</w:t>
      </w:r>
    </w:p>
    <w:p>
      <w:pPr>
        <w:pStyle w:val="Heading1"/>
        <w:pageBreakBefore/>
      </w:pPr>
      <w:r>
        <w:t xml:space="preserve">12. Why TrabFlow Wins</w:t>
      </w:r>
    </w:p>
    <w:p>
      <w:pPr>
        <w:spacing w:after="160"/>
      </w:pPr>
      <w:r>
        <w:rPr>
          <w:color w:val="3A4A5C"/>
          <w:sz w:val="22"/>
          <w:szCs w:val="22"/>
        </w:rPr>
        <w:t xml:space="preserve">La tesis de por qué TrabFlow gana esta categoría, no solo participa en ella, descansa en cuatro pilares que se refuerzan entre sí:</w:t>
      </w:r>
    </w:p>
    <w:p>
      <w:pPr>
        <w:pStyle w:val="ListParagraph"/>
        <w:numPr>
          <w:ilvl w:val="0"/>
          <w:numId w:val="2"/>
        </w:numPr>
        <w:spacing w:after="90"/>
      </w:pPr>
      <w:r>
        <w:rPr>
          <w:color w:val="3A4A5C"/>
          <w:sz w:val="22"/>
          <w:szCs w:val="22"/>
        </w:rPr>
        <w:t xml:space="preserve">Gana la categoría correcta en el momento correcto: nadie construyó esto antes porque la IA conversacional barata, VeriFactu y Kit Digital no existían simultáneamente hasta ahora (Parte I).</w:t>
      </w:r>
    </w:p>
    <w:p>
      <w:pPr>
        <w:pStyle w:val="ListParagraph"/>
        <w:numPr>
          <w:ilvl w:val="0"/>
          <w:numId w:val="2"/>
        </w:numPr>
        <w:spacing w:after="90"/>
      </w:pPr>
      <w:r>
        <w:rPr>
          <w:color w:val="3A4A5C"/>
          <w:sz w:val="22"/>
          <w:szCs w:val="22"/>
        </w:rPr>
        <w:t xml:space="preserve">Gana por especialización, no por features: cada competidor relevante resuelve una parte del problema (fiscalidad, o field service, o IA) pero ninguno las tres a la vez para este idioma y este sector.</w:t>
      </w:r>
    </w:p>
    <w:p>
      <w:pPr>
        <w:pStyle w:val="ListParagraph"/>
        <w:numPr>
          <w:ilvl w:val="0"/>
          <w:numId w:val="2"/>
        </w:numPr>
        <w:spacing w:after="90"/>
      </w:pPr>
      <w:r>
        <w:rPr>
          <w:color w:val="3A4A5C"/>
          <w:sz w:val="22"/>
          <w:szCs w:val="22"/>
        </w:rPr>
        <w:t xml:space="preserve">Gana por activos que se componen con el tiempo: la Base Maestra y la confianza dentro de los gremios no se compran con una ronda de financiación grande; se construyen con años de uso real y de presencia en el sector (Parte V).</w:t>
      </w:r>
    </w:p>
    <w:p>
      <w:pPr>
        <w:pStyle w:val="ListParagraph"/>
        <w:numPr>
          <w:ilvl w:val="0"/>
          <w:numId w:val="2"/>
        </w:numPr>
        <w:spacing w:after="90"/>
      </w:pPr>
      <w:r>
        <w:rPr>
          <w:color w:val="3A4A5C"/>
          <w:sz w:val="22"/>
          <w:szCs w:val="22"/>
        </w:rPr>
        <w:t xml:space="preserve">Gana por economía de unidad favorable desde el diseño: precio de entrada accesible (49€/mes), coste marginal de IA bajo por cliente, y un modelo de expansión de ingreso (mantenimiento, marketplace, fintech embebida) que no depende solo de añadir clientes nuevos cada mes (Parte VI).</w:t>
      </w: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V</w:t>
      </w:r>
    </w:p>
    <w:p>
      <w:pPr>
        <w:spacing w:after="160"/>
      </w:pPr>
    </w:p>
    <w:p>
      <w:pPr>
        <w:jc w:val="center"/>
      </w:pPr>
      <w:r>
        <w:rPr>
          <w:rFonts w:ascii="Arial" w:cs="Arial" w:eastAsia="Arial" w:hAnsi="Arial"/>
          <w:b/>
          <w:bCs/>
          <w:color w:val="1C2535"/>
          <w:sz w:val="44"/>
          <w:szCs w:val="44"/>
        </w:rPr>
        <w:t xml:space="preserve">Moat</w:t>
      </w:r>
    </w:p>
    <w:p>
      <w:pPr>
        <w:spacing w:after="100"/>
      </w:pPr>
    </w:p>
    <w:p>
      <w:pPr>
        <w:jc w:val="center"/>
      </w:pPr>
      <w:r>
        <w:rPr>
          <w:i/>
          <w:iCs/>
          <w:color w:val="1A5A96"/>
          <w:sz w:val="24"/>
          <w:szCs w:val="24"/>
        </w:rPr>
        <w:t xml:space="preserve">Por qué esto no se replica simplemente copiando la interfaz</w:t>
      </w:r>
    </w:p>
    <w:p>
      <w:pPr>
        <w:pStyle w:val="Heading1"/>
        <w:pageBreakBefore/>
      </w:pPr>
      <w:r>
        <w:t xml:space="preserve">13. Data Moat</w:t>
      </w:r>
    </w:p>
    <w:p>
      <w:pPr>
        <w:spacing w:after="160"/>
      </w:pPr>
      <w:r>
        <w:rPr>
          <w:color w:val="3A4A5C"/>
          <w:sz w:val="22"/>
          <w:szCs w:val="22"/>
        </w:rPr>
        <w:t xml:space="preserve">La Base Maestra es, con diferencia, el activo más difícil de replicar de TrabFlow, y merece explicarse con detalle porque es fácil subestimarlo desde fuera.</w:t>
      </w:r>
    </w:p>
    <w:p>
      <w:pPr>
        <w:spacing w:after="160"/>
      </w:pPr>
      <w:r>
        <w:rPr>
          <w:color w:val="3A4A5C"/>
          <w:sz w:val="22"/>
          <w:szCs w:val="22"/>
        </w:rPr>
        <w:t xml:space="preserve">No es una lista de precios: es un catálogo estructurado, oficio por oficio, de actuaciones técnicas —cada una con sus partidas obligatorias, sus partidas auxiliares, sus reglas de cálculo declarativas y sus unidades de medida normalizadas— construido manualmente con el principio explícito de que la IA debe recuperar información, no improvisarla. Hoy existen tres oficios completos (fontanería, electricidad, albañilería) con cien actuaciones estructuradas cada uno; quedan diecisiete oficios más en el roadmap (Parte VIII).</w:t>
      </w:r>
    </w:p>
    <w:p>
      <w:pPr>
        <w:spacing w:after="160"/>
      </w:pPr>
      <w:r>
        <w:rPr>
          <w:color w:val="3A4A5C"/>
          <w:sz w:val="22"/>
          <w:szCs w:val="22"/>
        </w:rPr>
        <w:t xml:space="preserve">Tres propiedades hacen de este catálogo un moat real y no solo una característica de producto:</w:t>
      </w:r>
    </w:p>
    <w:p>
      <w:pPr>
        <w:pStyle w:val="ListParagraph"/>
        <w:numPr>
          <w:ilvl w:val="0"/>
          <w:numId w:val="2"/>
        </w:numPr>
        <w:spacing w:after="90"/>
      </w:pPr>
      <w:r>
        <w:rPr>
          <w:color w:val="3A4A5C"/>
          <w:sz w:val="22"/>
          <w:szCs w:val="22"/>
        </w:rPr>
        <w:t xml:space="preserve">Coste de construcción no trivial: cada oficio exige conocimiento de dominio real —no genérico— sobre cómo se descompone un trabajo en partidas, qué materiales son obligatorios y cuáles auxiliares, y qué reglas de cálculo aplican. No es un dato que se pueda scrapear de internet.</w:t>
      </w:r>
    </w:p>
    <w:p>
      <w:pPr>
        <w:pStyle w:val="ListParagraph"/>
        <w:numPr>
          <w:ilvl w:val="0"/>
          <w:numId w:val="2"/>
        </w:numPr>
        <w:spacing w:after="90"/>
      </w:pPr>
      <w:r>
        <w:rPr>
          <w:color w:val="3A4A5C"/>
          <w:sz w:val="22"/>
          <w:szCs w:val="22"/>
        </w:rPr>
        <w:t xml:space="preserve">Mejora compuesta con el uso: cada corrección de un instalador real sobre una partida sugerida alimenta la precisión futura del catálogo. Cuantos más clientes activos, más rápido mejora el activo —la definición clásica de un efecto de datos defendible.</w:t>
      </w:r>
    </w:p>
    <w:p>
      <w:pPr>
        <w:pStyle w:val="ListParagraph"/>
        <w:numPr>
          <w:ilvl w:val="0"/>
          <w:numId w:val="2"/>
        </w:numPr>
        <w:spacing w:after="90"/>
      </w:pPr>
      <w:r>
        <w:rPr>
          <w:color w:val="3A4A5C"/>
          <w:sz w:val="22"/>
          <w:szCs w:val="22"/>
        </w:rPr>
        <w:t xml:space="preserve">Difícil de copiar bien, fácil de copiar mal: un competidor podría anunciar “catálogo de actuaciones por oficio” en un mes, pero construir uno con la profundidad y la tasa de acierto reales de TrabFlow exige el mismo proceso lento, oficio por oficio, que TrabFlow ya lleva recorriendo.</w:t>
      </w:r>
    </w:p>
    <w:p>
      <w:pPr>
        <w:pStyle w:val="Heading1"/>
        <w:pageBreakBefore/>
      </w:pPr>
      <w:r>
        <w:t xml:space="preserve">14. Regulatory Moat</w:t>
      </w:r>
    </w:p>
    <w:p>
      <w:pPr>
        <w:spacing w:after="160"/>
      </w:pPr>
      <w:r>
        <w:rPr>
          <w:color w:val="3A4A5C"/>
          <w:sz w:val="22"/>
          <w:szCs w:val="22"/>
        </w:rPr>
        <w:t xml:space="preserve">El cumplimiento fiscal no es un requisito que se añade al final: es, en sí mismo, una barrera de entrada para cualquier competidor que no esté dispuesto a invertir en entenderlo.</w:t>
      </w:r>
    </w:p>
    <w:p>
      <w:pPr>
        <w:spacing w:after="140"/>
      </w:pPr>
      <w:r>
        <w:rPr>
          <w:b/>
          <w:bCs/>
          <w:color w:val="1C2535"/>
          <w:sz w:val="22"/>
          <w:szCs w:val="22"/>
        </w:rPr>
        <w:t xml:space="preserve">VeriFactu (España). </w:t>
      </w:r>
      <w:r>
        <w:rPr>
          <w:color w:val="3A4A5C"/>
          <w:sz w:val="22"/>
          <w:szCs w:val="22"/>
        </w:rPr>
        <w:t xml:space="preserve">RD 1007/2023, modificado por el RDL 15/2025: huella digital encadenada, trazabilidad ante Hacienda, plazos de enero y julio de 2027. Cualquier plataforma que quiera vender software de facturación en España a partir de esas fechas debe resolver este requisito técnico y legal completo, no parcialmente.</w:t>
      </w:r>
    </w:p>
    <w:p>
      <w:pPr>
        <w:spacing w:after="140"/>
      </w:pPr>
      <w:r>
        <w:rPr>
          <w:b/>
          <w:bCs/>
          <w:color w:val="1C2535"/>
          <w:sz w:val="22"/>
          <w:szCs w:val="22"/>
        </w:rPr>
        <w:t xml:space="preserve">CFDI (México, futuro). </w:t>
      </w:r>
      <w:r>
        <w:rPr>
          <w:color w:val="3A4A5C"/>
          <w:sz w:val="22"/>
          <w:szCs w:val="22"/>
        </w:rPr>
        <w:t xml:space="preserve">El equivalente mexicano de factura electrónica fiscal, con su propio conjunto de reglas de validación y de timbrado ante el SAT. Ningún competidor anglosajón (ServiceTitan, Jobber, Tradify, Simpro) tiene ningún incentivo a resolver esto; es terreno exclusivamente de quien construya específicamente para este mercado.</w:t>
      </w:r>
    </w:p>
    <w:p>
      <w:pPr>
        <w:spacing w:after="160"/>
      </w:pPr>
      <w:r>
        <w:rPr>
          <w:color w:val="3A4A5C"/>
          <w:sz w:val="22"/>
          <w:szCs w:val="22"/>
        </w:rPr>
        <w:t xml:space="preserve">Cada mercado fiscal nuevo que TrabFlow resuelve añade una capa de complejidad regulatoria que un competidor genérico tendría que replicar desde cero, mercado por mercado, antes de poder competir en igualdad de condiciones.</w:t>
      </w:r>
    </w:p>
    <w:p>
      <w:pPr>
        <w:pStyle w:val="Heading1"/>
        <w:pageBreakBefore/>
      </w:pPr>
      <w:r>
        <w:t xml:space="preserve">15. Distribution Moat</w:t>
      </w:r>
    </w:p>
    <w:p>
      <w:pPr>
        <w:spacing w:after="160"/>
      </w:pPr>
      <w:r>
        <w:rPr>
          <w:color w:val="3A4A5C"/>
          <w:sz w:val="22"/>
          <w:szCs w:val="22"/>
        </w:rPr>
        <w:t xml:space="preserve">El sector de oficios técnicos en España se organiza, históricamente, alrededor de gremios y asociaciones sectoriales —un canal de distribución y de confianza que no se compra con presupuesto de marketing digital.</w:t>
      </w:r>
    </w:p>
    <w:p>
      <w:pPr>
        <w:spacing w:after="140"/>
      </w:pPr>
      <w:r>
        <w:rPr>
          <w:b/>
          <w:bCs/>
          <w:color w:val="1C2535"/>
          <w:sz w:val="22"/>
          <w:szCs w:val="22"/>
        </w:rPr>
        <w:t xml:space="preserve">CONAIF y FENIE. </w:t>
      </w:r>
      <w:r>
        <w:rPr>
          <w:color w:val="3A4A5C"/>
          <w:sz w:val="22"/>
          <w:szCs w:val="22"/>
        </w:rPr>
        <w:t xml:space="preserve">Las dos confederaciones nacionales de referencia del sector de instalaciones iniciaron en su día un proceso de integración que, combinadas, representan más de 35.000 empresas instaladoras, más de 200.000 trabajadores y un volumen de negocio conjunto superior a 11.500 millones de euros anuales. CONAIF agrupa hoy 74 asociaciones, gremios y federaciones de instaladores repartidas por toda España. Ser el software recomendado dentro de ese tejido asociativo vale más, en confianza, que cualquier campaña de pago.</w:t>
      </w:r>
    </w:p>
    <w:p>
      <w:pPr>
        <w:spacing w:after="140"/>
      </w:pPr>
      <w:r>
        <w:rPr>
          <w:b/>
          <w:bCs/>
          <w:color w:val="1C2535"/>
          <w:sz w:val="22"/>
          <w:szCs w:val="22"/>
        </w:rPr>
        <w:t xml:space="preserve">Gestorías. </w:t>
      </w:r>
      <w:r>
        <w:rPr>
          <w:color w:val="3A4A5C"/>
          <w:sz w:val="22"/>
          <w:szCs w:val="22"/>
        </w:rPr>
        <w:t xml:space="preserve">Una gestoría que ya gestiona la fiscalidad del instalador es un canal de referido natural hacia una herramienta que mejora esa misma fiscalidad —el mismo tipo de relación de confianza de largo plazo que Sialco Asesores mantiene con TrabFlow en su propia gestión societaria.</w:t>
      </w:r>
    </w:p>
    <w:p>
      <w:pPr>
        <w:spacing w:after="140"/>
      </w:pPr>
      <w:r>
        <w:rPr>
          <w:b/>
          <w:bCs/>
          <w:color w:val="1C2535"/>
          <w:sz w:val="22"/>
          <w:szCs w:val="22"/>
        </w:rPr>
        <w:t xml:space="preserve">Embajadores. </w:t>
      </w:r>
      <w:r>
        <w:rPr>
          <w:color w:val="3A4A5C"/>
          <w:sz w:val="22"/>
          <w:szCs w:val="22"/>
        </w:rPr>
        <w:t xml:space="preserve">Instaladores reales, reconocidos dentro de su gremio, que usan y recomiendan TrabFlow generan una credibilidad que ninguna pieza de marketing puede replicar en un sector donde la reputación se transmite de boca en boca dentro de comunidades muy cerradas.</w:t>
      </w:r>
    </w:p>
    <w:p>
      <w:pPr>
        <w:pStyle w:val="Heading1"/>
        <w:pageBreakBefore/>
      </w:pPr>
      <w:r>
        <w:t xml:space="preserve">16. Marketplace Moat</w:t>
      </w:r>
    </w:p>
    <w:p>
      <w:pPr>
        <w:spacing w:after="160"/>
      </w:pPr>
      <w:r>
        <w:rPr>
          <w:color w:val="3A4A5C"/>
          <w:sz w:val="22"/>
          <w:szCs w:val="22"/>
        </w:rPr>
        <w:t xml:space="preserve">La red de proveedores colaboradores y mayoristas de material que ya vive dentro de la plataforma —hoy como módulo de gestión de trabajos externalizados— es el germen de un cuarto moat, distinto de los tres anteriores porque se basa en efectos de red en lugar de en datos propietarios o en cumplimiento normativo.</w:t>
      </w:r>
    </w:p>
    <w:p>
      <w:pPr>
        <w:spacing w:after="160"/>
      </w:pPr>
      <w:r>
        <w:rPr>
          <w:color w:val="3A4A5C"/>
          <w:sz w:val="22"/>
          <w:szCs w:val="22"/>
        </w:rPr>
        <w:t xml:space="preserve">Cuantos más instaladores gestionan a sus proveedores y mayoristas dentro de TrabFlow, más valiosa se vuelve la red para el siguiente instalador que se incorpora —y más defendible se vuelve frente a un competidor que tendría que reconstruir esa red de relaciones comerciales desde cero, no solo copiar una funcionalidad de software.</w:t>
      </w: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VI</w:t>
      </w:r>
    </w:p>
    <w:p>
      <w:pPr>
        <w:spacing w:after="160"/>
      </w:pPr>
    </w:p>
    <w:p>
      <w:pPr>
        <w:jc w:val="center"/>
      </w:pPr>
      <w:r>
        <w:rPr>
          <w:rFonts w:ascii="Arial" w:cs="Arial" w:eastAsia="Arial" w:hAnsi="Arial"/>
          <w:b/>
          <w:bCs/>
          <w:color w:val="1C2535"/>
          <w:sz w:val="44"/>
          <w:szCs w:val="44"/>
        </w:rPr>
        <w:t xml:space="preserve">Modelo de Negocio</w:t>
      </w:r>
    </w:p>
    <w:p>
      <w:pPr>
        <w:spacing w:after="100"/>
      </w:pPr>
    </w:p>
    <w:p>
      <w:pPr>
        <w:jc w:val="center"/>
      </w:pPr>
      <w:r>
        <w:rPr>
          <w:i/>
          <w:iCs/>
          <w:color w:val="1A5A96"/>
          <w:sz w:val="24"/>
          <w:szCs w:val="24"/>
        </w:rPr>
        <w:t xml:space="preserve">Cómo se gana dinero, hoy y a medida que la base de clientes crece</w:t>
      </w:r>
    </w:p>
    <w:p>
      <w:pPr>
        <w:pStyle w:val="Heading1"/>
        <w:pageBreakBefore/>
      </w:pPr>
      <w:r>
        <w:t xml:space="preserve">17.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tblHeader/>
        </w:trPr>
        <w:tc>
          <w:tcPr>
            <w:tcW w:type="dxa" w:w="1700"/>
            <w:shd w:fill="1C2535" w:val="clear"/>
            <w:tcMar>
              <w:top w:type="dxa" w:w="90"/>
              <w:left w:type="dxa" w:w="120"/>
              <w:bottom w:type="dxa" w:w="90"/>
              <w:right w:type="dxa" w:w="120"/>
            </w:tcMar>
            <w:vAlign w:val="center"/>
          </w:tcPr>
          <w:p>
            <w:r>
              <w:rPr>
                <w:b/>
                <w:bCs/>
                <w:color w:val="FFFFFF"/>
                <w:sz w:val="18"/>
                <w:szCs w:val="18"/>
              </w:rPr>
              <w:t xml:space="preserve">Plan</w:t>
            </w:r>
          </w:p>
        </w:tc>
        <w:tc>
          <w:tcPr>
            <w:tcW w:type="dxa" w:w="1500"/>
            <w:shd w:fill="1C2535" w:val="clear"/>
            <w:tcMar>
              <w:top w:type="dxa" w:w="90"/>
              <w:left w:type="dxa" w:w="120"/>
              <w:bottom w:type="dxa" w:w="90"/>
              <w:right w:type="dxa" w:w="120"/>
            </w:tcMar>
            <w:vAlign w:val="center"/>
          </w:tcPr>
          <w:p>
            <w:r>
              <w:rPr>
                <w:b/>
                <w:bCs/>
                <w:color w:val="FFFFFF"/>
                <w:sz w:val="18"/>
                <w:szCs w:val="18"/>
              </w:rPr>
              <w:t xml:space="preserve">Precio</w:t>
            </w:r>
          </w:p>
        </w:tc>
        <w:tc>
          <w:tcPr>
            <w:tcW w:type="dxa" w:w="6160"/>
            <w:shd w:fill="1C2535" w:val="clear"/>
            <w:tcMar>
              <w:top w:type="dxa" w:w="90"/>
              <w:left w:type="dxa" w:w="120"/>
              <w:bottom w:type="dxa" w:w="90"/>
              <w:right w:type="dxa" w:w="120"/>
            </w:tcMar>
            <w:vAlign w:val="center"/>
          </w:tcPr>
          <w:p>
            <w:r>
              <w:rPr>
                <w:b/>
                <w:bCs/>
                <w:color w:val="FFFFFF"/>
                <w:sz w:val="18"/>
                <w:szCs w:val="18"/>
              </w:rPr>
              <w:t xml:space="preserve">Qué incluye</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Básico (oculto)</w:t>
            </w:r>
          </w:p>
        </w:tc>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29€/mes</w:t>
            </w:r>
          </w:p>
        </w:tc>
        <w:tc>
          <w:tcPr>
            <w:tcW w:type="dxa" w:w="6160"/>
            <w:shd w:fill="F7F4F0" w:val="clear"/>
            <w:tcMar>
              <w:top w:type="dxa" w:w="90"/>
              <w:left w:type="dxa" w:w="120"/>
              <w:bottom w:type="dxa" w:w="90"/>
              <w:right w:type="dxa" w:w="120"/>
            </w:tcMar>
            <w:vAlign w:val="center"/>
          </w:tcPr>
          <w:p>
            <w:r>
              <w:rPr>
                <w:b w:val="false"/>
                <w:bCs w:val="false"/>
                <w:color w:val="3A4A5C"/>
                <w:sz w:val="19"/>
                <w:szCs w:val="19"/>
              </w:rPr>
              <w:t xml:space="preserve">No se publicita activamente. Se activa manualmente como oferta de retención cuando un cliente solicita la baja, como última palanca antes de perderlo.</w:t>
            </w:r>
          </w:p>
        </w:tc>
      </w:tr>
      <w:tr>
        <w:tc>
          <w:tcPr>
            <w:tcW w:type="dxa" w:w="1700"/>
            <w:shd w:fill="FFFFFF" w:val="clear"/>
            <w:tcMar>
              <w:top w:type="dxa" w:w="90"/>
              <w:left w:type="dxa" w:w="120"/>
              <w:bottom w:type="dxa" w:w="90"/>
              <w:right w:type="dxa" w:w="120"/>
            </w:tcMar>
            <w:vAlign w:val="center"/>
          </w:tcPr>
          <w:p>
            <w:r>
              <w:rPr>
                <w:b w:val="false"/>
                <w:bCs w:val="false"/>
                <w:color w:val="3A4A5C"/>
                <w:sz w:val="19"/>
                <w:szCs w:val="19"/>
              </w:rPr>
              <w:t xml:space="preserve">Profesional</w:t>
            </w:r>
          </w:p>
        </w:tc>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49€/mes</w:t>
            </w:r>
          </w:p>
        </w:tc>
        <w:tc>
          <w:tcPr>
            <w:tcW w:type="dxa" w:w="6160"/>
            <w:shd w:fill="FFFFFF" w:val="clear"/>
            <w:tcMar>
              <w:top w:type="dxa" w:w="90"/>
              <w:left w:type="dxa" w:w="120"/>
              <w:bottom w:type="dxa" w:w="90"/>
              <w:right w:type="dxa" w:w="120"/>
            </w:tcMar>
            <w:vAlign w:val="center"/>
          </w:tcPr>
          <w:p>
            <w:r>
              <w:rPr>
                <w:b w:val="false"/>
                <w:bCs w:val="false"/>
                <w:color w:val="3A4A5C"/>
                <w:sz w:val="19"/>
                <w:szCs w:val="19"/>
              </w:rPr>
              <w:t xml:space="preserve">Plan de entrada público. Un solo propietario, sin módulo de mantenimiento ni de trabajos externalizados. Es el ARPU de referencia del escenario Base del modelo financiero (Parte VI, Unit Economics).</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Empresa</w:t>
            </w:r>
          </w:p>
        </w:tc>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89€/mes</w:t>
            </w:r>
          </w:p>
        </w:tc>
        <w:tc>
          <w:tcPr>
            <w:tcW w:type="dxa" w:w="6160"/>
            <w:shd w:fill="F7F4F0" w:val="clear"/>
            <w:tcMar>
              <w:top w:type="dxa" w:w="90"/>
              <w:left w:type="dxa" w:w="120"/>
              <w:bottom w:type="dxa" w:w="90"/>
              <w:right w:type="dxa" w:w="120"/>
            </w:tcMar>
            <w:vAlign w:val="center"/>
          </w:tcPr>
          <w:p>
            <w:r>
              <w:rPr>
                <w:b w:val="false"/>
                <w:bCs w:val="false"/>
                <w:color w:val="3A4A5C"/>
                <w:sz w:val="19"/>
                <w:szCs w:val="19"/>
              </w:rPr>
              <w:t xml:space="preserve">Hasta 5 miembros de equipo. Incorpora el módulo de mantenimiento, el de trabajos externalizados y el de gastos.</w:t>
            </w:r>
          </w:p>
        </w:tc>
      </w:tr>
      <w:tr>
        <w:tc>
          <w:tcPr>
            <w:tcW w:type="dxa" w:w="1700"/>
            <w:shd w:fill="FFFFFF" w:val="clear"/>
            <w:tcMar>
              <w:top w:type="dxa" w:w="90"/>
              <w:left w:type="dxa" w:w="120"/>
              <w:bottom w:type="dxa" w:w="90"/>
              <w:right w:type="dxa" w:w="120"/>
            </w:tcMar>
            <w:vAlign w:val="center"/>
          </w:tcPr>
          <w:p>
            <w:r>
              <w:rPr>
                <w:b w:val="false"/>
                <w:bCs w:val="false"/>
                <w:color w:val="3A4A5C"/>
                <w:sz w:val="19"/>
                <w:szCs w:val="19"/>
              </w:rPr>
              <w:t xml:space="preserve">Empresa+</w:t>
            </w:r>
          </w:p>
        </w:tc>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179€/mes</w:t>
            </w:r>
          </w:p>
        </w:tc>
        <w:tc>
          <w:tcPr>
            <w:tcW w:type="dxa" w:w="6160"/>
            <w:shd w:fill="FFFFFF" w:val="clear"/>
            <w:tcMar>
              <w:top w:type="dxa" w:w="90"/>
              <w:left w:type="dxa" w:w="120"/>
              <w:bottom w:type="dxa" w:w="90"/>
              <w:right w:type="dxa" w:w="120"/>
            </w:tcMar>
            <w:vAlign w:val="center"/>
          </w:tcPr>
          <w:p>
            <w:r>
              <w:rPr>
                <w:b w:val="false"/>
                <w:bCs w:val="false"/>
                <w:color w:val="3A4A5C"/>
                <w:sz w:val="19"/>
                <w:szCs w:val="19"/>
              </w:rPr>
              <w:t xml:space="preserve">Hasta 15 miembros de equipo. Conjunto completo de módulos avanzados.</w:t>
            </w:r>
          </w:p>
        </w:tc>
      </w:tr>
    </w:tbl>
    <w:p>
      <w:pPr>
        <w:spacing w:after="160"/>
      </w:pPr>
      <w:r>
        <w:rPr>
          <w:color w:val="3A4A5C"/>
          <w:sz w:val="22"/>
          <w:szCs w:val="22"/>
        </w:rPr>
        <w:t xml:space="preserve">El diseño de precios sigue un principio de expansión natural: el instalador individual entra por 49€/mes y, a medida que su negocio crece —añade técnicos, empieza a subcontratar, firma sus primeros contratos de mantenimiento— el propio crecimiento de su negocio es lo que le empuja a los planes superiores, no una campaña de upselling forzada.</w:t>
      </w:r>
    </w:p>
    <w:p>
      <w:pPr>
        <w:pStyle w:val="Heading1"/>
        <w:pageBreakBefore/>
      </w:pPr>
      <w:r>
        <w:t xml:space="preserve">18. Unit Economics</w:t>
      </w:r>
    </w:p>
    <w:p>
      <w:pPr>
        <w:spacing w:after="160"/>
      </w:pPr>
      <w:r>
        <w:rPr>
          <w:color w:val="3A4A5C"/>
          <w:sz w:val="22"/>
          <w:szCs w:val="22"/>
        </w:rPr>
        <w:t xml:space="preserve">El modelo financiero de TrabFlow construye tres escenarios —Conservador, Base y Agresivo— con un único motor de cálculo: cambian únicamente los supuestos de entrada (altas mensuales, churn, ARPU y CAC), y todo lo demás se deriva por fórmula. Las cifras de esta sección deben leerse como hipótesis de partida a validar con clientes reales, no como resultados ya observados.</w:t>
      </w:r>
    </w:p>
    <w:tbl>
      <w:tblPr>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2600"/>
        <w:gridCol w:w="2050"/>
        <w:gridCol w:w="2050"/>
        <w:gridCol w:w="2050"/>
      </w:tblGrid>
      <w:tr>
        <w:trPr>
          <w:tblHeader/>
        </w:trPr>
        <w:tc>
          <w:tcPr>
            <w:tcW w:type="dxa" w:w="2600"/>
            <w:shd w:fill="1C2535" w:val="clear"/>
            <w:tcMar>
              <w:top w:type="dxa" w:w="90"/>
              <w:left w:type="dxa" w:w="120"/>
              <w:bottom w:type="dxa" w:w="90"/>
              <w:right w:type="dxa" w:w="120"/>
            </w:tcMar>
            <w:vAlign w:val="center"/>
          </w:tcPr>
          <w:p>
            <w:r>
              <w:rPr>
                <w:b/>
                <w:bCs/>
                <w:color w:val="FFFFFF"/>
                <w:sz w:val="18"/>
                <w:szCs w:val="18"/>
              </w:rPr>
              <w:t xml:space="preserve">Supuesto</w:t>
            </w:r>
          </w:p>
        </w:tc>
        <w:tc>
          <w:tcPr>
            <w:tcW w:type="dxa" w:w="2050"/>
            <w:shd w:fill="1C2535" w:val="clear"/>
            <w:tcMar>
              <w:top w:type="dxa" w:w="90"/>
              <w:left w:type="dxa" w:w="120"/>
              <w:bottom w:type="dxa" w:w="90"/>
              <w:right w:type="dxa" w:w="120"/>
            </w:tcMar>
            <w:vAlign w:val="center"/>
          </w:tcPr>
          <w:p>
            <w:r>
              <w:rPr>
                <w:b/>
                <w:bCs/>
                <w:color w:val="FFFFFF"/>
                <w:sz w:val="18"/>
                <w:szCs w:val="18"/>
              </w:rPr>
              <w:t xml:space="preserve">Conservador</w:t>
            </w:r>
          </w:p>
        </w:tc>
        <w:tc>
          <w:tcPr>
            <w:tcW w:type="dxa" w:w="2050"/>
            <w:shd w:fill="1C2535" w:val="clear"/>
            <w:tcMar>
              <w:top w:type="dxa" w:w="90"/>
              <w:left w:type="dxa" w:w="120"/>
              <w:bottom w:type="dxa" w:w="90"/>
              <w:right w:type="dxa" w:w="120"/>
            </w:tcMar>
            <w:vAlign w:val="center"/>
          </w:tcPr>
          <w:p>
            <w:r>
              <w:rPr>
                <w:b/>
                <w:bCs/>
                <w:color w:val="FFFFFF"/>
                <w:sz w:val="18"/>
                <w:szCs w:val="18"/>
              </w:rPr>
              <w:t xml:space="preserve">Base</w:t>
            </w:r>
          </w:p>
        </w:tc>
        <w:tc>
          <w:tcPr>
            <w:tcW w:type="dxa" w:w="2050"/>
            <w:shd w:fill="1C2535" w:val="clear"/>
            <w:tcMar>
              <w:top w:type="dxa" w:w="90"/>
              <w:left w:type="dxa" w:w="120"/>
              <w:bottom w:type="dxa" w:w="90"/>
              <w:right w:type="dxa" w:w="120"/>
            </w:tcMar>
            <w:vAlign w:val="center"/>
          </w:tcPr>
          <w:p>
            <w:r>
              <w:rPr>
                <w:b/>
                <w:bCs/>
                <w:color w:val="FFFFFF"/>
                <w:sz w:val="18"/>
                <w:szCs w:val="18"/>
              </w:rPr>
              <w:t xml:space="preserve">Agresivo</w:t>
            </w:r>
          </w:p>
        </w:tc>
      </w:tr>
      <w:tr>
        <w:tc>
          <w:tcPr>
            <w:tcW w:type="dxa" w:w="2600"/>
            <w:shd w:fill="F7F4F0" w:val="clear"/>
            <w:tcMar>
              <w:top w:type="dxa" w:w="90"/>
              <w:left w:type="dxa" w:w="120"/>
              <w:bottom w:type="dxa" w:w="90"/>
              <w:right w:type="dxa" w:w="120"/>
            </w:tcMar>
            <w:vAlign w:val="center"/>
          </w:tcPr>
          <w:p>
            <w:r>
              <w:rPr>
                <w:b w:val="false"/>
                <w:bCs w:val="false"/>
                <w:color w:val="3A4A5C"/>
                <w:sz w:val="19"/>
                <w:szCs w:val="19"/>
              </w:rPr>
              <w:t xml:space="preserve">Altas netas mensuales</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10</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20</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45</w:t>
            </w:r>
          </w:p>
        </w:tc>
      </w:tr>
      <w:tr>
        <w:tc>
          <w:tcPr>
            <w:tcW w:type="dxa" w:w="2600"/>
            <w:shd w:fill="FFFFFF" w:val="clear"/>
            <w:tcMar>
              <w:top w:type="dxa" w:w="90"/>
              <w:left w:type="dxa" w:w="120"/>
              <w:bottom w:type="dxa" w:w="90"/>
              <w:right w:type="dxa" w:w="120"/>
            </w:tcMar>
            <w:vAlign w:val="center"/>
          </w:tcPr>
          <w:p>
            <w:r>
              <w:rPr>
                <w:b w:val="false"/>
                <w:bCs w:val="false"/>
                <w:color w:val="3A4A5C"/>
                <w:sz w:val="19"/>
                <w:szCs w:val="19"/>
              </w:rPr>
              <w:t xml:space="preserve">Churn mensual</w:t>
            </w:r>
          </w:p>
        </w:tc>
        <w:tc>
          <w:tcPr>
            <w:tcW w:type="dxa" w:w="2050"/>
            <w:shd w:fill="FFFFFF" w:val="clear"/>
            <w:tcMar>
              <w:top w:type="dxa" w:w="90"/>
              <w:left w:type="dxa" w:w="120"/>
              <w:bottom w:type="dxa" w:w="90"/>
              <w:right w:type="dxa" w:w="120"/>
            </w:tcMar>
            <w:vAlign w:val="center"/>
          </w:tcPr>
          <w:p>
            <w:r>
              <w:rPr>
                <w:b w:val="false"/>
                <w:bCs w:val="false"/>
                <w:color w:val="3A4A5C"/>
                <w:sz w:val="19"/>
                <w:szCs w:val="19"/>
              </w:rPr>
              <w:t xml:space="preserve">3,5%</w:t>
            </w:r>
          </w:p>
        </w:tc>
        <w:tc>
          <w:tcPr>
            <w:tcW w:type="dxa" w:w="2050"/>
            <w:shd w:fill="FFFFFF" w:val="clear"/>
            <w:tcMar>
              <w:top w:type="dxa" w:w="90"/>
              <w:left w:type="dxa" w:w="120"/>
              <w:bottom w:type="dxa" w:w="90"/>
              <w:right w:type="dxa" w:w="120"/>
            </w:tcMar>
            <w:vAlign w:val="center"/>
          </w:tcPr>
          <w:p>
            <w:r>
              <w:rPr>
                <w:b w:val="false"/>
                <w:bCs w:val="false"/>
                <w:color w:val="3A4A5C"/>
                <w:sz w:val="19"/>
                <w:szCs w:val="19"/>
              </w:rPr>
              <w:t xml:space="preserve">2,0%</w:t>
            </w:r>
          </w:p>
        </w:tc>
        <w:tc>
          <w:tcPr>
            <w:tcW w:type="dxa" w:w="2050"/>
            <w:shd w:fill="FFFFFF" w:val="clear"/>
            <w:tcMar>
              <w:top w:type="dxa" w:w="90"/>
              <w:left w:type="dxa" w:w="120"/>
              <w:bottom w:type="dxa" w:w="90"/>
              <w:right w:type="dxa" w:w="120"/>
            </w:tcMar>
            <w:vAlign w:val="center"/>
          </w:tcPr>
          <w:p>
            <w:r>
              <w:rPr>
                <w:b w:val="false"/>
                <w:bCs w:val="false"/>
                <w:color w:val="3A4A5C"/>
                <w:sz w:val="19"/>
                <w:szCs w:val="19"/>
              </w:rPr>
              <w:t xml:space="preserve">1,5%</w:t>
            </w:r>
          </w:p>
        </w:tc>
      </w:tr>
      <w:tr>
        <w:tc>
          <w:tcPr>
            <w:tcW w:type="dxa" w:w="2600"/>
            <w:shd w:fill="F7F4F0" w:val="clear"/>
            <w:tcMar>
              <w:top w:type="dxa" w:w="90"/>
              <w:left w:type="dxa" w:w="120"/>
              <w:bottom w:type="dxa" w:w="90"/>
              <w:right w:type="dxa" w:w="120"/>
            </w:tcMar>
            <w:vAlign w:val="center"/>
          </w:tcPr>
          <w:p>
            <w:r>
              <w:rPr>
                <w:b w:val="false"/>
                <w:bCs w:val="false"/>
                <w:color w:val="3A4A5C"/>
                <w:sz w:val="19"/>
                <w:szCs w:val="19"/>
              </w:rPr>
              <w:t xml:space="preserve">ARPU mensual</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45€</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49€</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60€</w:t>
            </w:r>
          </w:p>
        </w:tc>
      </w:tr>
      <w:tr>
        <w:tc>
          <w:tcPr>
            <w:tcW w:type="dxa" w:w="2600"/>
            <w:shd w:fill="FFFFFF" w:val="clear"/>
            <w:tcMar>
              <w:top w:type="dxa" w:w="90"/>
              <w:left w:type="dxa" w:w="120"/>
              <w:bottom w:type="dxa" w:w="90"/>
              <w:right w:type="dxa" w:w="120"/>
            </w:tcMar>
            <w:vAlign w:val="center"/>
          </w:tcPr>
          <w:p>
            <w:r>
              <w:rPr>
                <w:b w:val="false"/>
                <w:bCs w:val="false"/>
                <w:color w:val="3A4A5C"/>
                <w:sz w:val="19"/>
                <w:szCs w:val="19"/>
              </w:rPr>
              <w:t xml:space="preserve">CAC</w:t>
            </w:r>
          </w:p>
        </w:tc>
        <w:tc>
          <w:tcPr>
            <w:tcW w:type="dxa" w:w="2050"/>
            <w:shd w:fill="FFFFFF" w:val="clear"/>
            <w:tcMar>
              <w:top w:type="dxa" w:w="90"/>
              <w:left w:type="dxa" w:w="120"/>
              <w:bottom w:type="dxa" w:w="90"/>
              <w:right w:type="dxa" w:w="120"/>
            </w:tcMar>
            <w:vAlign w:val="center"/>
          </w:tcPr>
          <w:p>
            <w:r>
              <w:rPr>
                <w:b w:val="false"/>
                <w:bCs w:val="false"/>
                <w:color w:val="3A4A5C"/>
                <w:sz w:val="19"/>
                <w:szCs w:val="19"/>
              </w:rPr>
              <w:t xml:space="preserve">150€</w:t>
            </w:r>
          </w:p>
        </w:tc>
        <w:tc>
          <w:tcPr>
            <w:tcW w:type="dxa" w:w="2050"/>
            <w:shd w:fill="FFFFFF" w:val="clear"/>
            <w:tcMar>
              <w:top w:type="dxa" w:w="90"/>
              <w:left w:type="dxa" w:w="120"/>
              <w:bottom w:type="dxa" w:w="90"/>
              <w:right w:type="dxa" w:w="120"/>
            </w:tcMar>
            <w:vAlign w:val="center"/>
          </w:tcPr>
          <w:p>
            <w:r>
              <w:rPr>
                <w:b w:val="false"/>
                <w:bCs w:val="false"/>
                <w:color w:val="3A4A5C"/>
                <w:sz w:val="19"/>
                <w:szCs w:val="19"/>
              </w:rPr>
              <w:t xml:space="preserve">120€</w:t>
            </w:r>
          </w:p>
        </w:tc>
        <w:tc>
          <w:tcPr>
            <w:tcW w:type="dxa" w:w="2050"/>
            <w:shd w:fill="FFFFFF" w:val="clear"/>
            <w:tcMar>
              <w:top w:type="dxa" w:w="90"/>
              <w:left w:type="dxa" w:w="120"/>
              <w:bottom w:type="dxa" w:w="90"/>
              <w:right w:type="dxa" w:w="120"/>
            </w:tcMar>
            <w:vAlign w:val="center"/>
          </w:tcPr>
          <w:p>
            <w:r>
              <w:rPr>
                <w:b w:val="false"/>
                <w:bCs w:val="false"/>
                <w:color w:val="3A4A5C"/>
                <w:sz w:val="19"/>
                <w:szCs w:val="19"/>
              </w:rPr>
              <w:t xml:space="preserve">95€</w:t>
            </w:r>
          </w:p>
        </w:tc>
      </w:tr>
      <w:tr>
        <w:tc>
          <w:tcPr>
            <w:tcW w:type="dxa" w:w="2600"/>
            <w:shd w:fill="F7F4F0" w:val="clear"/>
            <w:tcMar>
              <w:top w:type="dxa" w:w="90"/>
              <w:left w:type="dxa" w:w="120"/>
              <w:bottom w:type="dxa" w:w="90"/>
              <w:right w:type="dxa" w:w="120"/>
            </w:tcMar>
            <w:vAlign w:val="center"/>
          </w:tcPr>
          <w:p>
            <w:r>
              <w:rPr>
                <w:b w:val="false"/>
                <w:bCs w:val="false"/>
                <w:color w:val="3A4A5C"/>
                <w:sz w:val="19"/>
                <w:szCs w:val="19"/>
              </w:rPr>
              <w:t xml:space="preserve">Vida media estimada (meses)</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28,6</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50,0</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66,7</w:t>
            </w:r>
          </w:p>
        </w:tc>
      </w:tr>
    </w:tbl>
    <w:p>
      <w:pPr>
        <w:pStyle w:val="Heading2"/>
      </w:pPr>
      <w:r>
        <w:t xml:space="preserve">LTV, CAC y payback por escenario</w:t>
      </w:r>
    </w:p>
    <w:tbl>
      <w:tblPr>
        <w:tblW w:type="dxa" w:w="9690"/>
        <w:tblBorders>
          <w:top w:val="single" w:color="auto" w:sz="4"/>
          <w:left w:val="single" w:color="auto" w:sz="4"/>
          <w:bottom w:val="single" w:color="auto" w:sz="4"/>
          <w:right w:val="single" w:color="auto" w:sz="4"/>
          <w:insideH w:val="single" w:color="auto" w:sz="4"/>
          <w:insideV w:val="single" w:color="auto" w:sz="4"/>
        </w:tblBorders>
      </w:tblPr>
      <w:tblGrid>
        <w:gridCol w:w="3160"/>
        <w:gridCol w:w="2160"/>
        <w:gridCol w:w="2160"/>
        <w:gridCol w:w="2210"/>
      </w:tblGrid>
      <w:tr>
        <w:trPr>
          <w:tblHeader/>
        </w:trPr>
        <w:tc>
          <w:tcPr>
            <w:tcW w:type="dxa" w:w="3160"/>
            <w:shd w:fill="1C2535" w:val="clear"/>
            <w:tcMar>
              <w:top w:type="dxa" w:w="90"/>
              <w:left w:type="dxa" w:w="120"/>
              <w:bottom w:type="dxa" w:w="90"/>
              <w:right w:type="dxa" w:w="120"/>
            </w:tcMar>
            <w:vAlign w:val="center"/>
          </w:tcPr>
          <w:p>
            <w:r>
              <w:rPr>
                <w:b/>
                <w:bCs/>
                <w:color w:val="FFFFFF"/>
                <w:sz w:val="18"/>
                <w:szCs w:val="18"/>
              </w:rPr>
              <w:t xml:space="preserve">Métrica</w:t>
            </w:r>
          </w:p>
        </w:tc>
        <w:tc>
          <w:tcPr>
            <w:tcW w:type="dxa" w:w="2160"/>
            <w:shd w:fill="1C2535" w:val="clear"/>
            <w:tcMar>
              <w:top w:type="dxa" w:w="90"/>
              <w:left w:type="dxa" w:w="120"/>
              <w:bottom w:type="dxa" w:w="90"/>
              <w:right w:type="dxa" w:w="120"/>
            </w:tcMar>
            <w:vAlign w:val="center"/>
          </w:tcPr>
          <w:p>
            <w:r>
              <w:rPr>
                <w:b/>
                <w:bCs/>
                <w:color w:val="FFFFFF"/>
                <w:sz w:val="18"/>
                <w:szCs w:val="18"/>
              </w:rPr>
              <w:t xml:space="preserve">Conservador</w:t>
            </w:r>
          </w:p>
        </w:tc>
        <w:tc>
          <w:tcPr>
            <w:tcW w:type="dxa" w:w="2160"/>
            <w:shd w:fill="1C2535" w:val="clear"/>
            <w:tcMar>
              <w:top w:type="dxa" w:w="90"/>
              <w:left w:type="dxa" w:w="120"/>
              <w:bottom w:type="dxa" w:w="90"/>
              <w:right w:type="dxa" w:w="120"/>
            </w:tcMar>
            <w:vAlign w:val="center"/>
          </w:tcPr>
          <w:p>
            <w:r>
              <w:rPr>
                <w:b/>
                <w:bCs/>
                <w:color w:val="FFFFFF"/>
                <w:sz w:val="18"/>
                <w:szCs w:val="18"/>
              </w:rPr>
              <w:t xml:space="preserve">Base</w:t>
            </w:r>
          </w:p>
        </w:tc>
        <w:tc>
          <w:tcPr>
            <w:tcW w:type="dxa" w:w="2210"/>
            <w:shd w:fill="1C2535" w:val="clear"/>
            <w:tcMar>
              <w:top w:type="dxa" w:w="90"/>
              <w:left w:type="dxa" w:w="120"/>
              <w:bottom w:type="dxa" w:w="90"/>
              <w:right w:type="dxa" w:w="120"/>
            </w:tcMar>
            <w:vAlign w:val="center"/>
          </w:tcPr>
          <w:p>
            <w:r>
              <w:rPr>
                <w:b/>
                <w:bCs/>
                <w:color w:val="FFFFFF"/>
                <w:sz w:val="18"/>
                <w:szCs w:val="18"/>
              </w:rPr>
              <w:t xml:space="preserve">Agresivo</w:t>
            </w:r>
          </w:p>
        </w:tc>
      </w:tr>
      <w:tr>
        <w:tc>
          <w:tcPr>
            <w:tcW w:type="dxa" w:w="3160"/>
            <w:shd w:fill="F7F4F0" w:val="clear"/>
            <w:tcMar>
              <w:top w:type="dxa" w:w="90"/>
              <w:left w:type="dxa" w:w="120"/>
              <w:bottom w:type="dxa" w:w="90"/>
              <w:right w:type="dxa" w:w="120"/>
            </w:tcMar>
            <w:vAlign w:val="center"/>
          </w:tcPr>
          <w:p>
            <w:r>
              <w:rPr>
                <w:b w:val="false"/>
                <w:bCs w:val="false"/>
                <w:color w:val="3A4A5C"/>
                <w:sz w:val="19"/>
                <w:szCs w:val="19"/>
              </w:rPr>
              <w:t xml:space="preserve">LTV neto (margen de contribución × vida media)</w:t>
            </w:r>
          </w:p>
        </w:tc>
        <w:tc>
          <w:tcPr>
            <w:tcW w:type="dxa" w:w="2160"/>
            <w:shd w:fill="F7F4F0" w:val="clear"/>
            <w:tcMar>
              <w:top w:type="dxa" w:w="90"/>
              <w:left w:type="dxa" w:w="120"/>
              <w:bottom w:type="dxa" w:w="90"/>
              <w:right w:type="dxa" w:w="120"/>
            </w:tcMar>
            <w:vAlign w:val="center"/>
          </w:tcPr>
          <w:p>
            <w:r>
              <w:rPr>
                <w:b w:val="false"/>
                <w:bCs w:val="false"/>
                <w:color w:val="3A4A5C"/>
                <w:sz w:val="19"/>
                <w:szCs w:val="19"/>
              </w:rPr>
              <w:t xml:space="preserve">1.143€</w:t>
            </w:r>
          </w:p>
        </w:tc>
        <w:tc>
          <w:tcPr>
            <w:tcW w:type="dxa" w:w="2160"/>
            <w:shd w:fill="F7F4F0" w:val="clear"/>
            <w:tcMar>
              <w:top w:type="dxa" w:w="90"/>
              <w:left w:type="dxa" w:w="120"/>
              <w:bottom w:type="dxa" w:w="90"/>
              <w:right w:type="dxa" w:w="120"/>
            </w:tcMar>
            <w:vAlign w:val="center"/>
          </w:tcPr>
          <w:p>
            <w:r>
              <w:rPr>
                <w:b w:val="false"/>
                <w:bCs w:val="false"/>
                <w:color w:val="3A4A5C"/>
                <w:sz w:val="19"/>
                <w:szCs w:val="19"/>
              </w:rPr>
              <w:t xml:space="preserve">2.200€</w:t>
            </w:r>
          </w:p>
        </w:tc>
        <w:tc>
          <w:tcPr>
            <w:tcW w:type="dxa" w:w="2210"/>
            <w:shd w:fill="F7F4F0" w:val="clear"/>
            <w:tcMar>
              <w:top w:type="dxa" w:w="90"/>
              <w:left w:type="dxa" w:w="120"/>
              <w:bottom w:type="dxa" w:w="90"/>
              <w:right w:type="dxa" w:w="120"/>
            </w:tcMar>
            <w:vAlign w:val="center"/>
          </w:tcPr>
          <w:p>
            <w:r>
              <w:rPr>
                <w:b w:val="false"/>
                <w:bCs w:val="false"/>
                <w:color w:val="3A4A5C"/>
                <w:sz w:val="19"/>
                <w:szCs w:val="19"/>
              </w:rPr>
              <w:t xml:space="preserve">3.667€</w:t>
            </w:r>
          </w:p>
        </w:tc>
      </w:tr>
      <w:tr>
        <w:tc>
          <w:tcPr>
            <w:tcW w:type="dxa" w:w="3160"/>
            <w:shd w:fill="FFFFFF" w:val="clear"/>
            <w:tcMar>
              <w:top w:type="dxa" w:w="90"/>
              <w:left w:type="dxa" w:w="120"/>
              <w:bottom w:type="dxa" w:w="90"/>
              <w:right w:type="dxa" w:w="120"/>
            </w:tcMar>
            <w:vAlign w:val="center"/>
          </w:tcPr>
          <w:p>
            <w:r>
              <w:rPr>
                <w:b w:val="false"/>
                <w:bCs w:val="false"/>
                <w:color w:val="3A4A5C"/>
                <w:sz w:val="19"/>
                <w:szCs w:val="19"/>
              </w:rPr>
              <w:t xml:space="preserve">Ratio LTV:CAC (neto)</w:t>
            </w:r>
          </w:p>
        </w:tc>
        <w:tc>
          <w:tcPr>
            <w:tcW w:type="dxa" w:w="2160"/>
            <w:shd w:fill="FFFFFF" w:val="clear"/>
            <w:tcMar>
              <w:top w:type="dxa" w:w="90"/>
              <w:left w:type="dxa" w:w="120"/>
              <w:bottom w:type="dxa" w:w="90"/>
              <w:right w:type="dxa" w:w="120"/>
            </w:tcMar>
            <w:vAlign w:val="center"/>
          </w:tcPr>
          <w:p>
            <w:r>
              <w:rPr>
                <w:b w:val="false"/>
                <w:bCs w:val="false"/>
                <w:color w:val="3A4A5C"/>
                <w:sz w:val="19"/>
                <w:szCs w:val="19"/>
              </w:rPr>
              <w:t xml:space="preserve">7,6x</w:t>
            </w:r>
          </w:p>
        </w:tc>
        <w:tc>
          <w:tcPr>
            <w:tcW w:type="dxa" w:w="2160"/>
            <w:shd w:fill="FFFFFF" w:val="clear"/>
            <w:tcMar>
              <w:top w:type="dxa" w:w="90"/>
              <w:left w:type="dxa" w:w="120"/>
              <w:bottom w:type="dxa" w:w="90"/>
              <w:right w:type="dxa" w:w="120"/>
            </w:tcMar>
            <w:vAlign w:val="center"/>
          </w:tcPr>
          <w:p>
            <w:r>
              <w:rPr>
                <w:b w:val="false"/>
                <w:bCs w:val="false"/>
                <w:color w:val="3A4A5C"/>
                <w:sz w:val="19"/>
                <w:szCs w:val="19"/>
              </w:rPr>
              <w:t xml:space="preserve">18,3x</w:t>
            </w:r>
          </w:p>
        </w:tc>
        <w:tc>
          <w:tcPr>
            <w:tcW w:type="dxa" w:w="2210"/>
            <w:shd w:fill="FFFFFF" w:val="clear"/>
            <w:tcMar>
              <w:top w:type="dxa" w:w="90"/>
              <w:left w:type="dxa" w:w="120"/>
              <w:bottom w:type="dxa" w:w="90"/>
              <w:right w:type="dxa" w:w="120"/>
            </w:tcMar>
            <w:vAlign w:val="center"/>
          </w:tcPr>
          <w:p>
            <w:r>
              <w:rPr>
                <w:b w:val="false"/>
                <w:bCs w:val="false"/>
                <w:color w:val="3A4A5C"/>
                <w:sz w:val="19"/>
                <w:szCs w:val="19"/>
              </w:rPr>
              <w:t xml:space="preserve">38,6x</w:t>
            </w:r>
          </w:p>
        </w:tc>
      </w:tr>
      <w:tr>
        <w:tc>
          <w:tcPr>
            <w:tcW w:type="dxa" w:w="3160"/>
            <w:shd w:fill="F7F4F0" w:val="clear"/>
            <w:tcMar>
              <w:top w:type="dxa" w:w="90"/>
              <w:left w:type="dxa" w:w="120"/>
              <w:bottom w:type="dxa" w:w="90"/>
              <w:right w:type="dxa" w:w="120"/>
            </w:tcMar>
            <w:vAlign w:val="center"/>
          </w:tcPr>
          <w:p>
            <w:r>
              <w:rPr>
                <w:b w:val="false"/>
                <w:bCs w:val="false"/>
                <w:color w:val="3A4A5C"/>
                <w:sz w:val="19"/>
                <w:szCs w:val="19"/>
              </w:rPr>
              <w:t xml:space="preserve">Periodo de recuperación del CAC (payback)</w:t>
            </w:r>
          </w:p>
        </w:tc>
        <w:tc>
          <w:tcPr>
            <w:tcW w:type="dxa" w:w="2160"/>
            <w:shd w:fill="F7F4F0" w:val="clear"/>
            <w:tcMar>
              <w:top w:type="dxa" w:w="90"/>
              <w:left w:type="dxa" w:w="120"/>
              <w:bottom w:type="dxa" w:w="90"/>
              <w:right w:type="dxa" w:w="120"/>
            </w:tcMar>
            <w:vAlign w:val="center"/>
          </w:tcPr>
          <w:p>
            <w:r>
              <w:rPr>
                <w:b w:val="false"/>
                <w:bCs w:val="false"/>
                <w:color w:val="3A4A5C"/>
                <w:sz w:val="19"/>
                <w:szCs w:val="19"/>
              </w:rPr>
              <w:t xml:space="preserve">3,8 meses</w:t>
            </w:r>
          </w:p>
        </w:tc>
        <w:tc>
          <w:tcPr>
            <w:tcW w:type="dxa" w:w="2160"/>
            <w:shd w:fill="F7F4F0" w:val="clear"/>
            <w:tcMar>
              <w:top w:type="dxa" w:w="90"/>
              <w:left w:type="dxa" w:w="120"/>
              <w:bottom w:type="dxa" w:w="90"/>
              <w:right w:type="dxa" w:w="120"/>
            </w:tcMar>
            <w:vAlign w:val="center"/>
          </w:tcPr>
          <w:p>
            <w:r>
              <w:rPr>
                <w:b w:val="false"/>
                <w:bCs w:val="false"/>
                <w:color w:val="3A4A5C"/>
                <w:sz w:val="19"/>
                <w:szCs w:val="19"/>
              </w:rPr>
              <w:t xml:space="preserve">2,7 meses</w:t>
            </w:r>
          </w:p>
        </w:tc>
        <w:tc>
          <w:tcPr>
            <w:tcW w:type="dxa" w:w="2210"/>
            <w:shd w:fill="F7F4F0" w:val="clear"/>
            <w:tcMar>
              <w:top w:type="dxa" w:w="90"/>
              <w:left w:type="dxa" w:w="120"/>
              <w:bottom w:type="dxa" w:w="90"/>
              <w:right w:type="dxa" w:w="120"/>
            </w:tcMar>
            <w:vAlign w:val="center"/>
          </w:tcPr>
          <w:p>
            <w:r>
              <w:rPr>
                <w:b w:val="false"/>
                <w:bCs w:val="false"/>
                <w:color w:val="3A4A5C"/>
                <w:sz w:val="19"/>
                <w:szCs w:val="19"/>
              </w:rPr>
              <w:t xml:space="preserve">1,7 meses</w:t>
            </w:r>
          </w:p>
        </w:tc>
      </w:tr>
    </w:tbl>
    <w:p>
      <w:pPr>
        <w:pBdr>
          <w:left w:val="single" w:color="C8922A" w:sz="18" w:space="8"/>
        </w:pBdr>
        <w:spacing w:after="200" w:before="120"/>
        <w:ind w:left="360"/>
      </w:pPr>
      <w:r>
        <w:rPr>
          <w:rFonts w:ascii="Georgia" w:cs="Georgia" w:eastAsia="Georgia" w:hAnsi="Georgia"/>
          <w:i/>
          <w:iCs/>
          <w:color w:val="1C2535"/>
          <w:sz w:val="25"/>
          <w:szCs w:val="25"/>
        </w:rPr>
        <w:t xml:space="preserve">Un ratio LTV:CAC de 18x–39x es excepcional, no típico —y precisamente por eso debe tratarse con cautela: CAC y churn son supuestos de modelo, no datos observados con clientes de pago reales. Incluso en el escenario Conservador, el ratio (7,6x) se mantiene muy por encima del umbral de referencia del sector SaaS B2B (3x), lo que sugiere margen de seguridad razonable en las hipótesis de partida.</w:t>
      </w:r>
    </w:p>
    <w:p>
      <w:pPr>
        <w:pStyle w:val="Heading2"/>
      </w:pPr>
      <w:r>
        <w:t xml:space="preserve">Trayectoria financiera a 3 años, por 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700"/>
        <w:gridCol w:w="2160"/>
      </w:tblGrid>
      <w:tr>
        <w:trPr>
          <w:tblHeader/>
        </w:trPr>
        <w:tc>
          <w:tcPr>
            <w:tcW w:type="dxa" w:w="2200"/>
            <w:shd w:fill="1C2535" w:val="clear"/>
            <w:tcMar>
              <w:top w:type="dxa" w:w="90"/>
              <w:left w:type="dxa" w:w="120"/>
              <w:bottom w:type="dxa" w:w="90"/>
              <w:right w:type="dxa" w:w="120"/>
            </w:tcMar>
            <w:vAlign w:val="center"/>
          </w:tcPr>
          <w:p>
            <w:r>
              <w:rPr>
                <w:b/>
                <w:bCs/>
                <w:color w:val="FFFFFF"/>
                <w:sz w:val="18"/>
                <w:szCs w:val="18"/>
              </w:rPr>
              <w:t xml:space="preserve">Escenario</w:t>
            </w:r>
          </w:p>
        </w:tc>
        <w:tc>
          <w:tcPr>
            <w:tcW w:type="dxa" w:w="2300"/>
            <w:shd w:fill="1C2535" w:val="clear"/>
            <w:tcMar>
              <w:top w:type="dxa" w:w="90"/>
              <w:left w:type="dxa" w:w="120"/>
              <w:bottom w:type="dxa" w:w="90"/>
              <w:right w:type="dxa" w:w="120"/>
            </w:tcMar>
            <w:vAlign w:val="center"/>
          </w:tcPr>
          <w:p>
            <w:r>
              <w:rPr>
                <w:b/>
                <w:bCs/>
                <w:color w:val="FFFFFF"/>
                <w:sz w:val="18"/>
                <w:szCs w:val="18"/>
              </w:rPr>
              <w:t xml:space="preserve">ARR — Año 1</w:t>
            </w:r>
          </w:p>
        </w:tc>
        <w:tc>
          <w:tcPr>
            <w:tcW w:type="dxa" w:w="2700"/>
            <w:shd w:fill="1C2535" w:val="clear"/>
            <w:tcMar>
              <w:top w:type="dxa" w:w="90"/>
              <w:left w:type="dxa" w:w="120"/>
              <w:bottom w:type="dxa" w:w="90"/>
              <w:right w:type="dxa" w:w="120"/>
            </w:tcMar>
            <w:vAlign w:val="center"/>
          </w:tcPr>
          <w:p>
            <w:r>
              <w:rPr>
                <w:b/>
                <w:bCs/>
                <w:color w:val="FFFFFF"/>
                <w:sz w:val="18"/>
                <w:szCs w:val="18"/>
              </w:rPr>
              <w:t xml:space="preserve">ARR — Año 2</w:t>
            </w:r>
          </w:p>
        </w:tc>
        <w:tc>
          <w:tcPr>
            <w:tcW w:type="dxa" w:w="2160"/>
            <w:shd w:fill="1C2535" w:val="clear"/>
            <w:tcMar>
              <w:top w:type="dxa" w:w="90"/>
              <w:left w:type="dxa" w:w="120"/>
              <w:bottom w:type="dxa" w:w="90"/>
              <w:right w:type="dxa" w:w="120"/>
            </w:tcMar>
            <w:vAlign w:val="center"/>
          </w:tcPr>
          <w:p>
            <w:r>
              <w:rPr>
                <w:b/>
                <w:bCs/>
                <w:color w:val="FFFFFF"/>
                <w:sz w:val="18"/>
                <w:szCs w:val="18"/>
              </w:rPr>
              <w:t xml:space="preserve">ARR — Año 3</w:t>
            </w:r>
          </w:p>
        </w:tc>
      </w:tr>
      <w:tr>
        <w:tc>
          <w:tcPr>
            <w:tcW w:type="dxa" w:w="2200"/>
            <w:shd w:fill="F7F4F0" w:val="clear"/>
            <w:tcMar>
              <w:top w:type="dxa" w:w="90"/>
              <w:left w:type="dxa" w:w="120"/>
              <w:bottom w:type="dxa" w:w="90"/>
              <w:right w:type="dxa" w:w="120"/>
            </w:tcMar>
            <w:vAlign w:val="center"/>
          </w:tcPr>
          <w:p>
            <w:r>
              <w:rPr>
                <w:b w:val="false"/>
                <w:bCs w:val="false"/>
                <w:color w:val="3A4A5C"/>
                <w:sz w:val="19"/>
                <w:szCs w:val="19"/>
              </w:rPr>
              <w:t xml:space="preserve">Conservador</w:t>
            </w:r>
          </w:p>
        </w:tc>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71.280€</w:t>
            </w:r>
          </w:p>
        </w:tc>
        <w:tc>
          <w:tcPr>
            <w:tcW w:type="dxa" w:w="2700"/>
            <w:shd w:fill="F7F4F0" w:val="clear"/>
            <w:tcMar>
              <w:top w:type="dxa" w:w="90"/>
              <w:left w:type="dxa" w:w="120"/>
              <w:bottom w:type="dxa" w:w="90"/>
              <w:right w:type="dxa" w:w="120"/>
            </w:tcMar>
            <w:vAlign w:val="center"/>
          </w:tcPr>
          <w:p>
            <w:r>
              <w:rPr>
                <w:b w:val="false"/>
                <w:bCs w:val="false"/>
                <w:color w:val="3A4A5C"/>
                <w:sz w:val="19"/>
                <w:szCs w:val="19"/>
              </w:rPr>
              <w:t xml:space="preserve">100.156€</w:t>
            </w:r>
          </w:p>
        </w:tc>
        <w:tc>
          <w:tcPr>
            <w:tcW w:type="dxa" w:w="2160"/>
            <w:shd w:fill="F7F4F0" w:val="clear"/>
            <w:tcMar>
              <w:top w:type="dxa" w:w="90"/>
              <w:left w:type="dxa" w:w="120"/>
              <w:bottom w:type="dxa" w:w="90"/>
              <w:right w:type="dxa" w:w="120"/>
            </w:tcMar>
            <w:vAlign w:val="center"/>
          </w:tcPr>
          <w:p>
            <w:r>
              <w:rPr>
                <w:b w:val="false"/>
                <w:bCs w:val="false"/>
                <w:color w:val="3A4A5C"/>
                <w:sz w:val="19"/>
                <w:szCs w:val="19"/>
              </w:rPr>
              <w:t xml:space="preserve">118.987€</w:t>
            </w:r>
          </w:p>
        </w:tc>
      </w:tr>
      <w:tr>
        <w:tc>
          <w:tcPr>
            <w:tcW w:type="dxa" w:w="2200"/>
            <w:shd w:fill="FFFFFF" w:val="clear"/>
            <w:tcMar>
              <w:top w:type="dxa" w:w="90"/>
              <w:left w:type="dxa" w:w="120"/>
              <w:bottom w:type="dxa" w:w="90"/>
              <w:right w:type="dxa" w:w="120"/>
            </w:tcMar>
            <w:vAlign w:val="center"/>
          </w:tcPr>
          <w:p>
            <w:r>
              <w:rPr>
                <w:b w:val="false"/>
                <w:bCs w:val="false"/>
                <w:color w:val="3A4A5C"/>
                <w:sz w:val="19"/>
                <w:szCs w:val="19"/>
              </w:rPr>
              <w:t xml:space="preserve">Base</w:t>
            </w:r>
          </w:p>
        </w:tc>
        <w:tc>
          <w:tcPr>
            <w:tcW w:type="dxa" w:w="2300"/>
            <w:shd w:fill="FFFFFF" w:val="clear"/>
            <w:tcMar>
              <w:top w:type="dxa" w:w="90"/>
              <w:left w:type="dxa" w:w="120"/>
              <w:bottom w:type="dxa" w:w="90"/>
              <w:right w:type="dxa" w:w="120"/>
            </w:tcMar>
            <w:vAlign w:val="center"/>
          </w:tcPr>
          <w:p>
            <w:r>
              <w:rPr>
                <w:b w:val="false"/>
                <w:bCs w:val="false"/>
                <w:color w:val="3A4A5C"/>
                <w:sz w:val="19"/>
                <w:szCs w:val="19"/>
              </w:rPr>
              <w:t xml:space="preserve">149.657€</w:t>
            </w:r>
          </w:p>
        </w:tc>
        <w:tc>
          <w:tcPr>
            <w:tcW w:type="dxa" w:w="2700"/>
            <w:shd w:fill="FFFFFF" w:val="clear"/>
            <w:tcMar>
              <w:top w:type="dxa" w:w="90"/>
              <w:left w:type="dxa" w:w="120"/>
              <w:bottom w:type="dxa" w:w="90"/>
              <w:right w:type="dxa" w:w="120"/>
            </w:tcMar>
            <w:vAlign w:val="center"/>
          </w:tcPr>
          <w:p>
            <w:r>
              <w:rPr>
                <w:b w:val="false"/>
                <w:bCs w:val="false"/>
                <w:color w:val="3A4A5C"/>
                <w:sz w:val="19"/>
                <w:szCs w:val="19"/>
              </w:rPr>
              <w:t xml:space="preserve">244.025€</w:t>
            </w:r>
          </w:p>
        </w:tc>
        <w:tc>
          <w:tcPr>
            <w:tcW w:type="dxa" w:w="2160"/>
            <w:shd w:fill="FFFFFF" w:val="clear"/>
            <w:tcMar>
              <w:top w:type="dxa" w:w="90"/>
              <w:left w:type="dxa" w:w="120"/>
              <w:bottom w:type="dxa" w:w="90"/>
              <w:right w:type="dxa" w:w="120"/>
            </w:tcMar>
            <w:vAlign w:val="center"/>
          </w:tcPr>
          <w:p>
            <w:r>
              <w:rPr>
                <w:b w:val="false"/>
                <w:bCs w:val="false"/>
                <w:color w:val="3A4A5C"/>
                <w:sz w:val="19"/>
                <w:szCs w:val="19"/>
              </w:rPr>
              <w:t xml:space="preserve">318.077€</w:t>
            </w:r>
          </w:p>
        </w:tc>
      </w:tr>
      <w:tr>
        <w:tc>
          <w:tcPr>
            <w:tcW w:type="dxa" w:w="2200"/>
            <w:shd w:fill="F7F4F0" w:val="clear"/>
            <w:tcMar>
              <w:top w:type="dxa" w:w="90"/>
              <w:left w:type="dxa" w:w="120"/>
              <w:bottom w:type="dxa" w:w="90"/>
              <w:right w:type="dxa" w:w="120"/>
            </w:tcMar>
            <w:vAlign w:val="center"/>
          </w:tcPr>
          <w:p>
            <w:r>
              <w:rPr>
                <w:b w:val="false"/>
                <w:bCs w:val="false"/>
                <w:color w:val="3A4A5C"/>
                <w:sz w:val="19"/>
                <w:szCs w:val="19"/>
              </w:rPr>
              <w:t xml:space="preserve">Agresivo</w:t>
            </w:r>
          </w:p>
        </w:tc>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388.304€</w:t>
            </w:r>
          </w:p>
        </w:tc>
        <w:tc>
          <w:tcPr>
            <w:tcW w:type="dxa" w:w="2700"/>
            <w:shd w:fill="F7F4F0" w:val="clear"/>
            <w:tcMar>
              <w:top w:type="dxa" w:w="90"/>
              <w:left w:type="dxa" w:w="120"/>
              <w:bottom w:type="dxa" w:w="90"/>
              <w:right w:type="dxa" w:w="120"/>
            </w:tcMar>
            <w:vAlign w:val="center"/>
          </w:tcPr>
          <w:p>
            <w:r>
              <w:rPr>
                <w:b w:val="false"/>
                <w:bCs w:val="false"/>
                <w:color w:val="3A4A5C"/>
                <w:sz w:val="19"/>
                <w:szCs w:val="19"/>
              </w:rPr>
              <w:t xml:space="preserve">682.171€</w:t>
            </w:r>
          </w:p>
        </w:tc>
        <w:tc>
          <w:tcPr>
            <w:tcW w:type="dxa" w:w="2160"/>
            <w:shd w:fill="F7F4F0" w:val="clear"/>
            <w:tcMar>
              <w:top w:type="dxa" w:w="90"/>
              <w:left w:type="dxa" w:w="120"/>
              <w:bottom w:type="dxa" w:w="90"/>
              <w:right w:type="dxa" w:w="120"/>
            </w:tcMar>
            <w:vAlign w:val="center"/>
          </w:tcPr>
          <w:p>
            <w:r>
              <w:rPr>
                <w:b w:val="false"/>
                <w:bCs w:val="false"/>
                <w:color w:val="3A4A5C"/>
                <w:sz w:val="19"/>
                <w:szCs w:val="19"/>
              </w:rPr>
              <w:t xml:space="preserve">927.296€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460"/>
      </w:tblGrid>
      <w:tr>
        <w:trPr>
          <w:tblHeader/>
        </w:trPr>
        <w:tc>
          <w:tcPr>
            <w:tcW w:type="dxa" w:w="2200"/>
            <w:shd w:fill="1C2535" w:val="clear"/>
            <w:tcMar>
              <w:top w:type="dxa" w:w="90"/>
              <w:left w:type="dxa" w:w="120"/>
              <w:bottom w:type="dxa" w:w="90"/>
              <w:right w:type="dxa" w:w="120"/>
            </w:tcMar>
            <w:vAlign w:val="center"/>
          </w:tcPr>
          <w:p>
            <w:r>
              <w:rPr>
                <w:b/>
                <w:bCs/>
                <w:color w:val="FFFFFF"/>
                <w:sz w:val="18"/>
                <w:szCs w:val="18"/>
              </w:rPr>
              <w:t xml:space="preserve">Escenario · Año 3</w:t>
            </w:r>
          </w:p>
        </w:tc>
        <w:tc>
          <w:tcPr>
            <w:tcW w:type="dxa" w:w="2300"/>
            <w:shd w:fill="1C2535" w:val="clear"/>
            <w:tcMar>
              <w:top w:type="dxa" w:w="90"/>
              <w:left w:type="dxa" w:w="120"/>
              <w:bottom w:type="dxa" w:w="90"/>
              <w:right w:type="dxa" w:w="120"/>
            </w:tcMar>
            <w:vAlign w:val="center"/>
          </w:tcPr>
          <w:p>
            <w:r>
              <w:rPr>
                <w:b/>
                <w:bCs/>
                <w:color w:val="FFFFFF"/>
                <w:sz w:val="18"/>
                <w:szCs w:val="18"/>
              </w:rPr>
              <w:t xml:space="preserve">Ingresos del ejercicio</w:t>
            </w:r>
          </w:p>
        </w:tc>
        <w:tc>
          <w:tcPr>
            <w:tcW w:type="dxa" w:w="2400"/>
            <w:shd w:fill="1C2535" w:val="clear"/>
            <w:tcMar>
              <w:top w:type="dxa" w:w="90"/>
              <w:left w:type="dxa" w:w="120"/>
              <w:bottom w:type="dxa" w:w="90"/>
              <w:right w:type="dxa" w:w="120"/>
            </w:tcMar>
            <w:vAlign w:val="center"/>
          </w:tcPr>
          <w:p>
            <w:r>
              <w:rPr>
                <w:b/>
                <w:bCs/>
                <w:color w:val="FFFFFF"/>
                <w:sz w:val="18"/>
                <w:szCs w:val="18"/>
              </w:rPr>
              <w:t xml:space="preserve">EBITDA antes de CAC</w:t>
            </w:r>
          </w:p>
        </w:tc>
        <w:tc>
          <w:tcPr>
            <w:tcW w:type="dxa" w:w="2460"/>
            <w:shd w:fill="1C2535" w:val="clear"/>
            <w:tcMar>
              <w:top w:type="dxa" w:w="90"/>
              <w:left w:type="dxa" w:w="120"/>
              <w:bottom w:type="dxa" w:w="90"/>
              <w:right w:type="dxa" w:w="120"/>
            </w:tcMar>
            <w:vAlign w:val="center"/>
          </w:tcPr>
          <w:p>
            <w:r>
              <w:rPr>
                <w:b/>
                <w:bCs/>
                <w:color w:val="FFFFFF"/>
                <w:sz w:val="18"/>
                <w:szCs w:val="18"/>
              </w:rPr>
              <w:t xml:space="preserve">EBITDA incl. CAC</w:t>
            </w:r>
          </w:p>
        </w:tc>
      </w:tr>
      <w:tr>
        <w:tc>
          <w:tcPr>
            <w:tcW w:type="dxa" w:w="2200"/>
            <w:shd w:fill="F7F4F0" w:val="clear"/>
            <w:tcMar>
              <w:top w:type="dxa" w:w="90"/>
              <w:left w:type="dxa" w:w="120"/>
              <w:bottom w:type="dxa" w:w="90"/>
              <w:right w:type="dxa" w:w="120"/>
            </w:tcMar>
            <w:vAlign w:val="center"/>
          </w:tcPr>
          <w:p>
            <w:r>
              <w:rPr>
                <w:b w:val="false"/>
                <w:bCs w:val="false"/>
                <w:color w:val="3A4A5C"/>
                <w:sz w:val="19"/>
                <w:szCs w:val="19"/>
              </w:rPr>
              <w:t xml:space="preserve">Conservador</w:t>
            </w:r>
          </w:p>
        </w:tc>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111.020€</w:t>
            </w:r>
          </w:p>
        </w:tc>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62.685€ (56,5%)</w:t>
            </w:r>
          </w:p>
        </w:tc>
        <w:tc>
          <w:tcPr>
            <w:tcW w:type="dxa" w:w="2460"/>
            <w:shd w:fill="F7F4F0" w:val="clear"/>
            <w:tcMar>
              <w:top w:type="dxa" w:w="90"/>
              <w:left w:type="dxa" w:w="120"/>
              <w:bottom w:type="dxa" w:w="90"/>
              <w:right w:type="dxa" w:w="120"/>
            </w:tcMar>
            <w:vAlign w:val="center"/>
          </w:tcPr>
          <w:p>
            <w:r>
              <w:rPr>
                <w:b w:val="false"/>
                <w:bCs w:val="false"/>
                <w:color w:val="3A4A5C"/>
                <w:sz w:val="19"/>
                <w:szCs w:val="19"/>
              </w:rPr>
              <w:t xml:space="preserve">44.685€ (40,2%)</w:t>
            </w:r>
          </w:p>
        </w:tc>
      </w:tr>
      <w:tr>
        <w:tc>
          <w:tcPr>
            <w:tcW w:type="dxa" w:w="2200"/>
            <w:shd w:fill="FFFFFF" w:val="clear"/>
            <w:tcMar>
              <w:top w:type="dxa" w:w="90"/>
              <w:left w:type="dxa" w:w="120"/>
              <w:bottom w:type="dxa" w:w="90"/>
              <w:right w:type="dxa" w:w="120"/>
            </w:tcMar>
            <w:vAlign w:val="center"/>
          </w:tcPr>
          <w:p>
            <w:r>
              <w:rPr>
                <w:b w:val="false"/>
                <w:bCs w:val="false"/>
                <w:color w:val="3A4A5C"/>
                <w:sz w:val="19"/>
                <w:szCs w:val="19"/>
              </w:rPr>
              <w:t xml:space="preserve">Base</w:t>
            </w:r>
          </w:p>
        </w:tc>
        <w:tc>
          <w:tcPr>
            <w:tcW w:type="dxa" w:w="2300"/>
            <w:shd w:fill="FFFFFF" w:val="clear"/>
            <w:tcMar>
              <w:top w:type="dxa" w:w="90"/>
              <w:left w:type="dxa" w:w="120"/>
              <w:bottom w:type="dxa" w:w="90"/>
              <w:right w:type="dxa" w:w="120"/>
            </w:tcMar>
            <w:vAlign w:val="center"/>
          </w:tcPr>
          <w:p>
            <w:r>
              <w:rPr>
                <w:b w:val="false"/>
                <w:bCs w:val="false"/>
                <w:color w:val="3A4A5C"/>
                <w:sz w:val="19"/>
                <w:szCs w:val="19"/>
              </w:rPr>
              <w:t xml:space="preserve">285.621€</w:t>
            </w:r>
          </w:p>
        </w:tc>
        <w:tc>
          <w:tcPr>
            <w:tcW w:type="dxa" w:w="2400"/>
            <w:shd w:fill="FFFFFF" w:val="clear"/>
            <w:tcMar>
              <w:top w:type="dxa" w:w="90"/>
              <w:left w:type="dxa" w:w="120"/>
              <w:bottom w:type="dxa" w:w="90"/>
              <w:right w:type="dxa" w:w="120"/>
            </w:tcMar>
            <w:vAlign w:val="center"/>
          </w:tcPr>
          <w:p>
            <w:r>
              <w:rPr>
                <w:b w:val="false"/>
                <w:bCs w:val="false"/>
                <w:color w:val="3A4A5C"/>
                <w:sz w:val="19"/>
                <w:szCs w:val="19"/>
              </w:rPr>
              <w:t xml:space="preserve">220.476€ (77,2%)</w:t>
            </w:r>
          </w:p>
        </w:tc>
        <w:tc>
          <w:tcPr>
            <w:tcW w:type="dxa" w:w="2460"/>
            <w:shd w:fill="FFFFFF" w:val="clear"/>
            <w:tcMar>
              <w:top w:type="dxa" w:w="90"/>
              <w:left w:type="dxa" w:w="120"/>
              <w:bottom w:type="dxa" w:w="90"/>
              <w:right w:type="dxa" w:w="120"/>
            </w:tcMar>
            <w:vAlign w:val="center"/>
          </w:tcPr>
          <w:p>
            <w:r>
              <w:rPr>
                <w:b w:val="false"/>
                <w:bCs w:val="false"/>
                <w:color w:val="3A4A5C"/>
                <w:sz w:val="19"/>
                <w:szCs w:val="19"/>
              </w:rPr>
              <w:t xml:space="preserve">191.676€ (67,1%)</w:t>
            </w:r>
          </w:p>
        </w:tc>
      </w:tr>
      <w:tr>
        <w:tc>
          <w:tcPr>
            <w:tcW w:type="dxa" w:w="2200"/>
            <w:shd w:fill="F7F4F0" w:val="clear"/>
            <w:tcMar>
              <w:top w:type="dxa" w:w="90"/>
              <w:left w:type="dxa" w:w="120"/>
              <w:bottom w:type="dxa" w:w="90"/>
              <w:right w:type="dxa" w:w="120"/>
            </w:tcMar>
            <w:vAlign w:val="center"/>
          </w:tcPr>
          <w:p>
            <w:r>
              <w:rPr>
                <w:b w:val="false"/>
                <w:bCs w:val="false"/>
                <w:color w:val="3A4A5C"/>
                <w:sz w:val="19"/>
                <w:szCs w:val="19"/>
              </w:rPr>
              <w:t xml:space="preserve">Agresivo</w:t>
            </w:r>
          </w:p>
        </w:tc>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818.624€</w:t>
            </w:r>
          </w:p>
        </w:tc>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714.406€ (87,3%)</w:t>
            </w:r>
          </w:p>
        </w:tc>
        <w:tc>
          <w:tcPr>
            <w:tcW w:type="dxa" w:w="2460"/>
            <w:shd w:fill="F7F4F0" w:val="clear"/>
            <w:tcMar>
              <w:top w:type="dxa" w:w="90"/>
              <w:left w:type="dxa" w:w="120"/>
              <w:bottom w:type="dxa" w:w="90"/>
              <w:right w:type="dxa" w:w="120"/>
            </w:tcMar>
            <w:vAlign w:val="center"/>
          </w:tcPr>
          <w:p>
            <w:r>
              <w:rPr>
                <w:b w:val="false"/>
                <w:bCs w:val="false"/>
                <w:color w:val="3A4A5C"/>
                <w:sz w:val="19"/>
                <w:szCs w:val="19"/>
              </w:rPr>
              <w:t xml:space="preserve">663.106€ (81,0%)</w:t>
            </w:r>
          </w:p>
        </w:tc>
      </w:tr>
    </w:tbl>
    <w:p>
      <w:pPr>
        <w:spacing w:after="200" w:before="40"/>
      </w:pPr>
      <w:r>
        <w:rPr>
          <w:i/>
          <w:iCs/>
          <w:color w:val="6B7A8D"/>
          <w:sz w:val="17"/>
          <w:szCs w:val="17"/>
        </w:rPr>
        <w:t xml:space="preserve">EBITDA antes de CAC = ingresos − coste de IA/infraestructura − costes fijos (no incluye inversión en adquisición de clientes). EBITDA incl. CAC resta además el gasto de adquisición del propio año. Ambas métricas se muestran porque el CAC es una decisión de inversión en crecimiento, no un coste fijo de operación. Nótese que en el escenario Conservador el EBITDA incl. CAC del Año 1 es negativo (− 7.292€): el negocio tarda algo más de un año en cubrir el coste de adquisición incluso en el caso más prudente, antes de hacerse claramente rentable a partir del Año 2.</w:t>
      </w:r>
    </w:p>
    <w:p>
      <w:pPr>
        <w:pStyle w:val="Heading1"/>
        <w:pageBreakBefore/>
      </w:pPr>
      <w:r>
        <w:t xml:space="preserve">19. Revenue Expansion</w:t>
      </w:r>
    </w:p>
    <w:p>
      <w:pPr>
        <w:spacing w:after="160"/>
      </w:pPr>
      <w:r>
        <w:rPr>
          <w:color w:val="3A4A5C"/>
          <w:sz w:val="22"/>
          <w:szCs w:val="22"/>
        </w:rPr>
        <w:t xml:space="preserve">Más allá de la cuota de suscripción, TrabFlow tiene cuatro palancas de expansión de ingreso sobre la misma base de clientes, sin necesidad de adquirir un cliente nuevo para cada euro adicional de ingreso:</w:t>
      </w:r>
    </w:p>
    <w:p>
      <w:pPr>
        <w:spacing w:after="140"/>
      </w:pPr>
      <w:r>
        <w:rPr>
          <w:b/>
          <w:bCs/>
          <w:color w:val="1C2535"/>
          <w:sz w:val="22"/>
          <w:szCs w:val="22"/>
        </w:rPr>
        <w:t xml:space="preserve">Marketplace. </w:t>
      </w:r>
      <w:r>
        <w:rPr>
          <w:color w:val="3A4A5C"/>
          <w:sz w:val="22"/>
          <w:szCs w:val="22"/>
        </w:rPr>
        <w:t xml:space="preserve">Take-rate sobre las transacciones entre instaladores, proveedores colaboradores y mayoristas que ya gestionan su relación dentro de TrabFlow.</w:t>
      </w:r>
    </w:p>
    <w:p>
      <w:pPr>
        <w:spacing w:after="140"/>
      </w:pPr>
      <w:r>
        <w:rPr>
          <w:b/>
          <w:bCs/>
          <w:color w:val="1C2535"/>
          <w:sz w:val="22"/>
          <w:szCs w:val="22"/>
        </w:rPr>
        <w:t xml:space="preserve">Financiación. </w:t>
      </w:r>
      <w:r>
        <w:rPr>
          <w:color w:val="3A4A5C"/>
          <w:sz w:val="22"/>
          <w:szCs w:val="22"/>
        </w:rPr>
        <w:t xml:space="preserve">Financiación embebida de materiales o de equipos para el instalador, en el momento en que el presupuesto ya está aceptado y el flujo de caja del trabajo es predecible.</w:t>
      </w:r>
    </w:p>
    <w:p>
      <w:pPr>
        <w:spacing w:after="140"/>
      </w:pPr>
      <w:r>
        <w:rPr>
          <w:b/>
          <w:bCs/>
          <w:color w:val="1C2535"/>
          <w:sz w:val="22"/>
          <w:szCs w:val="22"/>
        </w:rPr>
        <w:t xml:space="preserve">Seguros. </w:t>
      </w:r>
      <w:r>
        <w:rPr>
          <w:color w:val="3A4A5C"/>
          <w:sz w:val="22"/>
          <w:szCs w:val="22"/>
        </w:rPr>
        <w:t xml:space="preserve">Seguros de responsabilidad civil o de garantía del trabajo, ofrecidos en el mismo flujo donde se genera el presupuesto.</w:t>
      </w:r>
    </w:p>
    <w:p>
      <w:pPr>
        <w:spacing w:after="140"/>
      </w:pPr>
      <w:r>
        <w:rPr>
          <w:b/>
          <w:bCs/>
          <w:color w:val="1C2535"/>
          <w:sz w:val="22"/>
          <w:szCs w:val="22"/>
        </w:rPr>
        <w:t xml:space="preserve">Pagos. </w:t>
      </w:r>
      <w:r>
        <w:rPr>
          <w:color w:val="3A4A5C"/>
          <w:sz w:val="22"/>
          <w:szCs w:val="22"/>
        </w:rPr>
        <w:t xml:space="preserve">Procesamiento de pagos del cliente final al instalador dentro de la plataforma —la misma palanca que en Jobber representa ya más del 50% de las transacciones procesadas por la plataforma (Q3 2025), como referencia de hacia dónde tiende a moverse el ingreso en esta categoría.</w:t>
      </w: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VII</w:t>
      </w:r>
    </w:p>
    <w:p>
      <w:pPr>
        <w:spacing w:after="160"/>
      </w:pPr>
    </w:p>
    <w:p>
      <w:pPr>
        <w:jc w:val="center"/>
      </w:pPr>
      <w:r>
        <w:rPr>
          <w:rFonts w:ascii="Arial" w:cs="Arial" w:eastAsia="Arial" w:hAnsi="Arial"/>
          <w:b/>
          <w:bCs/>
          <w:color w:val="1C2535"/>
          <w:sz w:val="44"/>
          <w:szCs w:val="44"/>
        </w:rPr>
        <w:t xml:space="preserve">Go To Market</w:t>
      </w:r>
    </w:p>
    <w:p>
      <w:pPr>
        <w:spacing w:after="100"/>
      </w:pPr>
    </w:p>
    <w:p>
      <w:pPr>
        <w:jc w:val="center"/>
      </w:pPr>
      <w:r>
        <w:rPr>
          <w:i/>
          <w:iCs/>
          <w:color w:val="1A5A96"/>
          <w:sz w:val="24"/>
          <w:szCs w:val="24"/>
        </w:rPr>
        <w:t xml:space="preserve">Cómo llega TrabFlow al instalador, y por qué de esa forma y no de otra</w:t>
      </w:r>
    </w:p>
    <w:p>
      <w:pPr>
        <w:pStyle w:val="Heading1"/>
        <w:pageBreakBefore/>
      </w:pPr>
      <w:r>
        <w:t xml:space="preserve">20. Acquisition Engine</w:t>
      </w:r>
    </w:p>
    <w:p>
      <w:pPr>
        <w:spacing w:after="140"/>
      </w:pPr>
      <w:r>
        <w:rPr>
          <w:b/>
          <w:bCs/>
          <w:color w:val="1C2535"/>
          <w:sz w:val="22"/>
          <w:szCs w:val="22"/>
        </w:rPr>
        <w:t xml:space="preserve">YouTube. </w:t>
      </w:r>
      <w:r>
        <w:rPr>
          <w:color w:val="3A4A5C"/>
          <w:sz w:val="22"/>
          <w:szCs w:val="22"/>
        </w:rPr>
        <w:t xml:space="preserve">Vídeos cortos mostrando el flujo real de voz a presupuesto en menos de tres minutos —demostración, no explicación— dirigidos a búsquedas de cada oficio concreto.</w:t>
      </w:r>
    </w:p>
    <w:p>
      <w:pPr>
        <w:spacing w:after="140"/>
      </w:pPr>
      <w:r>
        <w:rPr>
          <w:b/>
          <w:bCs/>
          <w:color w:val="1C2535"/>
          <w:sz w:val="22"/>
          <w:szCs w:val="22"/>
        </w:rPr>
        <w:t xml:space="preserve">TikTok. </w:t>
      </w:r>
      <w:r>
        <w:rPr>
          <w:color w:val="3A4A5C"/>
          <w:sz w:val="22"/>
          <w:szCs w:val="22"/>
        </w:rPr>
        <w:t xml:space="preserve">El mismo principio de demostración, en formato corto, aprovechando que el contraste “antes (papel) / después (voz)” es visualmente inmediato y compartible dentro de comunidades de oficio.</w:t>
      </w:r>
    </w:p>
    <w:p>
      <w:pPr>
        <w:spacing w:after="140"/>
      </w:pPr>
      <w:r>
        <w:rPr>
          <w:b/>
          <w:bCs/>
          <w:color w:val="1C2535"/>
          <w:sz w:val="22"/>
          <w:szCs w:val="22"/>
        </w:rPr>
        <w:t xml:space="preserve">SEO. </w:t>
      </w:r>
      <w:r>
        <w:rPr>
          <w:color w:val="3A4A5C"/>
          <w:sz w:val="22"/>
          <w:szCs w:val="22"/>
        </w:rPr>
        <w:t xml:space="preserve">Contenido alrededor de los puntos de dolor concretos del sector —cómo preparar un presupuesto de fontanería, qué necesita un contrato de mantenimiento de climatización para cumplir RIPCI— capturando intención de búsqueda informacional antes de la transaccional.</w:t>
      </w:r>
    </w:p>
    <w:p>
      <w:pPr>
        <w:spacing w:after="140"/>
      </w:pPr>
      <w:r>
        <w:rPr>
          <w:b/>
          <w:bCs/>
          <w:color w:val="1C2535"/>
          <w:sz w:val="22"/>
          <w:szCs w:val="22"/>
        </w:rPr>
        <w:t xml:space="preserve">Referidos. </w:t>
      </w:r>
      <w:r>
        <w:rPr>
          <w:color w:val="3A4A5C"/>
          <w:sz w:val="22"/>
          <w:szCs w:val="22"/>
        </w:rPr>
        <w:t xml:space="preserve">El boca a boca dentro de un gremio es, históricamente, el canal más fuerte en este sector; un programa de referido simple entre instaladores que ya confían unos en otros multiplica la credibilidad de cualquier canal pagado.</w:t>
      </w:r>
    </w:p>
    <w:p>
      <w:pPr>
        <w:pStyle w:val="Heading1"/>
        <w:pageBreakBefore/>
      </w:pPr>
      <w:r>
        <w:t xml:space="preserve">21. Partnerships</w:t>
      </w:r>
    </w:p>
    <w:p>
      <w:pPr>
        <w:spacing w:after="140"/>
      </w:pPr>
      <w:r>
        <w:rPr>
          <w:b/>
          <w:bCs/>
          <w:color w:val="1C2535"/>
          <w:sz w:val="22"/>
          <w:szCs w:val="22"/>
        </w:rPr>
        <w:t xml:space="preserve">CONAIF. </w:t>
      </w:r>
      <w:r>
        <w:rPr>
          <w:color w:val="3A4A5C"/>
          <w:sz w:val="22"/>
          <w:szCs w:val="22"/>
        </w:rPr>
        <w:t xml:space="preserve">Confederación Nacional de Asociaciones de Instaladores y Fluidos, con 74 asociaciones, gremios y federaciones de instaladores repartidas por toda España. Canal de distribución natural por volumen y por credibilidad sectorial.</w:t>
      </w:r>
    </w:p>
    <w:p>
      <w:pPr>
        <w:spacing w:after="140"/>
      </w:pPr>
      <w:r>
        <w:rPr>
          <w:b/>
          <w:bCs/>
          <w:color w:val="1C2535"/>
          <w:sz w:val="22"/>
          <w:szCs w:val="22"/>
        </w:rPr>
        <w:t xml:space="preserve">FENIE. </w:t>
      </w:r>
      <w:r>
        <w:rPr>
          <w:color w:val="3A4A5C"/>
          <w:sz w:val="22"/>
          <w:szCs w:val="22"/>
        </w:rPr>
        <w:t xml:space="preserve">Federación Nacional de Empresarios de Instalaciones de España, centrada en el sector eléctrico y de telecomunicaciones, con una base de afiliados de tamaño comparable a CONAIF. Ambas confederaciones han explorado en el pasado un proceso de integración que, de consumarse, crearía una organización única con más de 200.000 trabajadores representados.</w:t>
      </w:r>
    </w:p>
    <w:p>
      <w:pPr>
        <w:spacing w:after="140"/>
      </w:pPr>
      <w:r>
        <w:rPr>
          <w:b/>
          <w:bCs/>
          <w:color w:val="1C2535"/>
          <w:sz w:val="22"/>
          <w:szCs w:val="22"/>
        </w:rPr>
        <w:t xml:space="preserve">Gestorías. </w:t>
      </w:r>
      <w:r>
        <w:rPr>
          <w:color w:val="3A4A5C"/>
          <w:sz w:val="22"/>
          <w:szCs w:val="22"/>
        </w:rPr>
        <w:t xml:space="preserve">Sialco Asesores, la gestoría que ya gestiona la fiscalidad y la constitución de TrabFlow Technologies, es el primer ejemplo del tipo de relación de canal que se puede replicar con otras gestorías que atienden a instaladores: confianza ya establecida, en el lugar exacto donde se decide qué software de facturación usar.</w:t>
      </w:r>
    </w:p>
    <w:p>
      <w:pPr>
        <w:pStyle w:val="Heading1"/>
        <w:pageBreakBefore/>
      </w:pPr>
      <w:r>
        <w:t xml:space="preserve">22. Community Strategy</w:t>
      </w:r>
    </w:p>
    <w:p>
      <w:pPr>
        <w:spacing w:after="160"/>
      </w:pPr>
      <w:r>
        <w:rPr>
          <w:color w:val="3A4A5C"/>
          <w:sz w:val="22"/>
          <w:szCs w:val="22"/>
        </w:rPr>
        <w:t xml:space="preserve">En un sector donde la decisión de compra se apoya más en la recomendación de un colega de gremio que en una landing page, la comunidad no es una táctica de marketing complementaria: es, posiblemente, el canal de adquisición y de retención más importante de todos.</w:t>
      </w:r>
    </w:p>
    <w:p>
      <w:pPr>
        <w:pStyle w:val="ListParagraph"/>
        <w:numPr>
          <w:ilvl w:val="0"/>
          <w:numId w:val="2"/>
        </w:numPr>
        <w:spacing w:after="90"/>
      </w:pPr>
      <w:r>
        <w:rPr>
          <w:color w:val="3A4A5C"/>
          <w:sz w:val="22"/>
          <w:szCs w:val="22"/>
        </w:rPr>
        <w:t xml:space="preserve">Programa de embajadores entre los primeros instaladores de cada oficio incorporado, con incentivos ligados a la recomendación dentro de su propio gremio.</w:t>
      </w:r>
    </w:p>
    <w:p>
      <w:pPr>
        <w:pStyle w:val="ListParagraph"/>
        <w:numPr>
          <w:ilvl w:val="0"/>
          <w:numId w:val="2"/>
        </w:numPr>
        <w:spacing w:after="90"/>
      </w:pPr>
      <w:r>
        <w:rPr>
          <w:color w:val="3A4A5C"/>
          <w:sz w:val="22"/>
          <w:szCs w:val="22"/>
        </w:rPr>
        <w:t xml:space="preserve">Presencia activa y sostenida en foros, grupos de WhatsApp/Telegram y asociaciones locales de oficio, no solo en el lanzamiento sino de forma continuada.</w:t>
      </w:r>
    </w:p>
    <w:p>
      <w:pPr>
        <w:pStyle w:val="ListParagraph"/>
        <w:numPr>
          <w:ilvl w:val="0"/>
          <w:numId w:val="2"/>
        </w:numPr>
        <w:spacing w:after="90"/>
      </w:pPr>
      <w:r>
        <w:rPr>
          <w:color w:val="3A4A5C"/>
          <w:sz w:val="22"/>
          <w:szCs w:val="22"/>
        </w:rPr>
        <w:t xml:space="preserve">Prioridad explícita en el roadmap a la retención sobre el crecimiento bruto en las primeras cohortes: un instalador insatisfecho dentro de un gremio pequeño es una señal negativa que viaja más rápido que cualquier campaña positiva.</w:t>
      </w: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VIII</w:t>
      </w:r>
    </w:p>
    <w:p>
      <w:pPr>
        <w:spacing w:after="160"/>
      </w:pPr>
    </w:p>
    <w:p>
      <w:pPr>
        <w:jc w:val="center"/>
      </w:pPr>
      <w:r>
        <w:rPr>
          <w:rFonts w:ascii="Arial" w:cs="Arial" w:eastAsia="Arial" w:hAnsi="Arial"/>
          <w:b/>
          <w:bCs/>
          <w:color w:val="1C2535"/>
          <w:sz w:val="44"/>
          <w:szCs w:val="44"/>
        </w:rPr>
        <w:t xml:space="preserve">Roadmap</w:t>
      </w:r>
    </w:p>
    <w:p>
      <w:pPr>
        <w:spacing w:after="100"/>
      </w:pPr>
    </w:p>
    <w:p>
      <w:pPr>
        <w:jc w:val="center"/>
      </w:pPr>
      <w:r>
        <w:rPr>
          <w:i/>
          <w:iCs/>
          <w:color w:val="1A5A96"/>
          <w:sz w:val="24"/>
          <w:szCs w:val="24"/>
        </w:rPr>
        <w:t xml:space="preserve">Qué se construye, en qué orden, y cuándo</w:t>
      </w:r>
    </w:p>
    <w:p>
      <w:pPr>
        <w:pStyle w:val="Heading1"/>
        <w:pageBreakBefore/>
      </w:pPr>
      <w:r>
        <w:t xml:space="preserve">23.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C2535" w:val="clear"/>
            <w:tcMar>
              <w:top w:type="dxa" w:w="90"/>
              <w:left w:type="dxa" w:w="120"/>
              <w:bottom w:type="dxa" w:w="90"/>
              <w:right w:type="dxa" w:w="120"/>
            </w:tcMar>
            <w:vAlign w:val="center"/>
          </w:tcPr>
          <w:p>
            <w:r>
              <w:rPr>
                <w:b/>
                <w:bCs/>
                <w:color w:val="FFFFFF"/>
                <w:sz w:val="18"/>
                <w:szCs w:val="18"/>
              </w:rPr>
              <w:t xml:space="preserve">Trimestre</w:t>
            </w:r>
          </w:p>
        </w:tc>
        <w:tc>
          <w:tcPr>
            <w:tcW w:type="dxa" w:w="7660"/>
            <w:shd w:fill="1C2535" w:val="clear"/>
            <w:tcMar>
              <w:top w:type="dxa" w:w="90"/>
              <w:left w:type="dxa" w:w="120"/>
              <w:bottom w:type="dxa" w:w="90"/>
              <w:right w:type="dxa" w:w="120"/>
            </w:tcMar>
            <w:vAlign w:val="center"/>
          </w:tcPr>
          <w:p>
            <w:r>
              <w:rPr>
                <w:b/>
                <w:bCs/>
                <w:color w:val="FFFFFF"/>
                <w:sz w:val="18"/>
                <w:szCs w:val="18"/>
              </w:rPr>
              <w:t xml:space="preserve">Hitos</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Q3 2026</w:t>
            </w:r>
          </w:p>
        </w:tc>
        <w:tc>
          <w:tcPr>
            <w:tcW w:type="dxa" w:w="7660"/>
            <w:shd w:fill="F7F4F0" w:val="clear"/>
            <w:tcMar>
              <w:top w:type="dxa" w:w="90"/>
              <w:left w:type="dxa" w:w="120"/>
              <w:bottom w:type="dxa" w:w="90"/>
              <w:right w:type="dxa" w:w="120"/>
            </w:tcMar>
            <w:vAlign w:val="center"/>
          </w:tcPr>
          <w:p>
            <w:r>
              <w:rPr>
                <w:b w:val="false"/>
                <w:bCs w:val="false"/>
                <w:color w:val="3A4A5C"/>
                <w:sz w:val="19"/>
                <w:szCs w:val="19"/>
              </w:rPr>
              <w:t xml:space="preserve">Base Maestra: oficios 4–7 (climatización, cerrajería, reformas, carpintería). Cierre del diseño del sistema multi-perfil. Otorgamiento de la escritura notarial de TrabFlow Technologies, S.L. (plazo límite: 29 de agosto de 2026, sobre la denominación ya reservada).</w:t>
            </w:r>
          </w:p>
        </w:tc>
      </w:tr>
      <w:tr>
        <w:tc>
          <w:tcPr>
            <w:tcW w:type="dxa" w:w="1700"/>
            <w:shd w:fill="FFFFFF" w:val="clear"/>
            <w:tcMar>
              <w:top w:type="dxa" w:w="90"/>
              <w:left w:type="dxa" w:w="120"/>
              <w:bottom w:type="dxa" w:w="90"/>
              <w:right w:type="dxa" w:w="120"/>
            </w:tcMar>
            <w:vAlign w:val="center"/>
          </w:tcPr>
          <w:p>
            <w:r>
              <w:rPr>
                <w:b w:val="false"/>
                <w:bCs w:val="false"/>
                <w:color w:val="3A4A5C"/>
                <w:sz w:val="19"/>
                <w:szCs w:val="19"/>
              </w:rPr>
              <w:t xml:space="preserve">Q4 2026</w:t>
            </w:r>
          </w:p>
        </w:tc>
        <w:tc>
          <w:tcPr>
            <w:tcW w:type="dxa" w:w="7660"/>
            <w:shd w:fill="FFFFFF" w:val="clear"/>
            <w:tcMar>
              <w:top w:type="dxa" w:w="90"/>
              <w:left w:type="dxa" w:w="120"/>
              <w:bottom w:type="dxa" w:w="90"/>
              <w:right w:type="dxa" w:w="120"/>
            </w:tcMar>
            <w:vAlign w:val="center"/>
          </w:tcPr>
          <w:p>
            <w:r>
              <w:rPr>
                <w:b w:val="false"/>
                <w:bCs w:val="false"/>
                <w:color w:val="3A4A5C"/>
                <w:sz w:val="19"/>
                <w:szCs w:val="19"/>
              </w:rPr>
              <w:t xml:space="preserve">Base Maestra: oficios 8–12. Lanzamiento del chatbot de ayuda embebido con inyección de contexto por pantalla y plan. Inicio formal de la implementación técnica de VeriFactu (encadenado SHA-256 de eventos de factura), con margen hasta julio de 2027.</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Q1 2027</w:t>
            </w:r>
          </w:p>
        </w:tc>
        <w:tc>
          <w:tcPr>
            <w:tcW w:type="dxa" w:w="7660"/>
            <w:shd w:fill="F7F4F0" w:val="clear"/>
            <w:tcMar>
              <w:top w:type="dxa" w:w="90"/>
              <w:left w:type="dxa" w:w="120"/>
              <w:bottom w:type="dxa" w:w="90"/>
              <w:right w:type="dxa" w:w="120"/>
            </w:tcMar>
            <w:vAlign w:val="center"/>
          </w:tcPr>
          <w:p>
            <w:r>
              <w:rPr>
                <w:b w:val="false"/>
                <w:bCs w:val="false"/>
                <w:color w:val="3A4A5C"/>
                <w:sz w:val="19"/>
                <w:szCs w:val="19"/>
              </w:rPr>
              <w:t xml:space="preserve">Base Maestra: oficios 13–17. Certificación funcional de VeriFactu completada antes del plazo legal. Preparación de la entrada en Portugal: adaptación lingüística y validación fiscal preliminar.</w:t>
            </w:r>
          </w:p>
        </w:tc>
      </w:tr>
      <w:tr>
        <w:tc>
          <w:tcPr>
            <w:tcW w:type="dxa" w:w="1700"/>
            <w:shd w:fill="FFFFFF" w:val="clear"/>
            <w:tcMar>
              <w:top w:type="dxa" w:w="90"/>
              <w:left w:type="dxa" w:w="120"/>
              <w:bottom w:type="dxa" w:w="90"/>
              <w:right w:type="dxa" w:w="120"/>
            </w:tcMar>
            <w:vAlign w:val="center"/>
          </w:tcPr>
          <w:p>
            <w:r>
              <w:rPr>
                <w:b w:val="false"/>
                <w:bCs w:val="false"/>
                <w:color w:val="3A4A5C"/>
                <w:sz w:val="19"/>
                <w:szCs w:val="19"/>
              </w:rPr>
              <w:t xml:space="preserve">Q2 2027</w:t>
            </w:r>
          </w:p>
        </w:tc>
        <w:tc>
          <w:tcPr>
            <w:tcW w:type="dxa" w:w="7660"/>
            <w:shd w:fill="FFFFFF" w:val="clear"/>
            <w:tcMar>
              <w:top w:type="dxa" w:w="90"/>
              <w:left w:type="dxa" w:w="120"/>
              <w:bottom w:type="dxa" w:w="90"/>
              <w:right w:type="dxa" w:w="120"/>
            </w:tcMar>
            <w:vAlign w:val="center"/>
          </w:tcPr>
          <w:p>
            <w:r>
              <w:rPr>
                <w:b w:val="false"/>
                <w:bCs w:val="false"/>
                <w:color w:val="3A4A5C"/>
                <w:sz w:val="19"/>
                <w:szCs w:val="19"/>
              </w:rPr>
              <w:t xml:space="preserve">Base Maestra: oficios 18–20 (catálogo completo de los veinte oficios objetivo). Lanzamiento comercial en Portugal. Diseño técnico y legal del marketplace de proveedores. Estudio de viabilidad para la adaptación a CFDI (México).</w:t>
            </w:r>
          </w:p>
        </w:tc>
      </w:tr>
    </w:tbl>
    <w:p>
      <w:pPr>
        <w:pStyle w:val="Heading1"/>
        <w:pageBreakBefore/>
      </w:pPr>
      <w:r>
        <w:t xml:space="preserve">24.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C2535" w:val="clear"/>
            <w:tcMar>
              <w:top w:type="dxa" w:w="90"/>
              <w:left w:type="dxa" w:w="120"/>
              <w:bottom w:type="dxa" w:w="90"/>
              <w:right w:type="dxa" w:w="120"/>
            </w:tcMar>
            <w:vAlign w:val="center"/>
          </w:tcPr>
          <w:p>
            <w:r>
              <w:rPr>
                <w:b/>
                <w:bCs/>
                <w:color w:val="FFFFFF"/>
                <w:sz w:val="18"/>
                <w:szCs w:val="18"/>
              </w:rPr>
              <w:t xml:space="preserve">Mercado</w:t>
            </w:r>
          </w:p>
        </w:tc>
        <w:tc>
          <w:tcPr>
            <w:tcW w:type="dxa" w:w="7660"/>
            <w:shd w:fill="1C2535" w:val="clear"/>
            <w:tcMar>
              <w:top w:type="dxa" w:w="90"/>
              <w:left w:type="dxa" w:w="120"/>
              <w:bottom w:type="dxa" w:w="90"/>
              <w:right w:type="dxa" w:w="120"/>
            </w:tcMar>
            <w:vAlign w:val="center"/>
          </w:tcPr>
          <w:p>
            <w:r>
              <w:rPr>
                <w:b/>
                <w:bCs/>
                <w:color w:val="FFFFFF"/>
                <w:sz w:val="18"/>
                <w:szCs w:val="18"/>
              </w:rPr>
              <w:t xml:space="preserve">Lógica de entrada y secuencia</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España (ahora)</w:t>
            </w:r>
          </w:p>
        </w:tc>
        <w:tc>
          <w:tcPr>
            <w:tcW w:type="dxa" w:w="7660"/>
            <w:shd w:fill="F7F4F0" w:val="clear"/>
            <w:tcMar>
              <w:top w:type="dxa" w:w="90"/>
              <w:left w:type="dxa" w:w="120"/>
              <w:bottom w:type="dxa" w:w="90"/>
              <w:right w:type="dxa" w:w="120"/>
            </w:tcMar>
            <w:vAlign w:val="center"/>
          </w:tcPr>
          <w:p>
            <w:r>
              <w:rPr>
                <w:b w:val="false"/>
                <w:bCs w:val="false"/>
                <w:color w:val="3A4A5C"/>
                <w:sz w:val="19"/>
                <w:szCs w:val="19"/>
              </w:rPr>
              <w:t xml:space="preserve">Mercado de validación de producto, catálogo y canal de adquisición. Debe alcanzarse retención sólida antes de escalar geografía.</w:t>
            </w:r>
          </w:p>
        </w:tc>
      </w:tr>
      <w:tr>
        <w:tc>
          <w:tcPr>
            <w:tcW w:type="dxa" w:w="1700"/>
            <w:shd w:fill="FFFFFF" w:val="clear"/>
            <w:tcMar>
              <w:top w:type="dxa" w:w="90"/>
              <w:left w:type="dxa" w:w="120"/>
              <w:bottom w:type="dxa" w:w="90"/>
              <w:right w:type="dxa" w:w="120"/>
            </w:tcMar>
            <w:vAlign w:val="center"/>
          </w:tcPr>
          <w:p>
            <w:r>
              <w:rPr>
                <w:b w:val="false"/>
                <w:bCs w:val="false"/>
                <w:color w:val="3A4A5C"/>
                <w:sz w:val="19"/>
                <w:szCs w:val="19"/>
              </w:rPr>
              <w:t xml:space="preserve">Portugal (Q2 2027)</w:t>
            </w:r>
          </w:p>
        </w:tc>
        <w:tc>
          <w:tcPr>
            <w:tcW w:type="dxa" w:w="7660"/>
            <w:shd w:fill="FFFFFF" w:val="clear"/>
            <w:tcMar>
              <w:top w:type="dxa" w:w="90"/>
              <w:left w:type="dxa" w:w="120"/>
              <w:bottom w:type="dxa" w:w="90"/>
              <w:right w:type="dxa" w:w="120"/>
            </w:tcMar>
            <w:vAlign w:val="center"/>
          </w:tcPr>
          <w:p>
            <w:r>
              <w:rPr>
                <w:b w:val="false"/>
                <w:bCs w:val="false"/>
                <w:color w:val="3A4A5C"/>
                <w:sz w:val="19"/>
                <w:szCs w:val="19"/>
              </w:rPr>
              <w:t xml:space="preserve">Mercado de tamaño y estructura sectorial similar a España, mismo idioma de trabajo del producto salvo adaptación lingüística menor, fiscalidad distinta pero de complejidad comparable.</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México (estudio Q2 2027, entrada posterior)</w:t>
            </w:r>
          </w:p>
        </w:tc>
        <w:tc>
          <w:tcPr>
            <w:tcW w:type="dxa" w:w="7660"/>
            <w:shd w:fill="F7F4F0" w:val="clear"/>
            <w:tcMar>
              <w:top w:type="dxa" w:w="90"/>
              <w:left w:type="dxa" w:w="120"/>
              <w:bottom w:type="dxa" w:w="90"/>
              <w:right w:type="dxa" w:w="120"/>
            </w:tcMar>
            <w:vAlign w:val="center"/>
          </w:tcPr>
          <w:p>
            <w:r>
              <w:rPr>
                <w:b w:val="false"/>
                <w:bCs w:val="false"/>
                <w:color w:val="3A4A5C"/>
                <w:sz w:val="19"/>
                <w:szCs w:val="19"/>
              </w:rPr>
              <w:t xml:space="preserve">Mercado puente hacia LATAM: mayor población de profesionales de oficio que toda la Europa hispanohablante junta. Exige adaptación a CFDI antes de la entrada comercial.</w:t>
            </w:r>
          </w:p>
        </w:tc>
      </w:tr>
      <w:tr>
        <w:tc>
          <w:tcPr>
            <w:tcW w:type="dxa" w:w="1700"/>
            <w:shd w:fill="FFFFFF" w:val="clear"/>
            <w:tcMar>
              <w:top w:type="dxa" w:w="90"/>
              <w:left w:type="dxa" w:w="120"/>
              <w:bottom w:type="dxa" w:w="90"/>
              <w:right w:type="dxa" w:w="120"/>
            </w:tcMar>
            <w:vAlign w:val="center"/>
          </w:tcPr>
          <w:p>
            <w:r>
              <w:rPr>
                <w:b w:val="false"/>
                <w:bCs w:val="false"/>
                <w:color w:val="3A4A5C"/>
                <w:sz w:val="19"/>
                <w:szCs w:val="19"/>
              </w:rPr>
              <w:t xml:space="preserve">Resto de LATAM (posterior a la validación en México)</w:t>
            </w:r>
          </w:p>
        </w:tc>
        <w:tc>
          <w:tcPr>
            <w:tcW w:type="dxa" w:w="7660"/>
            <w:shd w:fill="FFFFFF" w:val="clear"/>
            <w:tcMar>
              <w:top w:type="dxa" w:w="90"/>
              <w:left w:type="dxa" w:w="120"/>
              <w:bottom w:type="dxa" w:w="90"/>
              <w:right w:type="dxa" w:w="120"/>
            </w:tcMar>
            <w:vAlign w:val="center"/>
          </w:tcPr>
          <w:p>
            <w:r>
              <w:rPr>
                <w:b w:val="false"/>
                <w:bCs w:val="false"/>
                <w:color w:val="3A4A5C"/>
                <w:sz w:val="19"/>
                <w:szCs w:val="19"/>
              </w:rPr>
              <w:t xml:space="preserve">Colombia, Argentina y Chile como siguientes mercados por tamaño relativo, una vez validado el modelo de adaptación fiscal y de producto en México.</w:t>
            </w:r>
          </w:p>
        </w:tc>
      </w:tr>
    </w:tbl>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IX</w:t>
      </w:r>
    </w:p>
    <w:p>
      <w:pPr>
        <w:spacing w:after="160"/>
      </w:pPr>
    </w:p>
    <w:p>
      <w:pPr>
        <w:jc w:val="center"/>
      </w:pPr>
      <w:r>
        <w:rPr>
          <w:rFonts w:ascii="Arial" w:cs="Arial" w:eastAsia="Arial" w:hAnsi="Arial"/>
          <w:b/>
          <w:bCs/>
          <w:color w:val="1C2535"/>
          <w:sz w:val="44"/>
          <w:szCs w:val="44"/>
        </w:rPr>
        <w:t xml:space="preserve">Inversión</w:t>
      </w:r>
    </w:p>
    <w:p>
      <w:pPr>
        <w:spacing w:after="100"/>
      </w:pPr>
    </w:p>
    <w:p>
      <w:pPr>
        <w:jc w:val="center"/>
      </w:pPr>
      <w:r>
        <w:rPr>
          <w:i/>
          <w:iCs/>
          <w:color w:val="1A5A96"/>
          <w:sz w:val="24"/>
          <w:szCs w:val="24"/>
        </w:rPr>
        <w:t xml:space="preserve">Dónde está la compañía hoy, y qué hace con el capital que busca</w:t>
      </w:r>
    </w:p>
    <w:p>
      <w:pPr>
        <w:pStyle w:val="Heading1"/>
        <w:pageBreakBefore/>
      </w:pPr>
      <w:r>
        <w:t xml:space="preserve">25. Current Status</w:t>
      </w:r>
    </w:p>
    <w:p>
      <w:pPr>
        <w:pStyle w:val="ListParagraph"/>
        <w:numPr>
          <w:ilvl w:val="0"/>
          <w:numId w:val="2"/>
        </w:numPr>
        <w:spacing w:after="90"/>
      </w:pPr>
      <w:r>
        <w:rPr>
          <w:color w:val="3A4A5C"/>
          <w:sz w:val="22"/>
          <w:szCs w:val="22"/>
        </w:rPr>
        <w:t xml:space="preserve">Producto en producción en www.trabflow.com, con el pipeline de IA, el módulo de mantenimiento y el módulo de trabajos externalizados y gastos operativos.</w:t>
      </w:r>
    </w:p>
    <w:p>
      <w:pPr>
        <w:pStyle w:val="ListParagraph"/>
        <w:numPr>
          <w:ilvl w:val="0"/>
          <w:numId w:val="2"/>
        </w:numPr>
        <w:spacing w:after="90"/>
      </w:pPr>
      <w:r>
        <w:rPr>
          <w:color w:val="3A4A5C"/>
          <w:sz w:val="22"/>
          <w:szCs w:val="22"/>
        </w:rPr>
        <w:t xml:space="preserve">Cobro recurrente integrado y en funcionamiento (Stripe).</w:t>
      </w:r>
    </w:p>
    <w:p>
      <w:pPr>
        <w:pStyle w:val="ListParagraph"/>
        <w:numPr>
          <w:ilvl w:val="0"/>
          <w:numId w:val="2"/>
        </w:numPr>
        <w:spacing w:after="90"/>
      </w:pPr>
      <w:r>
        <w:rPr>
          <w:color w:val="3A4A5C"/>
          <w:sz w:val="22"/>
          <w:szCs w:val="22"/>
        </w:rPr>
        <w:t xml:space="preserve">Base Maestra: 3 de 20 oficios objetivo completos (fontanería, electricidad, albañilería), cien actuaciones estructuradas cada uno.</w:t>
      </w:r>
    </w:p>
    <w:p>
      <w:pPr>
        <w:pStyle w:val="ListParagraph"/>
        <w:numPr>
          <w:ilvl w:val="0"/>
          <w:numId w:val="2"/>
        </w:numPr>
        <w:spacing w:after="90"/>
      </w:pPr>
      <w:r>
        <w:rPr>
          <w:color w:val="3A4A5C"/>
          <w:sz w:val="22"/>
          <w:szCs w:val="22"/>
        </w:rPr>
        <w:t xml:space="preserve">Constitución societaria en curso: denominación “TrabFlow Technologies, Sociedad Limitada” reservada en el Registro Mercantil Central (certificación de 29 de mayo de 2026, válida para otorgamiento de escritura durante tres meses).</w:t>
      </w:r>
    </w:p>
    <w:p>
      <w:pPr>
        <w:pStyle w:val="ListParagraph"/>
        <w:numPr>
          <w:ilvl w:val="0"/>
          <w:numId w:val="2"/>
        </w:numPr>
        <w:spacing w:after="90"/>
      </w:pPr>
      <w:r>
        <w:rPr>
          <w:color w:val="3A4A5C"/>
          <w:sz w:val="22"/>
          <w:szCs w:val="22"/>
        </w:rPr>
        <w:t xml:space="preserve">Marca M4383580 solicitada ante la OEPM (clases 09 y 10), presentada el 29 de mayo de 2026.</w:t>
      </w:r>
    </w:p>
    <w:p>
      <w:pPr>
        <w:pStyle w:val="ListParagraph"/>
        <w:numPr>
          <w:ilvl w:val="0"/>
          <w:numId w:val="2"/>
        </w:numPr>
        <w:spacing w:after="90"/>
      </w:pPr>
      <w:r>
        <w:rPr>
          <w:color w:val="3A4A5C"/>
          <w:sz w:val="22"/>
          <w:szCs w:val="22"/>
        </w:rPr>
        <w:t xml:space="preserve">Modelo financiero a 3 años con tres escenarios (Conservador/Base/Agresivo) completamente formulado y trazable, disponible como anexo separado.</w:t>
      </w:r>
    </w:p>
    <w:p>
      <w:pPr>
        <w:pStyle w:val="ListParagraph"/>
        <w:numPr>
          <w:ilvl w:val="0"/>
          <w:numId w:val="2"/>
        </w:numPr>
        <w:spacing w:after="90"/>
      </w:pPr>
      <w:r>
        <w:rPr>
          <w:color w:val="3A4A5C"/>
          <w:sz w:val="22"/>
          <w:szCs w:val="22"/>
        </w:rPr>
        <w:t xml:space="preserve">Sin financiación institucional levantada hasta la fecha: desarrollo financiado por el fundador.</w:t>
      </w:r>
    </w:p>
    <w:p>
      <w:pPr>
        <w:pStyle w:val="Heading1"/>
        <w:pageBreakBefore/>
      </w:pPr>
      <w:r>
        <w:t xml:space="preserve">26. Use Of Funds</w:t>
      </w:r>
    </w:p>
    <w:p>
      <w:pPr>
        <w:spacing w:after="160"/>
      </w:pPr>
      <w:r>
        <w:rPr>
          <w:color w:val="3A4A5C"/>
          <w:sz w:val="22"/>
          <w:szCs w:val="22"/>
        </w:rPr>
        <w:t xml:space="preserve">La asignación de cada tramo de capital sigue el mismo principio: cuanto mayor el importe, mayor el peso relativo de equipo y expansión geográfica frente a producto puro, reflejando que el producto base ya existe y lo que escala con más capital es la capacidad de venderlo y de llevarlo a más mercados.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200"/>
        <w:gridCol w:w="1730"/>
        <w:gridCol w:w="1730"/>
        <w:gridCol w:w="1730"/>
        <w:gridCol w:w="1730"/>
      </w:tblGrid>
      <w:tr>
        <w:trPr>
          <w:tblHeader/>
        </w:trPr>
        <w:tc>
          <w:tcPr>
            <w:tcW w:type="dxa" w:w="2200"/>
            <w:shd w:fill="1C2535" w:val="clear"/>
            <w:tcMar>
              <w:top w:type="dxa" w:w="90"/>
              <w:left w:type="dxa" w:w="120"/>
              <w:bottom w:type="dxa" w:w="90"/>
              <w:right w:type="dxa" w:w="120"/>
            </w:tcMar>
            <w:vAlign w:val="center"/>
          </w:tcPr>
          <w:p>
            <w:r>
              <w:rPr>
                <w:b/>
                <w:bCs/>
                <w:color w:val="FFFFFF"/>
                <w:sz w:val="18"/>
                <w:szCs w:val="18"/>
              </w:rPr>
              <w:t xml:space="preserve">Categoría</w:t>
            </w:r>
          </w:p>
        </w:tc>
        <w:tc>
          <w:tcPr>
            <w:tcW w:type="dxa" w:w="1730"/>
            <w:shd w:fill="1C2535" w:val="clear"/>
            <w:tcMar>
              <w:top w:type="dxa" w:w="90"/>
              <w:left w:type="dxa" w:w="120"/>
              <w:bottom w:type="dxa" w:w="90"/>
              <w:right w:type="dxa" w:w="120"/>
            </w:tcMar>
            <w:vAlign w:val="center"/>
          </w:tcPr>
          <w:p>
            <w:r>
              <w:rPr>
                <w:b/>
                <w:bCs/>
                <w:color w:val="FFFFFF"/>
                <w:sz w:val="18"/>
                <w:szCs w:val="18"/>
              </w:rPr>
              <w:t xml:space="preserve">50.000€</w:t>
            </w:r>
          </w:p>
        </w:tc>
        <w:tc>
          <w:tcPr>
            <w:tcW w:type="dxa" w:w="1730"/>
            <w:shd w:fill="1C2535" w:val="clear"/>
            <w:tcMar>
              <w:top w:type="dxa" w:w="90"/>
              <w:left w:type="dxa" w:w="120"/>
              <w:bottom w:type="dxa" w:w="90"/>
              <w:right w:type="dxa" w:w="120"/>
            </w:tcMar>
            <w:vAlign w:val="center"/>
          </w:tcPr>
          <w:p>
            <w:r>
              <w:rPr>
                <w:b/>
                <w:bCs/>
                <w:color w:val="FFFFFF"/>
                <w:sz w:val="18"/>
                <w:szCs w:val="18"/>
              </w:rPr>
              <w:t xml:space="preserve">100.000€</w:t>
            </w:r>
          </w:p>
        </w:tc>
        <w:tc>
          <w:tcPr>
            <w:tcW w:type="dxa" w:w="1730"/>
            <w:shd w:fill="1C2535" w:val="clear"/>
            <w:tcMar>
              <w:top w:type="dxa" w:w="90"/>
              <w:left w:type="dxa" w:w="120"/>
              <w:bottom w:type="dxa" w:w="90"/>
              <w:right w:type="dxa" w:w="120"/>
            </w:tcMar>
            <w:vAlign w:val="center"/>
          </w:tcPr>
          <w:p>
            <w:r>
              <w:rPr>
                <w:b/>
                <w:bCs/>
                <w:color w:val="FFFFFF"/>
                <w:sz w:val="18"/>
                <w:szCs w:val="18"/>
              </w:rPr>
              <w:t xml:space="preserve">250.000€</w:t>
            </w:r>
          </w:p>
        </w:tc>
        <w:tc>
          <w:tcPr>
            <w:tcW w:type="dxa" w:w="1730"/>
            <w:shd w:fill="1C2535" w:val="clear"/>
            <w:tcMar>
              <w:top w:type="dxa" w:w="90"/>
              <w:left w:type="dxa" w:w="120"/>
              <w:bottom w:type="dxa" w:w="90"/>
              <w:right w:type="dxa" w:w="120"/>
            </w:tcMar>
            <w:vAlign w:val="center"/>
          </w:tcPr>
          <w:p>
            <w:r>
              <w:rPr>
                <w:b/>
                <w:bCs/>
                <w:color w:val="FFFFFF"/>
                <w:sz w:val="18"/>
                <w:szCs w:val="18"/>
              </w:rPr>
              <w:t xml:space="preserve">500.000€</w:t>
            </w:r>
          </w:p>
        </w:tc>
      </w:tr>
      <w:tr>
        <w:tc>
          <w:tcPr>
            <w:tcW w:type="dxa" w:w="2200"/>
            <w:shd w:fill="F7F4F0" w:val="clear"/>
            <w:tcMar>
              <w:top w:type="dxa" w:w="90"/>
              <w:left w:type="dxa" w:w="120"/>
              <w:bottom w:type="dxa" w:w="90"/>
              <w:right w:type="dxa" w:w="120"/>
            </w:tcMar>
            <w:vAlign w:val="center"/>
          </w:tcPr>
          <w:p>
            <w:r>
              <w:rPr>
                <w:b w:val="false"/>
                <w:bCs w:val="false"/>
                <w:color w:val="3A4A5C"/>
                <w:sz w:val="19"/>
                <w:szCs w:val="19"/>
              </w:rPr>
              <w:t xml:space="preserve">Producto</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20.000€ (40%)</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35.000€ (35%)</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75.000€ (30%)</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125.000€ (25%)</w:t>
            </w:r>
          </w:p>
        </w:tc>
      </w:tr>
      <w:tr>
        <w:tc>
          <w:tcPr>
            <w:tcW w:type="dxa" w:w="2200"/>
            <w:shd w:fill="FFFFFF" w:val="clear"/>
            <w:tcMar>
              <w:top w:type="dxa" w:w="90"/>
              <w:left w:type="dxa" w:w="120"/>
              <w:bottom w:type="dxa" w:w="90"/>
              <w:right w:type="dxa" w:w="120"/>
            </w:tcMar>
            <w:vAlign w:val="center"/>
          </w:tcPr>
          <w:p>
            <w:r>
              <w:rPr>
                <w:b w:val="false"/>
                <w:bCs w:val="false"/>
                <w:color w:val="3A4A5C"/>
                <w:sz w:val="19"/>
                <w:szCs w:val="19"/>
              </w:rPr>
              <w:t xml:space="preserve">Marketing</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12.500€ (25%)</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30.000€ (30%)</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87.500€ (35%)</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175.000€ (35%)</w:t>
            </w:r>
          </w:p>
        </w:tc>
      </w:tr>
      <w:tr>
        <w:tc>
          <w:tcPr>
            <w:tcW w:type="dxa" w:w="2200"/>
            <w:shd w:fill="F7F4F0" w:val="clear"/>
            <w:tcMar>
              <w:top w:type="dxa" w:w="90"/>
              <w:left w:type="dxa" w:w="120"/>
              <w:bottom w:type="dxa" w:w="90"/>
              <w:right w:type="dxa" w:w="120"/>
            </w:tcMar>
            <w:vAlign w:val="center"/>
          </w:tcPr>
          <w:p>
            <w:r>
              <w:rPr>
                <w:b w:val="false"/>
                <w:bCs w:val="false"/>
                <w:color w:val="3A4A5C"/>
                <w:sz w:val="19"/>
                <w:szCs w:val="19"/>
              </w:rPr>
              <w:t xml:space="preserve">Equipo</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10.000€ (20%)</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20.000€ (20%)</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62.500€ (25%)</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150.000€ (30%)</w:t>
            </w:r>
          </w:p>
        </w:tc>
      </w:tr>
      <w:tr>
        <w:tc>
          <w:tcPr>
            <w:tcW w:type="dxa" w:w="2200"/>
            <w:shd w:fill="FFFFFF" w:val="clear"/>
            <w:tcMar>
              <w:top w:type="dxa" w:w="90"/>
              <w:left w:type="dxa" w:w="120"/>
              <w:bottom w:type="dxa" w:w="90"/>
              <w:right w:type="dxa" w:w="120"/>
            </w:tcMar>
            <w:vAlign w:val="center"/>
          </w:tcPr>
          <w:p>
            <w:r>
              <w:rPr>
                <w:b w:val="false"/>
                <w:bCs w:val="false"/>
                <w:color w:val="3A4A5C"/>
                <w:sz w:val="19"/>
                <w:szCs w:val="19"/>
              </w:rPr>
              <w:t xml:space="preserve">Operaciones</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5.000€ (10%)</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10.000€ (10%)</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25.000€ (10%)</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50.000€ (10%)</w:t>
            </w:r>
          </w:p>
        </w:tc>
      </w:tr>
      <w:tr>
        <w:tc>
          <w:tcPr>
            <w:tcW w:type="dxa" w:w="2200"/>
            <w:shd w:fill="F7F4F0" w:val="clear"/>
            <w:tcMar>
              <w:top w:type="dxa" w:w="90"/>
              <w:left w:type="dxa" w:w="120"/>
              <w:bottom w:type="dxa" w:w="90"/>
              <w:right w:type="dxa" w:w="120"/>
            </w:tcMar>
            <w:vAlign w:val="center"/>
          </w:tcPr>
          <w:p>
            <w:r>
              <w:rPr>
                <w:b w:val="false"/>
                <w:bCs w:val="false"/>
                <w:color w:val="3A4A5C"/>
                <w:sz w:val="19"/>
                <w:szCs w:val="19"/>
              </w:rPr>
              <w:t xml:space="preserve">Reserva</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2.500€ (5%)</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5.000€ (5%)</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C2535" w:val="clear"/>
            <w:tcMar>
              <w:top w:type="dxa" w:w="90"/>
              <w:left w:type="dxa" w:w="120"/>
              <w:bottom w:type="dxa" w:w="90"/>
              <w:right w:type="dxa" w:w="120"/>
            </w:tcMar>
            <w:vAlign w:val="center"/>
          </w:tcPr>
          <w:p>
            <w:r>
              <w:rPr>
                <w:b/>
                <w:bCs/>
                <w:color w:val="FFFFFF"/>
                <w:sz w:val="18"/>
                <w:szCs w:val="18"/>
              </w:rPr>
              <w:t xml:space="preserve">Importe</w:t>
            </w:r>
          </w:p>
        </w:tc>
        <w:tc>
          <w:tcPr>
            <w:tcW w:type="dxa" w:w="6960"/>
            <w:shd w:fill="1C2535" w:val="clear"/>
            <w:tcMar>
              <w:top w:type="dxa" w:w="90"/>
              <w:left w:type="dxa" w:w="120"/>
              <w:bottom w:type="dxa" w:w="90"/>
              <w:right w:type="dxa" w:w="120"/>
            </w:tcMar>
            <w:vAlign w:val="center"/>
          </w:tcPr>
          <w:p>
            <w:r>
              <w:rPr>
                <w:b/>
                <w:bCs/>
                <w:color w:val="FFFFFF"/>
                <w:sz w:val="18"/>
                <w:szCs w:val="18"/>
              </w:rPr>
              <w:t xml:space="preserve">Objetivo principal</w:t>
            </w:r>
          </w:p>
        </w:tc>
      </w:tr>
      <w:tr>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50.000€</w:t>
            </w:r>
          </w:p>
        </w:tc>
        <w:tc>
          <w:tcPr>
            <w:tcW w:type="dxa" w:w="6960"/>
            <w:shd w:fill="F7F4F0" w:val="clear"/>
            <w:tcMar>
              <w:top w:type="dxa" w:w="90"/>
              <w:left w:type="dxa" w:w="120"/>
              <w:bottom w:type="dxa" w:w="90"/>
              <w:right w:type="dxa" w:w="120"/>
            </w:tcMar>
            <w:vAlign w:val="center"/>
          </w:tcPr>
          <w:p>
            <w:r>
              <w:rPr>
                <w:b w:val="false"/>
                <w:bCs w:val="false"/>
                <w:color w:val="3A4A5C"/>
                <w:sz w:val="19"/>
                <w:szCs w:val="19"/>
              </w:rPr>
              <w:t xml:space="preserve">Alcanzar Product-Market Fit: completar la Base Maestra crítica y validar retención con las primeras cohortes reales.</w:t>
            </w:r>
          </w:p>
        </w:tc>
      </w:tr>
      <w:tr>
        <w:tc>
          <w:tcPr>
            <w:tcW w:type="dxa" w:w="2400"/>
            <w:shd w:fill="FFFFFF" w:val="clear"/>
            <w:tcMar>
              <w:top w:type="dxa" w:w="90"/>
              <w:left w:type="dxa" w:w="120"/>
              <w:bottom w:type="dxa" w:w="90"/>
              <w:right w:type="dxa" w:w="120"/>
            </w:tcMar>
            <w:vAlign w:val="center"/>
          </w:tcPr>
          <w:p>
            <w:r>
              <w:rPr>
                <w:b w:val="false"/>
                <w:bCs w:val="false"/>
                <w:color w:val="3A4A5C"/>
                <w:sz w:val="19"/>
                <w:szCs w:val="19"/>
              </w:rPr>
              <w:t xml:space="preserve">100.000€</w:t>
            </w:r>
          </w:p>
        </w:tc>
        <w:tc>
          <w:tcPr>
            <w:tcW w:type="dxa" w:w="6960"/>
            <w:shd w:fill="FFFFFF" w:val="clear"/>
            <w:tcMar>
              <w:top w:type="dxa" w:w="90"/>
              <w:left w:type="dxa" w:w="120"/>
              <w:bottom w:type="dxa" w:w="90"/>
              <w:right w:type="dxa" w:w="120"/>
            </w:tcMar>
            <w:vAlign w:val="center"/>
          </w:tcPr>
          <w:p>
            <w:r>
              <w:rPr>
                <w:b w:val="false"/>
                <w:bCs w:val="false"/>
                <w:color w:val="3A4A5C"/>
                <w:sz w:val="19"/>
                <w:szCs w:val="19"/>
              </w:rPr>
              <w:t xml:space="preserve">Llegar a 100 clientes de pago con un canal de adquisición ya repetible.</w:t>
            </w:r>
          </w:p>
        </w:tc>
      </w:tr>
      <w:tr>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250.000€</w:t>
            </w:r>
          </w:p>
        </w:tc>
        <w:tc>
          <w:tcPr>
            <w:tcW w:type="dxa" w:w="6960"/>
            <w:shd w:fill="F7F4F0" w:val="clear"/>
            <w:tcMar>
              <w:top w:type="dxa" w:w="90"/>
              <w:left w:type="dxa" w:w="120"/>
              <w:bottom w:type="dxa" w:w="90"/>
              <w:right w:type="dxa" w:w="120"/>
            </w:tcMar>
            <w:vAlign w:val="center"/>
          </w:tcPr>
          <w:p>
            <w:r>
              <w:rPr>
                <w:b w:val="false"/>
                <w:bCs w:val="false"/>
                <w:color w:val="3A4A5C"/>
                <w:sz w:val="19"/>
                <w:szCs w:val="19"/>
              </w:rPr>
              <w:t xml:space="preserve">Financiar la expansión a Iberia (Portugal): adaptación de producto, certificación fiscal y primer equipo comercial local.</w:t>
            </w:r>
          </w:p>
        </w:tc>
      </w:tr>
      <w:tr>
        <w:tc>
          <w:tcPr>
            <w:tcW w:type="dxa" w:w="2400"/>
            <w:shd w:fill="FFFFFF" w:val="clear"/>
            <w:tcMar>
              <w:top w:type="dxa" w:w="90"/>
              <w:left w:type="dxa" w:w="120"/>
              <w:bottom w:type="dxa" w:w="90"/>
              <w:right w:type="dxa" w:w="120"/>
            </w:tcMar>
            <w:vAlign w:val="center"/>
          </w:tcPr>
          <w:p>
            <w:r>
              <w:rPr>
                <w:b w:val="false"/>
                <w:bCs w:val="false"/>
                <w:color w:val="3A4A5C"/>
                <w:sz w:val="19"/>
                <w:szCs w:val="19"/>
              </w:rPr>
              <w:t xml:space="preserve">500.000€</w:t>
            </w:r>
          </w:p>
        </w:tc>
        <w:tc>
          <w:tcPr>
            <w:tcW w:type="dxa" w:w="6960"/>
            <w:shd w:fill="FFFFFF" w:val="clear"/>
            <w:tcMar>
              <w:top w:type="dxa" w:w="90"/>
              <w:left w:type="dxa" w:w="120"/>
              <w:bottom w:type="dxa" w:w="90"/>
              <w:right w:type="dxa" w:w="120"/>
            </w:tcMar>
            <w:vAlign w:val="center"/>
          </w:tcPr>
          <w:p>
            <w:r>
              <w:rPr>
                <w:b w:val="false"/>
                <w:bCs w:val="false"/>
                <w:color w:val="3A4A5C"/>
                <w:sz w:val="19"/>
                <w:szCs w:val="19"/>
              </w:rPr>
              <w:t xml:space="preserve">Financiar la entrada en LATAM (México): adaptación a CFDI, equipo local y el primer ciclo completo de adquisición fuera de España.</w:t>
            </w:r>
          </w:p>
        </w:tc>
      </w:tr>
    </w:tbl>
    <w:p>
      <w:pPr>
        <w:spacing w:after="200" w:before="40"/>
      </w:pPr>
      <w:r>
        <w:rPr>
          <w:i/>
          <w:iCs/>
          <w:color w:val="6B7A8D"/>
          <w:sz w:val="17"/>
          <w:szCs w:val="17"/>
        </w:rPr>
        <w:t xml:space="preserve">El detalle completo, con fórmulas y supuestos editables, está disponible en el modelo financiero (TrabFlow_Financial_Model_Pro_v2.xlsx) que acompaña a este documento.</w:t>
      </w:r>
    </w:p>
    <w:p>
      <w:pPr>
        <w:pStyle w:val="Heading1"/>
        <w:pageBreakBefore/>
      </w:pPr>
      <w:r>
        <w:t xml:space="preserve">27. Investment Thesis</w:t>
      </w:r>
    </w:p>
    <w:p>
      <w:pPr>
        <w:spacing w:after="160"/>
      </w:pPr>
      <w:r>
        <w:rPr>
          <w:color w:val="3A4A5C"/>
          <w:sz w:val="22"/>
          <w:szCs w:val="22"/>
        </w:rPr>
        <w:t xml:space="preserve">La tesis de inversión en TrabFlow se sostiene sobre cinco pilares que, juntos, son más sólidos que cualquiera por separado:</w:t>
      </w:r>
    </w:p>
    <w:p>
      <w:pPr>
        <w:pStyle w:val="ListParagraph"/>
        <w:numPr>
          <w:ilvl w:val="0"/>
          <w:numId w:val="2"/>
        </w:numPr>
        <w:spacing w:after="90"/>
      </w:pPr>
      <w:r>
        <w:rPr>
          <w:color w:val="3A4A5C"/>
          <w:sz w:val="22"/>
          <w:szCs w:val="22"/>
        </w:rPr>
        <w:t xml:space="preserve">Mercado grande y verificablemente desatendido: cientos de miles de profesionales en España, un sector que mueve miles de millones de euros al año, y una tasa de adopción de IA del 20% en el colectivo autónomo (Parte I).</w:t>
      </w:r>
    </w:p>
    <w:p>
      <w:pPr>
        <w:pStyle w:val="ListParagraph"/>
        <w:numPr>
          <w:ilvl w:val="0"/>
          <w:numId w:val="2"/>
        </w:numPr>
        <w:spacing w:after="90"/>
      </w:pPr>
      <w:r>
        <w:rPr>
          <w:color w:val="3A4A5C"/>
          <w:sz w:val="22"/>
          <w:szCs w:val="22"/>
        </w:rPr>
        <w:t xml:space="preserve">Categoría con economía demostrada en otros mercados: ServiceTitan y Jobber prueban que el field service software vertical puede generar compañías de varios cientos de millones a varios miles de millones de dólares de valor (Parte IV).</w:t>
      </w:r>
    </w:p>
    <w:p>
      <w:pPr>
        <w:pStyle w:val="ListParagraph"/>
        <w:numPr>
          <w:ilvl w:val="0"/>
          <w:numId w:val="2"/>
        </w:numPr>
        <w:spacing w:after="90"/>
      </w:pPr>
      <w:r>
        <w:rPr>
          <w:color w:val="3A4A5C"/>
          <w:sz w:val="22"/>
          <w:szCs w:val="22"/>
        </w:rPr>
        <w:t xml:space="preserve">Producto real, no una idea: en producción, con cobro activo, con un activo de datos propietario (Base Maestra) que ya existe y crece cada mes (Parte III y V).</w:t>
      </w:r>
    </w:p>
    <w:p>
      <w:pPr>
        <w:pStyle w:val="ListParagraph"/>
        <w:numPr>
          <w:ilvl w:val="0"/>
          <w:numId w:val="2"/>
        </w:numPr>
        <w:spacing w:after="90"/>
      </w:pPr>
      <w:r>
        <w:rPr>
          <w:color w:val="3A4A5C"/>
          <w:sz w:val="22"/>
          <w:szCs w:val="22"/>
        </w:rPr>
        <w:t xml:space="preserve">Vientos de cola regulatorios que fuerzan la decisión de compra: VeriFactu convierte la digitalización de la facturación en obligación legal en 2027, no en una opción a largo plazo (Parte I y V).</w:t>
      </w:r>
    </w:p>
    <w:p>
      <w:pPr>
        <w:pStyle w:val="ListParagraph"/>
        <w:numPr>
          <w:ilvl w:val="0"/>
          <w:numId w:val="2"/>
        </w:numPr>
        <w:spacing w:after="90"/>
      </w:pPr>
      <w:r>
        <w:rPr>
          <w:color w:val="3A4A5C"/>
          <w:sz w:val="22"/>
          <w:szCs w:val="22"/>
        </w:rPr>
        <w:t xml:space="preserve">Economía de unidad capital-eficiente incluso en el escenario Conservador: ratio LTV:CAC de 7,6x y payback de CAC inferior a 4 meses, con mejora sustancial en los escenarios Base y Agresivo (Parte VI).</w:t>
      </w:r>
    </w:p>
    <w:p>
      <w:pPr>
        <w:pStyle w:val="Heading1"/>
        <w:pageBreakBefore/>
      </w:pPr>
      <w:r>
        <w:t xml:space="preserve">28. Risks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4060"/>
      </w:tblGrid>
      <w:tr>
        <w:trPr>
          <w:tblHeader/>
        </w:trPr>
        <w:tc>
          <w:tcPr>
            <w:tcW w:type="dxa" w:w="2300"/>
            <w:shd w:fill="1C2535" w:val="clear"/>
            <w:tcMar>
              <w:top w:type="dxa" w:w="90"/>
              <w:left w:type="dxa" w:w="120"/>
              <w:bottom w:type="dxa" w:w="90"/>
              <w:right w:type="dxa" w:w="120"/>
            </w:tcMar>
            <w:vAlign w:val="center"/>
          </w:tcPr>
          <w:p>
            <w:r>
              <w:rPr>
                <w:b/>
                <w:bCs/>
                <w:color w:val="FFFFFF"/>
                <w:sz w:val="18"/>
                <w:szCs w:val="18"/>
              </w:rPr>
              <w:t xml:space="preserve">Riesgo</w:t>
            </w:r>
          </w:p>
        </w:tc>
        <w:tc>
          <w:tcPr>
            <w:tcW w:type="dxa" w:w="1300"/>
            <w:shd w:fill="1C2535" w:val="clear"/>
            <w:tcMar>
              <w:top w:type="dxa" w:w="90"/>
              <w:left w:type="dxa" w:w="120"/>
              <w:bottom w:type="dxa" w:w="90"/>
              <w:right w:type="dxa" w:w="120"/>
            </w:tcMar>
            <w:vAlign w:val="center"/>
          </w:tcPr>
          <w:p>
            <w:r>
              <w:rPr>
                <w:b/>
                <w:bCs/>
                <w:color w:val="FFFFFF"/>
                <w:sz w:val="18"/>
                <w:szCs w:val="18"/>
              </w:rPr>
              <w:t xml:space="preserve">Probabilidad</w:t>
            </w:r>
          </w:p>
        </w:tc>
        <w:tc>
          <w:tcPr>
            <w:tcW w:type="dxa" w:w="1300"/>
            <w:shd w:fill="1C2535" w:val="clear"/>
            <w:tcMar>
              <w:top w:type="dxa" w:w="90"/>
              <w:left w:type="dxa" w:w="120"/>
              <w:bottom w:type="dxa" w:w="90"/>
              <w:right w:type="dxa" w:w="120"/>
            </w:tcMar>
            <w:vAlign w:val="center"/>
          </w:tcPr>
          <w:p>
            <w:r>
              <w:rPr>
                <w:b/>
                <w:bCs/>
                <w:color w:val="FFFFFF"/>
                <w:sz w:val="18"/>
                <w:szCs w:val="18"/>
              </w:rPr>
              <w:t xml:space="preserve">Impacto</w:t>
            </w:r>
          </w:p>
        </w:tc>
        <w:tc>
          <w:tcPr>
            <w:tcW w:type="dxa" w:w="4060"/>
            <w:shd w:fill="1C2535" w:val="clear"/>
            <w:tcMar>
              <w:top w:type="dxa" w:w="90"/>
              <w:left w:type="dxa" w:w="120"/>
              <w:bottom w:type="dxa" w:w="90"/>
              <w:right w:type="dxa" w:w="120"/>
            </w:tcMar>
            <w:vAlign w:val="center"/>
          </w:tcPr>
          <w:p>
            <w:r>
              <w:rPr>
                <w:b/>
                <w:bCs/>
                <w:color w:val="FFFFFF"/>
                <w:sz w:val="18"/>
                <w:szCs w:val="18"/>
              </w:rPr>
              <w:t xml:space="preserve">Mitigación</w:t>
            </w:r>
          </w:p>
        </w:tc>
      </w:tr>
      <w:tr>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CAC real superior al asumido (95–150€ según escenario) al escalar adquisición pagada</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Media</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Alto</w:t>
            </w:r>
          </w:p>
        </w:tc>
        <w:tc>
          <w:tcPr>
            <w:tcW w:type="dxa" w:w="4060"/>
            <w:shd w:fill="F7F4F0" w:val="clear"/>
            <w:tcMar>
              <w:top w:type="dxa" w:w="90"/>
              <w:left w:type="dxa" w:w="120"/>
              <w:bottom w:type="dxa" w:w="90"/>
              <w:right w:type="dxa" w:w="120"/>
            </w:tcMar>
            <w:vAlign w:val="center"/>
          </w:tcPr>
          <w:p>
            <w:r>
              <w:rPr>
                <w:b w:val="false"/>
                <w:bCs w:val="false"/>
                <w:color w:val="3A4A5C"/>
                <w:sz w:val="19"/>
                <w:szCs w:val="19"/>
              </w:rPr>
              <w:t xml:space="preserve">Validar CAC con la primera cohorte real antes de comprometer presupuesto de marketing a escala; priorizar canales de bajo CAC (gremios, referidos) en la fase inicial.</w:t>
            </w:r>
          </w:p>
        </w:tc>
      </w:tr>
      <w:tr>
        <w:tc>
          <w:tcPr>
            <w:tcW w:type="dxa" w:w="2300"/>
            <w:shd w:fill="FFFFFF" w:val="clear"/>
            <w:tcMar>
              <w:top w:type="dxa" w:w="90"/>
              <w:left w:type="dxa" w:w="120"/>
              <w:bottom w:type="dxa" w:w="90"/>
              <w:right w:type="dxa" w:w="120"/>
            </w:tcMar>
            <w:vAlign w:val="center"/>
          </w:tcPr>
          <w:p>
            <w:r>
              <w:rPr>
                <w:b w:val="false"/>
                <w:bCs w:val="false"/>
                <w:color w:val="3A4A5C"/>
                <w:sz w:val="19"/>
                <w:szCs w:val="19"/>
              </w:rPr>
              <w:t xml:space="preserve">Onboarding demasiado complejo para un usuario de baja alfabetización digital</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Media</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Alto</w:t>
            </w:r>
          </w:p>
        </w:tc>
        <w:tc>
          <w:tcPr>
            <w:tcW w:type="dxa" w:w="4060"/>
            <w:shd w:fill="FFFFFF" w:val="clear"/>
            <w:tcMar>
              <w:top w:type="dxa" w:w="90"/>
              <w:left w:type="dxa" w:w="120"/>
              <w:bottom w:type="dxa" w:w="90"/>
              <w:right w:type="dxa" w:w="120"/>
            </w:tcMar>
            <w:vAlign w:val="center"/>
          </w:tcPr>
          <w:p>
            <w:r>
              <w:rPr>
                <w:b w:val="false"/>
                <w:bCs w:val="false"/>
                <w:color w:val="3A4A5C"/>
                <w:sz w:val="19"/>
                <w:szCs w:val="19"/>
              </w:rPr>
              <w:t xml:space="preserve">Onboarding de máximo 3 pantallas; soporte 1:1 por WhatsApp con los primeros clientes; voz como entrada por defecto reduce la curva de aprendizaje.</w:t>
            </w:r>
          </w:p>
        </w:tc>
      </w:tr>
      <w:tr>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Holded, Quipu o Billin añaden funcionalidades verticales similares</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Media</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Medio</w:t>
            </w:r>
          </w:p>
        </w:tc>
        <w:tc>
          <w:tcPr>
            <w:tcW w:type="dxa" w:w="4060"/>
            <w:shd w:fill="F7F4F0" w:val="clear"/>
            <w:tcMar>
              <w:top w:type="dxa" w:w="90"/>
              <w:left w:type="dxa" w:w="120"/>
              <w:bottom w:type="dxa" w:w="90"/>
              <w:right w:type="dxa" w:w="120"/>
            </w:tcMar>
            <w:vAlign w:val="center"/>
          </w:tcPr>
          <w:p>
            <w:r>
              <w:rPr>
                <w:b w:val="false"/>
                <w:bCs w:val="false"/>
                <w:color w:val="3A4A5C"/>
                <w:sz w:val="19"/>
                <w:szCs w:val="19"/>
              </w:rPr>
              <w:t xml:space="preserve">La Base Maestra y la confianza dentro de los gremios tardan años en replicarse; penetración rápida en comunidades de oficio antes de que la ventana se cierre.</w:t>
            </w:r>
          </w:p>
        </w:tc>
      </w:tr>
      <w:tr>
        <w:tc>
          <w:tcPr>
            <w:tcW w:type="dxa" w:w="2300"/>
            <w:shd w:fill="FFFFFF" w:val="clear"/>
            <w:tcMar>
              <w:top w:type="dxa" w:w="90"/>
              <w:left w:type="dxa" w:w="120"/>
              <w:bottom w:type="dxa" w:w="90"/>
              <w:right w:type="dxa" w:w="120"/>
            </w:tcMar>
            <w:vAlign w:val="center"/>
          </w:tcPr>
          <w:p>
            <w:r>
              <w:rPr>
                <w:b w:val="false"/>
                <w:bCs w:val="false"/>
                <w:color w:val="3A4A5C"/>
                <w:sz w:val="19"/>
                <w:szCs w:val="19"/>
              </w:rPr>
              <w:t xml:space="preserve">Cambios en condiciones, precio o disponibilidad de la API de WhatsApp/Meta</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Baja</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Medio</w:t>
            </w:r>
          </w:p>
        </w:tc>
        <w:tc>
          <w:tcPr>
            <w:tcW w:type="dxa" w:w="4060"/>
            <w:shd w:fill="FFFFFF" w:val="clear"/>
            <w:tcMar>
              <w:top w:type="dxa" w:w="90"/>
              <w:left w:type="dxa" w:w="120"/>
              <w:bottom w:type="dxa" w:w="90"/>
              <w:right w:type="dxa" w:w="120"/>
            </w:tcMar>
            <w:vAlign w:val="center"/>
          </w:tcPr>
          <w:p>
            <w:r>
              <w:rPr>
                <w:b w:val="false"/>
                <w:bCs w:val="false"/>
                <w:color w:val="3A4A5C"/>
                <w:sz w:val="19"/>
                <w:szCs w:val="19"/>
              </w:rPr>
              <w:t xml:space="preserve">El flujo actual usa enlaces wa.me sin dependencia de la API de negocio de Meta; mantener el email como canal alternativo antes de invertir en integración profunda con la Cloud API.</w:t>
            </w:r>
          </w:p>
        </w:tc>
      </w:tr>
      <w:tr>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Churn real superior al 2–3,5% mensual asumido por falta de Product-Market Fit</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Media</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Alto</w:t>
            </w:r>
          </w:p>
        </w:tc>
        <w:tc>
          <w:tcPr>
            <w:tcW w:type="dxa" w:w="4060"/>
            <w:shd w:fill="F7F4F0" w:val="clear"/>
            <w:tcMar>
              <w:top w:type="dxa" w:w="90"/>
              <w:left w:type="dxa" w:w="120"/>
              <w:bottom w:type="dxa" w:w="90"/>
              <w:right w:type="dxa" w:w="120"/>
            </w:tcMar>
            <w:vAlign w:val="center"/>
          </w:tcPr>
          <w:p>
            <w:r>
              <w:rPr>
                <w:b w:val="false"/>
                <w:bCs w:val="false"/>
                <w:color w:val="3A4A5C"/>
                <w:sz w:val="19"/>
                <w:szCs w:val="19"/>
              </w:rPr>
              <w:t xml:space="preserve">No escalar adquisición antes de validar retención sólida en las primeras cohortes; el escenario Conservador (3,5% churn) ya incorpora este riesgo y sigue siendo rentable a partir del Año 2.</w:t>
            </w:r>
          </w:p>
        </w:tc>
      </w:tr>
      <w:tr>
        <w:tc>
          <w:tcPr>
            <w:tcW w:type="dxa" w:w="2300"/>
            <w:shd w:fill="FFFFFF" w:val="clear"/>
            <w:tcMar>
              <w:top w:type="dxa" w:w="90"/>
              <w:left w:type="dxa" w:w="120"/>
              <w:bottom w:type="dxa" w:w="90"/>
              <w:right w:type="dxa" w:w="120"/>
            </w:tcMar>
            <w:vAlign w:val="center"/>
          </w:tcPr>
          <w:p>
            <w:r>
              <w:rPr>
                <w:b w:val="false"/>
                <w:bCs w:val="false"/>
                <w:color w:val="3A4A5C"/>
                <w:sz w:val="19"/>
                <w:szCs w:val="19"/>
              </w:rPr>
              <w:t xml:space="preserve">Coste de IA crece más rápido que el ARPU al escalar</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Baja</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Bajo</w:t>
            </w:r>
          </w:p>
        </w:tc>
        <w:tc>
          <w:tcPr>
            <w:tcW w:type="dxa" w:w="4060"/>
            <w:shd w:fill="FFFFFF" w:val="clear"/>
            <w:tcMar>
              <w:top w:type="dxa" w:w="90"/>
              <w:left w:type="dxa" w:w="120"/>
              <w:bottom w:type="dxa" w:w="90"/>
              <w:right w:type="dxa" w:w="120"/>
            </w:tcMar>
            <w:vAlign w:val="center"/>
          </w:tcPr>
          <w:p>
            <w:r>
              <w:rPr>
                <w:b w:val="false"/>
                <w:bCs w:val="false"/>
                <w:color w:val="3A4A5C"/>
                <w:sz w:val="19"/>
                <w:szCs w:val="19"/>
              </w:rPr>
              <w:t xml:space="preserve">El coste de IA/infra por cliente (5€/mes) es hoy una fracción mínima del ARPU (45–60€); cachear respuestas frecuentes y limitar tokens por solicitud mantiene el ratio bajo control.</w:t>
            </w:r>
          </w:p>
        </w:tc>
      </w:tr>
      <w:tr>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Disposición a pagar por software de gestión inferior a la esperada en el segmento</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Media</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Alto</w:t>
            </w:r>
          </w:p>
        </w:tc>
        <w:tc>
          <w:tcPr>
            <w:tcW w:type="dxa" w:w="4060"/>
            <w:shd w:fill="F7F4F0" w:val="clear"/>
            <w:tcMar>
              <w:top w:type="dxa" w:w="90"/>
              <w:left w:type="dxa" w:w="120"/>
              <w:bottom w:type="dxa" w:w="90"/>
              <w:right w:type="dxa" w:w="120"/>
            </w:tcMar>
            <w:vAlign w:val="center"/>
          </w:tcPr>
          <w:p>
            <w:r>
              <w:rPr>
                <w:b w:val="false"/>
                <w:bCs w:val="false"/>
                <w:color w:val="3A4A5C"/>
                <w:sz w:val="19"/>
                <w:szCs w:val="19"/>
              </w:rPr>
              <w:t xml:space="preserve">Validar willingness-to-pay con entrevistas reales antes de cada expansión geográfica; prueba gratuita inicial para reducir la fricción de la primera decisión de compra.</w:t>
            </w:r>
          </w:p>
        </w:tc>
      </w:tr>
      <w:tr>
        <w:tc>
          <w:tcPr>
            <w:tcW w:type="dxa" w:w="2300"/>
            <w:shd w:fill="FFFFFF" w:val="clear"/>
            <w:tcMar>
              <w:top w:type="dxa" w:w="90"/>
              <w:left w:type="dxa" w:w="120"/>
              <w:bottom w:type="dxa" w:w="90"/>
              <w:right w:type="dxa" w:w="120"/>
            </w:tcMar>
            <w:vAlign w:val="center"/>
          </w:tcPr>
          <w:p>
            <w:r>
              <w:rPr>
                <w:b w:val="false"/>
                <w:bCs w:val="false"/>
                <w:color w:val="3A4A5C"/>
                <w:sz w:val="19"/>
                <w:szCs w:val="19"/>
              </w:rPr>
              <w:t xml:space="preserve">Riesgo regulatorio: retraso propio en la certificación VeriFactu/CFDI frente al calendario legal</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Baja</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Alto</w:t>
            </w:r>
          </w:p>
        </w:tc>
        <w:tc>
          <w:tcPr>
            <w:tcW w:type="dxa" w:w="4060"/>
            <w:shd w:fill="FFFFFF" w:val="clear"/>
            <w:tcMar>
              <w:top w:type="dxa" w:w="90"/>
              <w:left w:type="dxa" w:w="120"/>
              <w:bottom w:type="dxa" w:w="90"/>
              <w:right w:type="dxa" w:w="120"/>
            </w:tcMar>
            <w:vAlign w:val="center"/>
          </w:tcPr>
          <w:p>
            <w:r>
              <w:rPr>
                <w:b w:val="false"/>
                <w:bCs w:val="false"/>
                <w:color w:val="3A4A5C"/>
                <w:sz w:val="19"/>
                <w:szCs w:val="19"/>
              </w:rPr>
              <w:t xml:space="preserve">Roadmap explícito con margen sobre los plazos legales (julio 2027 VeriFactu); priorización de la certificación por delante de funcionalidades no críticas.</w:t>
            </w:r>
          </w:p>
        </w:tc>
      </w:tr>
      <w:tr>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Dependencia de fundador único en la fase actual</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Alta</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Alto</w:t>
            </w:r>
          </w:p>
        </w:tc>
        <w:tc>
          <w:tcPr>
            <w:tcW w:type="dxa" w:w="4060"/>
            <w:shd w:fill="F7F4F0" w:val="clear"/>
            <w:tcMar>
              <w:top w:type="dxa" w:w="90"/>
              <w:left w:type="dxa" w:w="120"/>
              <w:bottom w:type="dxa" w:w="90"/>
              <w:right w:type="dxa" w:w="120"/>
            </w:tcMar>
            <w:vAlign w:val="center"/>
          </w:tcPr>
          <w:p>
            <w:r>
              <w:rPr>
                <w:b w:val="false"/>
                <w:bCs w:val="false"/>
                <w:color w:val="3A4A5C"/>
                <w:sz w:val="19"/>
                <w:szCs w:val="19"/>
              </w:rPr>
              <w:t xml:space="preserve">Parte explícita del uso de fondos en los tramos de 100.000€ y superiores está destinada a incorporar al menos un perfil técnico y/o comercial senior.</w:t>
            </w:r>
          </w:p>
        </w:tc>
      </w:tr>
      <w:tr>
        <w:tc>
          <w:tcPr>
            <w:tcW w:type="dxa" w:w="2300"/>
            <w:shd w:fill="FFFFFF" w:val="clear"/>
            <w:tcMar>
              <w:top w:type="dxa" w:w="90"/>
              <w:left w:type="dxa" w:w="120"/>
              <w:bottom w:type="dxa" w:w="90"/>
              <w:right w:type="dxa" w:w="120"/>
            </w:tcMar>
            <w:vAlign w:val="center"/>
          </w:tcPr>
          <w:p>
            <w:r>
              <w:rPr>
                <w:b w:val="false"/>
                <w:bCs w:val="false"/>
                <w:color w:val="3A4A5C"/>
                <w:sz w:val="19"/>
                <w:szCs w:val="19"/>
              </w:rPr>
              <w:t xml:space="preserve">Privacidad y RGPD sobre datos de clientes del instalador</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Baja</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Medio</w:t>
            </w:r>
          </w:p>
        </w:tc>
        <w:tc>
          <w:tcPr>
            <w:tcW w:type="dxa" w:w="4060"/>
            <w:shd w:fill="FFFFFF" w:val="clear"/>
            <w:tcMar>
              <w:top w:type="dxa" w:w="90"/>
              <w:left w:type="dxa" w:w="120"/>
              <w:bottom w:type="dxa" w:w="90"/>
              <w:right w:type="dxa" w:w="120"/>
            </w:tcMar>
            <w:vAlign w:val="center"/>
          </w:tcPr>
          <w:p>
            <w:r>
              <w:rPr>
                <w:b w:val="false"/>
                <w:bCs w:val="false"/>
                <w:color w:val="3A4A5C"/>
                <w:sz w:val="19"/>
                <w:szCs w:val="19"/>
              </w:rPr>
              <w:t xml:space="preserve">Política de privacidad y contratos de tratamiento de datos desde el primer día; datos cifrados en Supabase; revisión legal específica antes de cada expansión a un nuevo país.</w:t>
            </w:r>
          </w:p>
        </w:tc>
      </w:tr>
    </w:tbl>
    <w:p>
      <w:pPr>
        <w:pStyle w:val="Heading1"/>
        <w:pageBreakBefore/>
      </w:pPr>
      <w:r>
        <w:t xml:space="preserve">29. Conclusion</w:t>
      </w:r>
    </w:p>
    <w:p>
      <w:pPr>
        <w:spacing w:after="160"/>
      </w:pPr>
      <w:r>
        <w:rPr>
          <w:color w:val="3A4A5C"/>
          <w:sz w:val="22"/>
          <w:szCs w:val="22"/>
        </w:rPr>
        <w:t xml:space="preserve">TrabFlow no pide a un inversor que apueste por una categoría hipotética: pide que reconozca una categoría que ya existe —ServiceTitan y Jobber la han probado fuera de España con compañías de varios cientos de millones a varios miles de millones de dólares de valor— y que falta, de forma verificable, en el mundo hispanohablante.</w:t>
      </w:r>
    </w:p>
    <w:p>
      <w:pPr>
        <w:spacing w:after="160"/>
      </w:pPr>
      <w:r>
        <w:rPr>
          <w:color w:val="3A4A5C"/>
          <w:sz w:val="22"/>
          <w:szCs w:val="22"/>
        </w:rPr>
        <w:t xml:space="preserve">Lo que hace defendible la posición de TrabFlow no es haber llegado primero a una idea, sino haber empezado a construir, oficio por oficio, el activo de datos y la red de distribución que un competidor —español o internacional— no puede improvisar en un trimestre: un catálogo estructurado que mejora con el uso, un cumplimiento fiscal nativo que se vuelve más complejo de replicar con cada mercado nuevo, y una relación de confianza con gremios y gestorías que se construye con años, no con presupuesto de marketing.</w:t>
      </w:r>
    </w:p>
    <w:p>
      <w:pPr>
        <w:spacing w:after="160"/>
      </w:pPr>
      <w:r>
        <w:rPr>
          <w:color w:val="3A4A5C"/>
          <w:sz w:val="22"/>
          <w:szCs w:val="22"/>
        </w:rPr>
        <w:t xml:space="preserve">La decisión de invertir no depende de creer en una promesa de futuro: depende de evaluar un producto que ya funciona, una ola regulatoria que ya está en el BOE, un modelo financiero trazable que se sostiene incluso bajo supuestos conservadores, y un equipo que ya ha demostrado capacidad de ejecución sin haber levantado capital externo todavía. El riesgo real no es que la categoría no exista; es de ejecución —completar el catálogo, ampliar el equipo más allá de una persona, y replicar en Portugal y México lo que ya funciona en España.</w:t>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D"/>
        <w:sz w:val="15"/>
        <w:szCs w:val="15"/>
      </w:rPr>
      <w:t xml:space="preserve">TrabFlow Technologies, S.L. · Confidencial · </w:t>
    </w:r>
    <w:r>
      <w:rPr>
        <w:color w:val="6B7A8D"/>
        <w:sz w:val="15"/>
        <w:szCs w:val="15"/>
      </w:rPr>
      <w:t xml:space="preserve">Página </w:t>
    </w:r>
    <w:r>
      <w:rPr>
        <w:color w:val="6B7A8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9E3" w:sz="4" w:space="4"/>
      </w:pBdr>
      <w:jc w:val="right"/>
    </w:pPr>
    <w:r>
      <w:rPr>
        <w:color w:val="6B7A8D"/>
        <w:sz w:val="15"/>
        <w:szCs w:val="15"/>
      </w:rPr>
      <w:t xml:space="preserve">TRABFLOW VISION &amp; PRODUCT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A96" w:sz="6" w:space="6"/>
      </w:pBdr>
      <w:spacing w:after="240" w:before="0"/>
      <w:outlineLvl w:val="0"/>
    </w:pPr>
    <w:rPr>
      <w:rFonts w:ascii="Arial" w:cs="Arial" w:eastAsia="Arial" w:hAnsi="Arial"/>
      <w:b/>
      <w:bCs/>
      <w:color w:val="1C2535"/>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1A5A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8e29ae1d9099c1bf464282138f8a25d50e5e16.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TrabFlow Vision &amp; Product v2.0</dc:title>
  <dc:creator>TrabFlow Technologies, S.L.</dc:creator>
  <cp:lastModifiedBy>Un-named</cp:lastModifiedBy>
  <cp:revision>1</cp:revision>
  <dcterms:created xsi:type="dcterms:W3CDTF">2026-06-17T06:23:47.958Z</dcterms:created>
  <dcterms:modified xsi:type="dcterms:W3CDTF">2026-06-17T06:23:47.958Z</dcterms:modified>
</cp:coreProperties>
</file>

<file path=docProps/custom.xml><?xml version="1.0" encoding="utf-8"?>
<Properties xmlns="http://schemas.openxmlformats.org/officeDocument/2006/custom-properties" xmlns:vt="http://schemas.openxmlformats.org/officeDocument/2006/docPropsVTypes"/>
</file>