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 VISION &amp; PRODUCT</w:t>
      </w:r>
    </w:p>
    <w:p>
      <w:pPr>
        <w:pStyle w:val="Ttulo2"/>
        <w:bidi w:val="0"/>
        <w:jc w:val="left"/>
        <w:rPr/>
      </w:pPr>
      <w:r>
        <w:rPr/>
        <w:t>Documento Corporativo para Socios, Inversores y Partners Estratégicos</w:t>
      </w:r>
    </w:p>
    <w:p>
      <w:pPr>
        <w:pStyle w:val="Ttulo3"/>
        <w:bidi w:val="0"/>
        <w:jc w:val="left"/>
        <w:rPr/>
      </w:pPr>
      <w:r>
        <w:rPr/>
        <w:t>Versión 2.0 – Junio 2026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versión inicial para presentarlo 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socios potenciales,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advisors,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aceleradoras,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business angels,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ENISA,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partners estratégicos.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TRABFLOW INVESTMENT MEMORANDUM</w:t>
      </w:r>
    </w:p>
    <w:p>
      <w:pPr>
        <w:pStyle w:val="Ttulo2"/>
        <w:bidi w:val="0"/>
        <w:jc w:val="left"/>
        <w:rPr/>
      </w:pPr>
      <w:r>
        <w:rPr/>
        <w:t>Documento Confidencial para Inversores, Socios Estratégicos y Entidades de Financiación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Versión 1.0</w:t>
        <w:br/>
        <w:t>Junio 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========================================================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Data Room Master Index</w:t>
      </w:r>
      <w:r>
        <w:rPr/>
        <w:t>, que será la estructura profesional completa de carpetas y documentos para tener TradeFlow preparado para: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ENISA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Business Angels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Socios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Aceleradoras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Bancos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CDTI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Venta futura de la empresa </w:t>
      </w:r>
    </w:p>
    <w:p>
      <w:pPr>
        <w:pStyle w:val="Cuerpodetexto"/>
        <w:bidi w:val="0"/>
        <w:jc w:val="left"/>
        <w:rPr/>
      </w:pPr>
      <w:r>
        <w:rPr/>
        <w:t>Ese documento suele convertirse en el "centro de mando" de toda la compañía.</w:t>
      </w:r>
    </w:p>
    <w:p>
      <w:pPr>
        <w:pStyle w:val="Cuerpodetexto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LibreOffice/7.4.3.2$Windows_X86_64 LibreOffice_project/1048a8393ae2eeec98dff31b5c133c5f1d08b890</Application>
  <AppVersion>15.0000</AppVersion>
  <Pages>1</Pages>
  <Words>106</Words>
  <Characters>717</Characters>
  <CharactersWithSpaces>799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2026-06-16T18:43:30Z</dcterms:created>
  <dc:creator/>
  <dc:description/>
  <dc:language>es-ES</dc:language>
  <cp:lastModifiedBy/>
  <dcterms:modified xsi:type="dcterms:W3CDTF">2026-06-16T18:53:35Z</dcterms:modified>
  <cp:revision>1</cp:revision>
  <dc:subject/>
  <dc:title/>
</cp:coreProperties>
</file>