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D4ED8"/>
          <w:sz w:val="30"/>
          <w:szCs w:val="30"/>
        </w:rPr>
        <w:t xml:space="preserve">TRABFLOW</w:t>
      </w:r>
    </w:p>
    <w:p>
      <w:pPr>
        <w:spacing w:after="120" w:before="260"/>
      </w:pPr>
      <w:r>
        <w:rPr>
          <w:b/>
          <w:bCs/>
          <w:color w:val="1E3A8A"/>
          <w:sz w:val="56"/>
          <w:szCs w:val="56"/>
        </w:rPr>
        <w:t xml:space="preserve">Asistente Técnico del Instalador</w:t>
      </w:r>
    </w:p>
    <w:p>
      <w:pPr>
        <w:spacing w:after="500"/>
      </w:pPr>
      <w:r>
        <w:rPr>
          <w:color w:val="5B6472"/>
          <w:sz w:val="26"/>
          <w:szCs w:val="26"/>
        </w:rPr>
        <w:t xml:space="preserve">Biblioteca normativa con recuperación aumentada (RAG): documento técnico, fases de implementación y análisis de costes</w:t>
      </w:r>
    </w:p>
    <w:p>
      <w:pPr>
        <w:spacing w:after="60"/>
      </w:pPr>
      <w:r>
        <w:rPr>
          <w:i/>
          <w:iCs/>
          <w:color w:val="5B6472"/>
          <w:sz w:val="20"/>
          <w:szCs w:val="20"/>
        </w:rPr>
        <w:t xml:space="preserve">Documento interno · Confidencial</w:t>
      </w:r>
    </w:p>
    <w:p>
      <w:pPr>
        <w:spacing w:after="60"/>
      </w:pPr>
      <w:r>
        <w:rPr>
          <w:color w:val="5B6472"/>
          <w:sz w:val="20"/>
          <w:szCs w:val="20"/>
        </w:rPr>
        <w:t xml:space="preserve">Junio 2026</w:t>
      </w:r>
    </w:p>
    <w:p>
      <w:pPr>
        <w:spacing w:after="1800"/>
      </w:pPr>
      <w:r>
        <w:rPr>
          <w:color w:val="5B6472"/>
          <w:sz w:val="20"/>
          <w:szCs w:val="20"/>
        </w:rPr>
        <w:t xml:space="preserve">TrabFlow Technologies, S.L. · Fernando Carbonell Cabo</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before="200"/>
      </w:pPr>
      <w:r>
        <w:rPr>
          <w:i/>
          <w:iCs/>
          <w:color w:val="5B6472"/>
          <w:sz w:val="16"/>
          <w:szCs w:val="16"/>
        </w:rPr>
        <w:t xml:space="preserve">(Si el índice aparece vacío al abrir el documento, clic derecho sobre él → Actualizar campo, o F9)</w:t>
      </w:r>
    </w:p>
    <w:p>
      <w:r>
        <w:br w:type="page"/>
      </w:r>
    </w:p>
    <w:p>
      <w:pPr>
        <w:pStyle w:val="Heading1"/>
      </w:pPr>
      <w:r>
        <w:t xml:space="preserve">1. Resumen ejecutivo</w:t>
      </w:r>
    </w:p>
    <w:p>
      <w:pPr>
        <w:spacing w:after="160"/>
      </w:pPr>
      <w:r>
        <w:rPr>
          <w:color w:val="222222"/>
          <w:sz w:val="21"/>
          <w:szCs w:val="21"/>
        </w:rPr>
        <w:t xml:space="preserve">Este documento define el Asistente Técnico del Instalador: un módulo que añade a TrabFlow una biblioteca normativa indexada (RITE, REBT, CTE, Reglamento de Gas, normativa de ACS, guías IDAE, documentación de fabricantes y circulares de asociaciones) consultable en lenguaje natural, con respuestas que citan siempre la fuente exacta (documento y artículo o IT).</w:t>
      </w:r>
    </w:p>
    <w:p>
      <w:pPr>
        <w:spacing w:after="160"/>
      </w:pPr>
      <w:r>
        <w:rPr>
          <w:color w:val="222222"/>
          <w:sz w:val="21"/>
          <w:szCs w:val="21"/>
        </w:rPr>
        <w:t xml:space="preserve">La pieza no introduce un paradigma nuevo: aplica a la normativa el mismo principio que ya gobierna Base Maestra — la IA no improvisa, recupera información de una base estructurada y la cita. Técnicamente se apoya por completo en la infraestructura ya existente (Supabase, Edge Functions, Claude API), añadiendo una extensión de base de datos vectorial (pgvector) y un proveedor de embeddings (Voyage AI, socio recomendado por Anthropic, ya que Claude no ofrece embeddings propios).</w:t>
      </w:r>
    </w:p>
    <w:p>
      <w:pPr>
        <w:spacing w:after="160"/>
      </w:pPr>
      <w:r>
        <w:rPr>
          <w:b/>
          <w:bCs/>
          <w:color w:val="222222"/>
          <w:sz w:val="21"/>
          <w:szCs w:val="21"/>
        </w:rPr>
        <w:t xml:space="preserve">Conclusión del análisis de costes: </w:t>
      </w:r>
      <w:r>
        <w:rPr>
          <w:color w:val="222222"/>
          <w:sz w:val="21"/>
          <w:szCs w:val="21"/>
        </w:rPr>
        <w:t xml:space="preserve">incluso en el escenario de uso más exigente (Claude Sonnet 4.6, 100 consultas al mes por cliente, adopción del 100 % de la base de clientes), el coste añadido se mantiene por debajo del 2 % del MRR en los tres escenarios del modelo financiero, y representa como máximo un 16,5 % adicional sobre la partida de "Coste IA/infraestructura" (5 €/cliente/mes) que el modelo ya contempla. No hace falta tocar precios ni reservar presupuesto adicional para lanzarlo.</w:t>
      </w:r>
    </w:p>
    <w:p>
      <w:pPr>
        <w:spacing w:after="160"/>
      </w:pPr>
      <w:r>
        <w:rPr>
          <w:color w:val="222222"/>
          <w:sz w:val="21"/>
          <w:szCs w:val="21"/>
        </w:rPr>
        <w:t xml:space="preserve">El hito intermedio recomendado — una versión funcional con el RITE y el REBT indexados, alineada con los dos oficios que Base Maestra ya tiene completos — se alcanza en torno a 5-6 semanas de trabajo efectivo, y sirve como demo concreta para la reunión con Luciano/CONAIF.</w:t>
      </w:r>
    </w:p>
    <w:p>
      <w:pPr>
        <w:pStyle w:val="Heading1"/>
      </w:pPr>
      <w:r>
        <w:t xml:space="preserve">2. Objetivo y alcance funcional</w:t>
      </w:r>
    </w:p>
    <w:p>
      <w:pPr>
        <w:pStyle w:val="Heading2"/>
      </w:pPr>
      <w:r>
        <w:t xml:space="preserve">2.1 Qué resuelve</w:t>
      </w:r>
    </w:p>
    <w:p>
      <w:pPr>
        <w:spacing w:after="160"/>
      </w:pPr>
      <w:r>
        <w:rPr>
          <w:color w:val="222222"/>
          <w:sz w:val="21"/>
          <w:szCs w:val="21"/>
        </w:rPr>
        <w:t xml:space="preserve">Hoy el instalador que necesita resolver una duda normativa en obra recurre a buscar manualmente en PDFs, llamar a un compañero o consultar al colegio profesional. El Asistente Técnico centraliza esa consulta dentro de TrabFlow, con respuesta inmediata y trazable. Preguntas tipo que debe resolver:</w:t>
      </w:r>
    </w:p>
    <w:p>
      <w:pPr>
        <w:pStyle w:val="ListParagraph"/>
        <w:numPr>
          <w:ilvl w:val="0"/>
          <w:numId w:val="2"/>
        </w:numPr>
        <w:spacing w:after="90"/>
      </w:pPr>
      <w:r>
        <w:rPr>
          <w:color w:val="222222"/>
          <w:sz w:val="21"/>
          <w:szCs w:val="21"/>
        </w:rPr>
        <w:t xml:space="preserve">¿Qué sección del RITE aplica a esta instalación?</w:t>
      </w:r>
    </w:p>
    <w:p>
      <w:pPr>
        <w:pStyle w:val="ListParagraph"/>
        <w:numPr>
          <w:ilvl w:val="0"/>
          <w:numId w:val="2"/>
        </w:numPr>
        <w:spacing w:after="90"/>
      </w:pPr>
      <w:r>
        <w:rPr>
          <w:color w:val="222222"/>
          <w:sz w:val="21"/>
          <w:szCs w:val="21"/>
        </w:rPr>
        <w:t xml:space="preserve">¿Qué diámetro de tubería se recomienda para este caso?</w:t>
      </w:r>
    </w:p>
    <w:p>
      <w:pPr>
        <w:pStyle w:val="ListParagraph"/>
        <w:numPr>
          <w:ilvl w:val="0"/>
          <w:numId w:val="2"/>
        </w:numPr>
        <w:spacing w:after="90"/>
      </w:pPr>
      <w:r>
        <w:rPr>
          <w:color w:val="222222"/>
          <w:sz w:val="21"/>
          <w:szCs w:val="21"/>
        </w:rPr>
        <w:t xml:space="preserve">¿Qué documentación debo entregar al cliente?</w:t>
      </w:r>
    </w:p>
    <w:p>
      <w:pPr>
        <w:pStyle w:val="ListParagraph"/>
        <w:numPr>
          <w:ilvl w:val="0"/>
          <w:numId w:val="2"/>
        </w:numPr>
        <w:spacing w:after="90"/>
      </w:pPr>
      <w:r>
        <w:rPr>
          <w:color w:val="222222"/>
          <w:sz w:val="21"/>
          <w:szCs w:val="21"/>
        </w:rPr>
        <w:t xml:space="preserve">¿Qué certificados necesito para legalizar esta instalación?</w:t>
      </w:r>
    </w:p>
    <w:p>
      <w:pPr>
        <w:pStyle w:val="ListParagraph"/>
        <w:numPr>
          <w:ilvl w:val="0"/>
          <w:numId w:val="2"/>
        </w:numPr>
        <w:spacing w:after="90"/>
      </w:pPr>
      <w:r>
        <w:rPr>
          <w:color w:val="222222"/>
          <w:sz w:val="21"/>
          <w:szCs w:val="21"/>
        </w:rPr>
        <w:t xml:space="preserve">¿Qué requisitos establece el REBT para esta actuación?</w:t>
      </w:r>
    </w:p>
    <w:p>
      <w:pPr>
        <w:pStyle w:val="ListParagraph"/>
        <w:numPr>
          <w:ilvl w:val="0"/>
          <w:numId w:val="2"/>
        </w:numPr>
        <w:spacing w:after="90"/>
      </w:pPr>
      <w:r>
        <w:rPr>
          <w:color w:val="222222"/>
          <w:sz w:val="21"/>
          <w:szCs w:val="21"/>
        </w:rPr>
        <w:t xml:space="preserve">¿Qué mantenimiento exige esta instalación?</w:t>
      </w:r>
    </w:p>
    <w:p>
      <w:pPr>
        <w:pStyle w:val="Heading2"/>
      </w:pPr>
      <w:r>
        <w:t xml:space="preserve">2.2 Principio de diseño: grounding, no improvisación</w:t>
      </w:r>
    </w:p>
    <w:p>
      <w:pPr>
        <w:spacing w:after="160"/>
      </w:pPr>
      <w:r>
        <w:rPr>
          <w:color w:val="222222"/>
          <w:sz w:val="21"/>
          <w:szCs w:val="21"/>
        </w:rPr>
        <w:t xml:space="preserve">El requisito no negociable es que la IA nunca "recuerde" normativa de memoria. Cada respuesta debe construirse exclusivamente a partir de fragmentos recuperados de los documentos indexados y citar su origen exacto. Si no se encuentra un fragmento relevante, el asistente debe decirlo explícitamente en lugar de generar una respuesta plausible pero no verificada — el mismo estándar que ya aplica al motor de presupuestos sobre Base Maestra.</w:t>
      </w:r>
    </w:p>
    <w:p>
      <w:pPr>
        <w:pStyle w:val="Heading2"/>
      </w:pPr>
      <w:r>
        <w:t xml:space="preserve">2.3 Fuera de alcance (en esta versión)</w:t>
      </w:r>
    </w:p>
    <w:p>
      <w:pPr>
        <w:pStyle w:val="ListParagraph"/>
        <w:numPr>
          <w:ilvl w:val="0"/>
          <w:numId w:val="2"/>
        </w:numPr>
        <w:spacing w:after="90"/>
      </w:pPr>
      <w:r>
        <w:rPr>
          <w:color w:val="222222"/>
          <w:sz w:val="21"/>
          <w:szCs w:val="21"/>
        </w:rPr>
        <w:t xml:space="preserve">No sustituye la firma ni la responsabilidad del instalador o técnico competente sobre la instalación.</w:t>
      </w:r>
    </w:p>
    <w:p>
      <w:pPr>
        <w:pStyle w:val="ListParagraph"/>
        <w:numPr>
          <w:ilvl w:val="0"/>
          <w:numId w:val="2"/>
        </w:numPr>
        <w:spacing w:after="90"/>
      </w:pPr>
      <w:r>
        <w:rPr>
          <w:color w:val="222222"/>
          <w:sz w:val="21"/>
          <w:szCs w:val="21"/>
        </w:rPr>
        <w:t xml:space="preserve">No sustituye la tramitación de boletines o certificados ante el organismo correspondiente.</w:t>
      </w:r>
    </w:p>
    <w:p>
      <w:pPr>
        <w:pStyle w:val="ListParagraph"/>
        <w:numPr>
          <w:ilvl w:val="0"/>
          <w:numId w:val="2"/>
        </w:numPr>
        <w:spacing w:after="90"/>
      </w:pPr>
      <w:r>
        <w:rPr>
          <w:color w:val="222222"/>
          <w:sz w:val="21"/>
          <w:szCs w:val="21"/>
        </w:rPr>
        <w:t xml:space="preserve">No emite dictámenes legales vinculantes; ante un caso límite, debe remitir a la gestoría, el colegio profesional o el organismo de control.</w:t>
      </w:r>
    </w:p>
    <w:p>
      <w:pPr>
        <w:pStyle w:val="Heading1"/>
      </w:pPr>
      <w:r>
        <w:t xml:space="preserve">3. Arquitectura técnica</w:t>
      </w:r>
    </w:p>
    <w:p>
      <w:pPr>
        <w:pStyle w:val="Heading2"/>
      </w:pPr>
      <w:r>
        <w:t xml:space="preserve">3.1 Visión general del flujo</w:t>
      </w:r>
    </w:p>
    <w:p>
      <w:pPr>
        <w:spacing w:after="160"/>
      </w:pPr>
      <w:r>
        <w:rPr>
          <w:color w:val="222222"/>
          <w:sz w:val="21"/>
          <w:szCs w:val="21"/>
        </w:rPr>
        <w:t xml:space="preserve">El sistema añade dos procesos a los Edge Functions ya existentes en el proyecto Supabase dqqjaujnulutinskmqsu:</w:t>
      </w:r>
    </w:p>
    <w:p>
      <w:pPr>
        <w:pStyle w:val="ListParagraph"/>
        <w:numPr>
          <w:ilvl w:val="0"/>
          <w:numId w:val="2"/>
        </w:numPr>
        <w:spacing w:after="90"/>
      </w:pPr>
      <w:r>
        <w:rPr>
          <w:color w:val="222222"/>
          <w:sz w:val="21"/>
          <w:szCs w:val="21"/>
        </w:rPr>
        <w:t xml:space="preserve">Ingesta (una vez por documento o cuando se actualiza una norma): el documento se trocea, se generan embeddings y se guardan junto al texto y su referencia exacta de artículo/IT.</w:t>
      </w:r>
    </w:p>
    <w:p>
      <w:pPr>
        <w:pStyle w:val="ListParagraph"/>
        <w:numPr>
          <w:ilvl w:val="0"/>
          <w:numId w:val="2"/>
        </w:numPr>
        <w:spacing w:after="90"/>
      </w:pPr>
      <w:r>
        <w:rPr>
          <w:color w:val="222222"/>
          <w:sz w:val="21"/>
          <w:szCs w:val="21"/>
        </w:rPr>
        <w:t xml:space="preserve">Consulta (cada vez que el instalador pregunta): la pregunta se embebe, se buscan los fragmentos más afines por similitud vectorial, y Claude genera la respuesta citando el fragmento de origen.</w:t>
      </w:r>
    </w:p>
    <w:p>
      <w:pPr>
        <w:spacing w:after="160"/>
      </w:pPr>
      <w:r>
        <w:rPr>
          <w:color w:val="222222"/>
          <w:sz w:val="21"/>
          <w:szCs w:val="21"/>
        </w:rPr>
        <w:t xml:space="preserve">Este flujo replica el patrón ya usado en trade-voice-to-quote, trade-photo-scan y trade-parse-parte: Edge Function en Deno → llamada a Claude → escritura en Supabase. La diferencia es el paso intermedio de recuperación vectorial.</w:t>
      </w:r>
    </w:p>
    <w:p>
      <w:pPr>
        <w:pStyle w:val="Heading2"/>
      </w:pPr>
      <w:r>
        <w:t xml:space="preserve">3.2 Modelo de datos</w:t>
      </w:r>
    </w:p>
    <w:p>
      <w:pPr>
        <w:spacing w:after="160"/>
      </w:pPr>
      <w:r>
        <w:rPr>
          <w:color w:val="222222"/>
          <w:sz w:val="21"/>
          <w:szCs w:val="21"/>
        </w:rPr>
        <w:t xml:space="preserve">Tres tablas nuevas, con el mismo prefijo trade_ y las mismas convenciones (RLS, updated_at) que el resto del esquema:</w:t>
      </w:r>
    </w:p>
    <w:p>
      <w:pPr>
        <w:shd w:fill="F1F3F5" w:val="clear"/>
        <w:spacing w:after="0" w:before="0" w:line="230" w:lineRule="exact"/>
      </w:pPr>
      <w:r>
        <w:rPr>
          <w:rFonts w:ascii="Consolas" w:cs="Consolas" w:eastAsia="Consolas" w:hAnsi="Consolas"/>
          <w:color w:val="1F2937"/>
          <w:sz w:val="16"/>
          <w:szCs w:val="16"/>
        </w:rPr>
        <w:t xml:space="preserve">CREATE EXTENSION IF NOT EXISTS vector;</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Documentos normativos (metadatos)</w:t>
      </w:r>
    </w:p>
    <w:p>
      <w:pPr>
        <w:shd w:fill="F1F3F5" w:val="clear"/>
        <w:spacing w:after="0" w:before="0" w:line="230" w:lineRule="exact"/>
      </w:pPr>
      <w:r>
        <w:rPr>
          <w:rFonts w:ascii="Consolas" w:cs="Consolas" w:eastAsia="Consolas" w:hAnsi="Consolas"/>
          <w:color w:val="1F2937"/>
          <w:sz w:val="16"/>
          <w:szCs w:val="16"/>
        </w:rPr>
        <w:t xml:space="preserve">CREATE TABLE IF NOT EXISTS public.trade_normativa_documents (</w:t>
      </w:r>
    </w:p>
    <w:p>
      <w:pPr>
        <w:shd w:fill="F1F3F5" w:val="clear"/>
        <w:spacing w:after="0" w:before="0" w:line="230" w:lineRule="exact"/>
      </w:pPr>
      <w:r>
        <w:rPr>
          <w:rFonts w:ascii="Consolas" w:cs="Consolas" w:eastAsia="Consolas" w:hAnsi="Consolas"/>
          <w:color w:val="1F2937"/>
          <w:sz w:val="16"/>
          <w:szCs w:val="16"/>
        </w:rPr>
        <w:t xml:space="preserve">  id              uuid PRIMARY KEY DEFAULT gen_random_uuid(),</w:t>
      </w:r>
    </w:p>
    <w:p>
      <w:pPr>
        <w:shd w:fill="F1F3F5" w:val="clear"/>
        <w:spacing w:after="0" w:before="0" w:line="230" w:lineRule="exact"/>
      </w:pPr>
      <w:r>
        <w:rPr>
          <w:rFonts w:ascii="Consolas" w:cs="Consolas" w:eastAsia="Consolas" w:hAnsi="Consolas"/>
          <w:color w:val="1F2937"/>
          <w:sz w:val="16"/>
          <w:szCs w:val="16"/>
        </w:rPr>
        <w:t xml:space="preserve">  categoria       text NOT NULL, -- 'RITE','REBT','CTE','GAS','ACS','IDAE','FABRICANTE','CIRCULAR_ASOCIACION'</w:t>
      </w:r>
    </w:p>
    <w:p>
      <w:pPr>
        <w:shd w:fill="F1F3F5" w:val="clear"/>
        <w:spacing w:after="0" w:before="0" w:line="230" w:lineRule="exact"/>
      </w:pPr>
      <w:r>
        <w:rPr>
          <w:rFonts w:ascii="Consolas" w:cs="Consolas" w:eastAsia="Consolas" w:hAnsi="Consolas"/>
          <w:color w:val="1F2937"/>
          <w:sz w:val="16"/>
          <w:szCs w:val="16"/>
        </w:rPr>
        <w:t xml:space="preserve">  titulo          text NOT NULL,</w:t>
      </w:r>
    </w:p>
    <w:p>
      <w:pPr>
        <w:shd w:fill="F1F3F5" w:val="clear"/>
        <w:spacing w:after="0" w:before="0" w:line="230" w:lineRule="exact"/>
      </w:pPr>
      <w:r>
        <w:rPr>
          <w:rFonts w:ascii="Consolas" w:cs="Consolas" w:eastAsia="Consolas" w:hAnsi="Consolas"/>
          <w:color w:val="1F2937"/>
          <w:sz w:val="16"/>
          <w:szCs w:val="16"/>
        </w:rPr>
        <w:t xml:space="preserve">  fuente          text,            -- ej. 'BOE-A-2007-15820'</w:t>
      </w:r>
    </w:p>
    <w:p>
      <w:pPr>
        <w:shd w:fill="F1F3F5" w:val="clear"/>
        <w:spacing w:after="0" w:before="0" w:line="230" w:lineRule="exact"/>
      </w:pPr>
      <w:r>
        <w:rPr>
          <w:rFonts w:ascii="Consolas" w:cs="Consolas" w:eastAsia="Consolas" w:hAnsi="Consolas"/>
          <w:color w:val="1F2937"/>
          <w:sz w:val="16"/>
          <w:szCs w:val="16"/>
        </w:rPr>
        <w:t xml:space="preserve">  version_fecha   date,</w:t>
      </w:r>
    </w:p>
    <w:p>
      <w:pPr>
        <w:shd w:fill="F1F3F5" w:val="clear"/>
        <w:spacing w:after="0" w:before="0" w:line="230" w:lineRule="exact"/>
      </w:pPr>
      <w:r>
        <w:rPr>
          <w:rFonts w:ascii="Consolas" w:cs="Consolas" w:eastAsia="Consolas" w:hAnsi="Consolas"/>
          <w:color w:val="1F2937"/>
          <w:sz w:val="16"/>
          <w:szCs w:val="16"/>
        </w:rPr>
        <w:t xml:space="preserve">  asociacion_id   uuid,            -- NULL = normativa general, visible para todos</w:t>
      </w:r>
    </w:p>
    <w:p>
      <w:pPr>
        <w:shd w:fill="F1F3F5" w:val="clear"/>
        <w:spacing w:after="0" w:before="0" w:line="230" w:lineRule="exact"/>
      </w:pPr>
      <w:r>
        <w:rPr>
          <w:rFonts w:ascii="Consolas" w:cs="Consolas" w:eastAsia="Consolas" w:hAnsi="Consolas"/>
          <w:color w:val="1F2937"/>
          <w:sz w:val="16"/>
          <w:szCs w:val="16"/>
        </w:rPr>
        <w:t xml:space="preserve">  storage_path    text NOT NULL,</w:t>
      </w:r>
    </w:p>
    <w:p>
      <w:pPr>
        <w:shd w:fill="F1F3F5" w:val="clear"/>
        <w:spacing w:after="0" w:before="0" w:line="230" w:lineRule="exact"/>
      </w:pPr>
      <w:r>
        <w:rPr>
          <w:rFonts w:ascii="Consolas" w:cs="Consolas" w:eastAsia="Consolas" w:hAnsi="Consolas"/>
          <w:color w:val="1F2937"/>
          <w:sz w:val="16"/>
          <w:szCs w:val="16"/>
        </w:rPr>
        <w:t xml:space="preserve">  activo          boolean NOT NULL DEFAULT true,</w:t>
      </w:r>
    </w:p>
    <w:p>
      <w:pPr>
        <w:shd w:fill="F1F3F5" w:val="clear"/>
        <w:spacing w:after="0" w:before="0" w:line="230" w:lineRule="exact"/>
      </w:pPr>
      <w:r>
        <w:rPr>
          <w:rFonts w:ascii="Consolas" w:cs="Consolas" w:eastAsia="Consolas" w:hAnsi="Consolas"/>
          <w:color w:val="1F2937"/>
          <w:sz w:val="16"/>
          <w:szCs w:val="16"/>
        </w:rPr>
        <w:t xml:space="preserve">  created_at      timestamptz NOT NULL DEFAULT now()</w:t>
      </w:r>
    </w:p>
    <w:p>
      <w:pPr>
        <w:shd w:fill="F1F3F5" w:val="clear"/>
        <w:spacing w:after="0" w:before="0" w:line="230" w:lineRule="exact"/>
      </w:pPr>
      <w:r>
        <w:rPr>
          <w:rFonts w:ascii="Consolas" w:cs="Consolas" w:eastAsia="Consolas" w:hAnsi="Consolas"/>
          <w:color w:val="1F2937"/>
          <w:sz w:val="16"/>
          <w:szCs w:val="16"/>
        </w:rPr>
        <w:t xml:space="preserve">);</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Fragmentos indexados (chunks + embedding)</w:t>
      </w:r>
    </w:p>
    <w:p>
      <w:pPr>
        <w:shd w:fill="F1F3F5" w:val="clear"/>
        <w:spacing w:after="0" w:before="0" w:line="230" w:lineRule="exact"/>
      </w:pPr>
      <w:r>
        <w:rPr>
          <w:rFonts w:ascii="Consolas" w:cs="Consolas" w:eastAsia="Consolas" w:hAnsi="Consolas"/>
          <w:color w:val="1F2937"/>
          <w:sz w:val="16"/>
          <w:szCs w:val="16"/>
        </w:rPr>
        <w:t xml:space="preserve">CREATE TABLE IF NOT EXISTS public.trade_normativa_chunks (</w:t>
      </w:r>
    </w:p>
    <w:p>
      <w:pPr>
        <w:shd w:fill="F1F3F5" w:val="clear"/>
        <w:spacing w:after="0" w:before="0" w:line="230" w:lineRule="exact"/>
      </w:pPr>
      <w:r>
        <w:rPr>
          <w:rFonts w:ascii="Consolas" w:cs="Consolas" w:eastAsia="Consolas" w:hAnsi="Consolas"/>
          <w:color w:val="1F2937"/>
          <w:sz w:val="16"/>
          <w:szCs w:val="16"/>
        </w:rPr>
        <w:t xml:space="preserve">  id              uuid PRIMARY KEY DEFAULT gen_random_uuid(),</w:t>
      </w:r>
    </w:p>
    <w:p>
      <w:pPr>
        <w:shd w:fill="F1F3F5" w:val="clear"/>
        <w:spacing w:after="0" w:before="0" w:line="230" w:lineRule="exact"/>
      </w:pPr>
      <w:r>
        <w:rPr>
          <w:rFonts w:ascii="Consolas" w:cs="Consolas" w:eastAsia="Consolas" w:hAnsi="Consolas"/>
          <w:color w:val="1F2937"/>
          <w:sz w:val="16"/>
          <w:szCs w:val="16"/>
        </w:rPr>
        <w:t xml:space="preserve">  documento_id    uuid NOT NULL REFERENCES public.trade_normativa_documents(id) ON DELETE CASCADE,</w:t>
      </w:r>
    </w:p>
    <w:p>
      <w:pPr>
        <w:shd w:fill="F1F3F5" w:val="clear"/>
        <w:spacing w:after="0" w:before="0" w:line="230" w:lineRule="exact"/>
      </w:pPr>
      <w:r>
        <w:rPr>
          <w:rFonts w:ascii="Consolas" w:cs="Consolas" w:eastAsia="Consolas" w:hAnsi="Consolas"/>
          <w:color w:val="1F2937"/>
          <w:sz w:val="16"/>
          <w:szCs w:val="16"/>
        </w:rPr>
        <w:t xml:space="preserve">  contenido       text NOT NULL,</w:t>
      </w:r>
    </w:p>
    <w:p>
      <w:pPr>
        <w:shd w:fill="F1F3F5" w:val="clear"/>
        <w:spacing w:after="0" w:before="0" w:line="230" w:lineRule="exact"/>
      </w:pPr>
      <w:r>
        <w:rPr>
          <w:rFonts w:ascii="Consolas" w:cs="Consolas" w:eastAsia="Consolas" w:hAnsi="Consolas"/>
          <w:color w:val="1F2937"/>
          <w:sz w:val="16"/>
          <w:szCs w:val="16"/>
        </w:rPr>
        <w:t xml:space="preserve">  referencia      text,            -- ej. 'IT 1.3.4.1.2'</w:t>
      </w:r>
    </w:p>
    <w:p>
      <w:pPr>
        <w:shd w:fill="F1F3F5" w:val="clear"/>
        <w:spacing w:after="0" w:before="0" w:line="230" w:lineRule="exact"/>
      </w:pPr>
      <w:r>
        <w:rPr>
          <w:rFonts w:ascii="Consolas" w:cs="Consolas" w:eastAsia="Consolas" w:hAnsi="Consolas"/>
          <w:color w:val="1F2937"/>
          <w:sz w:val="16"/>
          <w:szCs w:val="16"/>
        </w:rPr>
        <w:t xml:space="preserve">  pagina          integer,</w:t>
      </w:r>
    </w:p>
    <w:p>
      <w:pPr>
        <w:shd w:fill="F1F3F5" w:val="clear"/>
        <w:spacing w:after="0" w:before="0" w:line="230" w:lineRule="exact"/>
      </w:pPr>
      <w:r>
        <w:rPr>
          <w:rFonts w:ascii="Consolas" w:cs="Consolas" w:eastAsia="Consolas" w:hAnsi="Consolas"/>
          <w:color w:val="1F2937"/>
          <w:sz w:val="16"/>
          <w:szCs w:val="16"/>
        </w:rPr>
        <w:t xml:space="preserve">  orden           integer NOT NULL,</w:t>
      </w:r>
    </w:p>
    <w:p>
      <w:pPr>
        <w:shd w:fill="F1F3F5" w:val="clear"/>
        <w:spacing w:after="0" w:before="0" w:line="230" w:lineRule="exact"/>
      </w:pPr>
      <w:r>
        <w:rPr>
          <w:rFonts w:ascii="Consolas" w:cs="Consolas" w:eastAsia="Consolas" w:hAnsi="Consolas"/>
          <w:color w:val="1F2937"/>
          <w:sz w:val="16"/>
          <w:szCs w:val="16"/>
        </w:rPr>
        <w:t xml:space="preserve">  embedding       vector(1024),    -- voyage-3.5 = 1024 dimensiones</w:t>
      </w:r>
    </w:p>
    <w:p>
      <w:pPr>
        <w:shd w:fill="F1F3F5" w:val="clear"/>
        <w:spacing w:after="0" w:before="0" w:line="230" w:lineRule="exact"/>
      </w:pPr>
      <w:r>
        <w:rPr>
          <w:rFonts w:ascii="Consolas" w:cs="Consolas" w:eastAsia="Consolas" w:hAnsi="Consolas"/>
          <w:color w:val="1F2937"/>
          <w:sz w:val="16"/>
          <w:szCs w:val="16"/>
        </w:rPr>
        <w:t xml:space="preserve">  created_at      timestamptz NOT NULL DEFAULT now()</w:t>
      </w:r>
    </w:p>
    <w:p>
      <w:pPr>
        <w:shd w:fill="F1F3F5" w:val="clear"/>
        <w:spacing w:after="0" w:before="0" w:line="230" w:lineRule="exact"/>
      </w:pPr>
      <w:r>
        <w:rPr>
          <w:rFonts w:ascii="Consolas" w:cs="Consolas" w:eastAsia="Consolas" w:hAnsi="Consolas"/>
          <w:color w:val="1F2937"/>
          <w:sz w:val="16"/>
          <w:szCs w:val="16"/>
        </w:rPr>
        <w:t xml:space="preserve">);</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CREATE INDEX IF NOT EXISTS idx_trade_normativa_chunks_embedding</w:t>
      </w:r>
    </w:p>
    <w:p>
      <w:pPr>
        <w:shd w:fill="F1F3F5" w:val="clear"/>
        <w:spacing w:after="0" w:before="0" w:line="230" w:lineRule="exact"/>
      </w:pPr>
      <w:r>
        <w:rPr>
          <w:rFonts w:ascii="Consolas" w:cs="Consolas" w:eastAsia="Consolas" w:hAnsi="Consolas"/>
          <w:color w:val="1F2937"/>
          <w:sz w:val="16"/>
          <w:szCs w:val="16"/>
        </w:rPr>
        <w:t xml:space="preserve">  ON public.trade_normativa_chunks USING hnsw (embedding vector_cosine_ops);</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Registro de consultas (control de uso y coste real)</w:t>
      </w:r>
    </w:p>
    <w:p>
      <w:pPr>
        <w:shd w:fill="F1F3F5" w:val="clear"/>
        <w:spacing w:after="0" w:before="0" w:line="230" w:lineRule="exact"/>
      </w:pPr>
      <w:r>
        <w:rPr>
          <w:rFonts w:ascii="Consolas" w:cs="Consolas" w:eastAsia="Consolas" w:hAnsi="Consolas"/>
          <w:color w:val="1F2937"/>
          <w:sz w:val="16"/>
          <w:szCs w:val="16"/>
        </w:rPr>
        <w:t xml:space="preserve">CREATE TABLE IF NOT EXISTS public.trade_normativa_query_log (</w:t>
      </w:r>
    </w:p>
    <w:p>
      <w:pPr>
        <w:shd w:fill="F1F3F5" w:val="clear"/>
        <w:spacing w:after="0" w:before="0" w:line="230" w:lineRule="exact"/>
      </w:pPr>
      <w:r>
        <w:rPr>
          <w:rFonts w:ascii="Consolas" w:cs="Consolas" w:eastAsia="Consolas" w:hAnsi="Consolas"/>
          <w:color w:val="1F2937"/>
          <w:sz w:val="16"/>
          <w:szCs w:val="16"/>
        </w:rPr>
        <w:t xml:space="preserve">  id              uuid PRIMARY KEY DEFAULT gen_random_uuid(),</w:t>
      </w:r>
    </w:p>
    <w:p>
      <w:pPr>
        <w:shd w:fill="F1F3F5" w:val="clear"/>
        <w:spacing w:after="0" w:before="0" w:line="230" w:lineRule="exact"/>
      </w:pPr>
      <w:r>
        <w:rPr>
          <w:rFonts w:ascii="Consolas" w:cs="Consolas" w:eastAsia="Consolas" w:hAnsi="Consolas"/>
          <w:color w:val="1F2937"/>
          <w:sz w:val="16"/>
          <w:szCs w:val="16"/>
        </w:rPr>
        <w:t xml:space="preserve">  org_id          uuid NOT NULL REFERENCES public.trade_organizations(id) ON DELETE CASCADE,</w:t>
      </w:r>
    </w:p>
    <w:p>
      <w:pPr>
        <w:shd w:fill="F1F3F5" w:val="clear"/>
        <w:spacing w:after="0" w:before="0" w:line="230" w:lineRule="exact"/>
      </w:pPr>
      <w:r>
        <w:rPr>
          <w:rFonts w:ascii="Consolas" w:cs="Consolas" w:eastAsia="Consolas" w:hAnsi="Consolas"/>
          <w:color w:val="1F2937"/>
          <w:sz w:val="16"/>
          <w:szCs w:val="16"/>
        </w:rPr>
        <w:t xml:space="preserve">  user_id         uuid REFERENCES auth.users(id),</w:t>
      </w:r>
    </w:p>
    <w:p>
      <w:pPr>
        <w:shd w:fill="F1F3F5" w:val="clear"/>
        <w:spacing w:after="0" w:before="0" w:line="230" w:lineRule="exact"/>
      </w:pPr>
      <w:r>
        <w:rPr>
          <w:rFonts w:ascii="Consolas" w:cs="Consolas" w:eastAsia="Consolas" w:hAnsi="Consolas"/>
          <w:color w:val="1F2937"/>
          <w:sz w:val="16"/>
          <w:szCs w:val="16"/>
        </w:rPr>
        <w:t xml:space="preserve">  pregunta        text NOT NULL,</w:t>
      </w:r>
    </w:p>
    <w:p>
      <w:pPr>
        <w:shd w:fill="F1F3F5" w:val="clear"/>
        <w:spacing w:after="0" w:before="0" w:line="230" w:lineRule="exact"/>
      </w:pPr>
      <w:r>
        <w:rPr>
          <w:rFonts w:ascii="Consolas" w:cs="Consolas" w:eastAsia="Consolas" w:hAnsi="Consolas"/>
          <w:color w:val="1F2937"/>
          <w:sz w:val="16"/>
          <w:szCs w:val="16"/>
        </w:rPr>
        <w:t xml:space="preserve">  chunks_usados   uuid[],</w:t>
      </w:r>
    </w:p>
    <w:p>
      <w:pPr>
        <w:shd w:fill="F1F3F5" w:val="clear"/>
        <w:spacing w:after="0" w:before="0" w:line="230" w:lineRule="exact"/>
      </w:pPr>
      <w:r>
        <w:rPr>
          <w:rFonts w:ascii="Consolas" w:cs="Consolas" w:eastAsia="Consolas" w:hAnsi="Consolas"/>
          <w:color w:val="1F2937"/>
          <w:sz w:val="16"/>
          <w:szCs w:val="16"/>
        </w:rPr>
        <w:t xml:space="preserve">  modelo          text NOT NULL,   -- 'claude-sonnet-4-6' | 'claude-haiku-4-5'</w:t>
      </w:r>
    </w:p>
    <w:p>
      <w:pPr>
        <w:shd w:fill="F1F3F5" w:val="clear"/>
        <w:spacing w:after="0" w:before="0" w:line="230" w:lineRule="exact"/>
      </w:pPr>
      <w:r>
        <w:rPr>
          <w:rFonts w:ascii="Consolas" w:cs="Consolas" w:eastAsia="Consolas" w:hAnsi="Consolas"/>
          <w:color w:val="1F2937"/>
          <w:sz w:val="16"/>
          <w:szCs w:val="16"/>
        </w:rPr>
        <w:t xml:space="preserve">  tokens_input    integer,</w:t>
      </w:r>
    </w:p>
    <w:p>
      <w:pPr>
        <w:shd w:fill="F1F3F5" w:val="clear"/>
        <w:spacing w:after="0" w:before="0" w:line="230" w:lineRule="exact"/>
      </w:pPr>
      <w:r>
        <w:rPr>
          <w:rFonts w:ascii="Consolas" w:cs="Consolas" w:eastAsia="Consolas" w:hAnsi="Consolas"/>
          <w:color w:val="1F2937"/>
          <w:sz w:val="16"/>
          <w:szCs w:val="16"/>
        </w:rPr>
        <w:t xml:space="preserve">  tokens_output   integer,</w:t>
      </w:r>
    </w:p>
    <w:p>
      <w:pPr>
        <w:shd w:fill="F1F3F5" w:val="clear"/>
        <w:spacing w:after="0" w:before="0" w:line="230" w:lineRule="exact"/>
      </w:pPr>
      <w:r>
        <w:rPr>
          <w:rFonts w:ascii="Consolas" w:cs="Consolas" w:eastAsia="Consolas" w:hAnsi="Consolas"/>
          <w:color w:val="1F2937"/>
          <w:sz w:val="16"/>
          <w:szCs w:val="16"/>
        </w:rPr>
        <w:t xml:space="preserve">  coste_usd_est   numeric(10,6),</w:t>
      </w:r>
    </w:p>
    <w:p>
      <w:pPr>
        <w:shd w:fill="F1F3F5" w:val="clear"/>
        <w:spacing w:after="0" w:before="0" w:line="230" w:lineRule="exact"/>
      </w:pPr>
      <w:r>
        <w:rPr>
          <w:rFonts w:ascii="Consolas" w:cs="Consolas" w:eastAsia="Consolas" w:hAnsi="Consolas"/>
          <w:color w:val="1F2937"/>
          <w:sz w:val="16"/>
          <w:szCs w:val="16"/>
        </w:rPr>
        <w:t xml:space="preserve">  util_feedback   boolean,         -- marcado por el instalador, igual que trade_ai_feedback</w:t>
      </w:r>
    </w:p>
    <w:p>
      <w:pPr>
        <w:shd w:fill="F1F3F5" w:val="clear"/>
        <w:spacing w:after="0" w:before="0" w:line="230" w:lineRule="exact"/>
      </w:pPr>
      <w:r>
        <w:rPr>
          <w:rFonts w:ascii="Consolas" w:cs="Consolas" w:eastAsia="Consolas" w:hAnsi="Consolas"/>
          <w:color w:val="1F2937"/>
          <w:sz w:val="16"/>
          <w:szCs w:val="16"/>
        </w:rPr>
        <w:t xml:space="preserve">  created_at      timestamptz NOT NULL DEFAULT now()</w:t>
      </w:r>
    </w:p>
    <w:p>
      <w:pPr>
        <w:shd w:fill="F1F3F5" w:val="clear"/>
        <w:spacing w:after="0" w:before="0" w:line="230" w:lineRule="exact"/>
      </w:pPr>
      <w:r>
        <w:rPr>
          <w:rFonts w:ascii="Consolas" w:cs="Consolas" w:eastAsia="Consolas" w:hAnsi="Consolas"/>
          <w:color w:val="1F2937"/>
          <w:sz w:val="16"/>
          <w:szCs w:val="16"/>
        </w:rPr>
        <w:t xml:space="preserve">);</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ALTER TABLE public.trade_normativa_documents ENABLE ROW LEVEL SECURITY;</w:t>
      </w:r>
    </w:p>
    <w:p>
      <w:pPr>
        <w:shd w:fill="F1F3F5" w:val="clear"/>
        <w:spacing w:after="0" w:before="0" w:line="230" w:lineRule="exact"/>
      </w:pPr>
      <w:r>
        <w:rPr>
          <w:rFonts w:ascii="Consolas" w:cs="Consolas" w:eastAsia="Consolas" w:hAnsi="Consolas"/>
          <w:color w:val="1F2937"/>
          <w:sz w:val="16"/>
          <w:szCs w:val="16"/>
        </w:rPr>
        <w:t xml:space="preserve">ALTER TABLE public.trade_normativa_chunks ENABLE ROW LEVEL SECURITY;</w:t>
      </w:r>
    </w:p>
    <w:p>
      <w:pPr>
        <w:shd w:fill="F1F3F5" w:val="clear"/>
        <w:spacing w:after="0" w:before="0" w:line="230" w:lineRule="exact"/>
      </w:pPr>
      <w:r>
        <w:rPr>
          <w:rFonts w:ascii="Consolas" w:cs="Consolas" w:eastAsia="Consolas" w:hAnsi="Consolas"/>
          <w:color w:val="1F2937"/>
          <w:sz w:val="16"/>
          <w:szCs w:val="16"/>
        </w:rPr>
        <w:t xml:space="preserve">ALTER TABLE public.trade_normativa_query_log ENABLE ROW LEVEL SECURITY;</w:t>
      </w:r>
    </w:p>
    <w:p>
      <w:pPr>
        <w:spacing w:after="200"/>
      </w:pPr>
    </w:p>
    <w:p>
      <w:pPr>
        <w:pBdr>
          <w:left w:val="single" w:color="1D4ED8" w:sz="12" w:space="8"/>
        </w:pBdr>
        <w:spacing w:after="200" w:before="80"/>
      </w:pPr>
      <w:r>
        <w:rPr>
          <w:i/>
          <w:iCs/>
          <w:color w:val="5B6472"/>
          <w:sz w:val="20"/>
          <w:szCs w:val="20"/>
        </w:rPr>
        <w:t xml:space="preserve">asociacion_id queda preparado pero sin uso real hasta la Fase 8 (multi-asociación). Hasta entonces, todo documento se indexa con asociacion_id = NULL y es visible para cualquier organización.</w:t>
      </w:r>
    </w:p>
    <w:p>
      <w:pPr>
        <w:pStyle w:val="Heading2"/>
      </w:pPr>
      <w:r>
        <w:t xml:space="preserve">3.3 Edge Functions</w:t>
      </w:r>
    </w:p>
    <w:p>
      <w:pPr>
        <w:pStyle w:val="Heading3"/>
      </w:pPr>
      <w:r>
        <w:t xml:space="preserve">trade-normativa-ingest (uso interno/admin)</w:t>
      </w:r>
    </w:p>
    <w:p>
      <w:pPr>
        <w:spacing w:after="160"/>
      </w:pPr>
      <w:r>
        <w:rPr>
          <w:color w:val="222222"/>
          <w:sz w:val="21"/>
          <w:szCs w:val="21"/>
        </w:rPr>
        <w:t xml:space="preserve">Entrada: { storage_path, categoria, titulo, fuente, version_fecha }.</w:t>
      </w:r>
    </w:p>
    <w:p>
      <w:pPr>
        <w:spacing w:after="160"/>
      </w:pPr>
      <w:r>
        <w:rPr>
          <w:color w:val="222222"/>
          <w:sz w:val="21"/>
          <w:szCs w:val="21"/>
        </w:rPr>
        <w:t xml:space="preserve">Proceso: extrae el texto del documento; lo trocea respetando la estructura de artículos/IT (fragmentos de ~600-800 tokens con solape de ~100 tokens para no cortar una idea a la mitad); genera el embedding de cada fragmento con Voyage AI (modelo voyage-3.5, input_type='document'); inserta los fragmentos en trade_normativa_chunks.</w:t>
      </w:r>
    </w:p>
    <w:p>
      <w:pPr>
        <w:spacing w:after="160"/>
      </w:pPr>
      <w:r>
        <w:rPr>
          <w:color w:val="222222"/>
          <w:sz w:val="21"/>
          <w:szCs w:val="21"/>
        </w:rPr>
        <w:t xml:space="preserve">Salida: { documento_id, chunks_creados, tokens_procesados }.</w:t>
      </w:r>
    </w:p>
    <w:p>
      <w:pPr>
        <w:pStyle w:val="Heading3"/>
      </w:pPr>
      <w:r>
        <w:t xml:space="preserve">trade-normativa-ask (consulta del instalador)</w:t>
      </w:r>
    </w:p>
    <w:p>
      <w:pPr>
        <w:spacing w:after="160"/>
      </w:pPr>
      <w:r>
        <w:rPr>
          <w:color w:val="222222"/>
          <w:sz w:val="21"/>
          <w:szCs w:val="21"/>
        </w:rPr>
        <w:t xml:space="preserve">Entrada: { org_id, user_id, pregunta }.</w:t>
      </w:r>
    </w:p>
    <w:p>
      <w:pPr>
        <w:spacing w:after="160"/>
      </w:pPr>
      <w:r>
        <w:rPr>
          <w:color w:val="222222"/>
          <w:sz w:val="21"/>
          <w:szCs w:val="21"/>
        </w:rPr>
        <w:t xml:space="preserve">Proceso: genera el embedding de la pregunta (Voyage AI, input_type='query'); busca los 6-8 fragmentos más afines por similitud coseno, filtrando por asociacion_id visible para esa organización; construye el prompt con esos fragmentos y la pregunta; llama a Claude con un system prompt que obliga a citar fuente y a declarar explícitamente cuando no hay fragmento relevante; registra la consulta en trade_normativa_query_log con coste estimado.</w:t>
      </w:r>
    </w:p>
    <w:p>
      <w:pPr>
        <w:spacing w:after="160"/>
      </w:pPr>
      <w:r>
        <w:rPr>
          <w:color w:val="222222"/>
          <w:sz w:val="21"/>
          <w:szCs w:val="21"/>
        </w:rPr>
        <w:t xml:space="preserve">Salida: { respuesta, fuentes: [{ documento, referencia, fragmento_resumen }], modelo_usado, coste_estimado }.</w:t>
      </w:r>
    </w:p>
    <w:p>
      <w:pPr>
        <w:pStyle w:val="Heading2"/>
      </w:pPr>
      <w:r>
        <w:t xml:space="preserve">3.4 Modelo de embeddings y modelo generativo</w:t>
      </w:r>
    </w:p>
    <w:p>
      <w:pPr>
        <w:spacing w:after="160"/>
      </w:pPr>
      <w:r>
        <w:rPr>
          <w:color w:val="222222"/>
          <w:sz w:val="21"/>
          <w:szCs w:val="21"/>
        </w:rPr>
        <w:t xml:space="preserve">Claude no ofrece un endpoint de embeddings propio; el proveedor que Anthropic recomienda para este fin es Voyage AI. Se usa voyage-3.5 (multilingüe, buen soporte de español, 1.024 dimensiones) tanto para indexar documentos como para embeber cada pregunta del instalador.</w:t>
      </w:r>
    </w:p>
    <w:p>
      <w:pPr>
        <w:spacing w:after="160"/>
      </w:pPr>
      <w:r>
        <w:rPr>
          <w:color w:val="222222"/>
          <w:sz w:val="21"/>
          <w:szCs w:val="21"/>
        </w:rPr>
        <w:t xml:space="preserve">Para la generación de la respuesta se recomienda Claude Sonnet 4.6 por defecto, no Haiku 4.5: en contenido regulado, la precisión interpretativa pesa más que el ahorro de coste, y como se ve en la sección 6, la diferencia de coste entre ambos modelos es irrelevante en términos absolutos. Haiku 4.5 queda como alternativa si en el futuro se quisiera optimizar latencia para un volumen muy alto de consultas.</w:t>
      </w:r>
    </w:p>
    <w:p>
      <w:pPr>
        <w:pStyle w:val="Heading2"/>
      </w:pPr>
      <w:r>
        <w:t xml:space="preserve">3.5 Integración en el producto</w:t>
      </w:r>
    </w:p>
    <w:p>
      <w:pPr>
        <w:spacing w:after="160"/>
      </w:pPr>
      <w:r>
        <w:rPr>
          <w:color w:val="222222"/>
          <w:sz w:val="21"/>
          <w:szCs w:val="21"/>
        </w:rPr>
        <w:t xml:space="preserve">Se recomienda un módulo propio — "Asistente Técnico" — separado del chatbot de ayuda actual (ChatbotWidget / trade_installer_needs), porque resuelve un problema distinto: ese chatbot ayuda a usar la app, este resuelve dudas normativas y debe citar fuente. Dado que la pregunta típica surge en obra, conviene que esté disponible también en móvil, no solo en el panel de 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Rol</w:t>
            </w:r>
          </w:p>
        </w:tc>
        <w:tc>
          <w:tcPr>
            <w:tcW w:type="dxa" w:w="66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Acceso recomendado</w:t>
            </w:r>
          </w:p>
        </w:tc>
      </w:tr>
      <w:tr>
        <w:tc>
          <w:tcPr>
            <w:tcW w:type="dxa" w:w="24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owner / admin</w:t>
            </w:r>
          </w:p>
        </w:tc>
        <w:tc>
          <w:tcPr>
            <w:tcW w:type="dxa" w:w="66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Consulta completa + gestión de la biblioteca documental</w:t>
            </w:r>
          </w:p>
        </w:tc>
      </w:tr>
      <w:tr>
        <w:tc>
          <w:tcPr>
            <w:tcW w:type="dxa" w:w="24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oficina</w:t>
            </w:r>
          </w:p>
        </w:tc>
        <w:tc>
          <w:tcPr>
            <w:tcW w:type="dxa" w:w="66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Consulta completa</w:t>
            </w:r>
          </w:p>
        </w:tc>
      </w:tr>
      <w:tr>
        <w:tc>
          <w:tcPr>
            <w:tcW w:type="dxa" w:w="24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técnico</w:t>
            </w:r>
          </w:p>
        </w:tc>
        <w:tc>
          <w:tcPr>
            <w:tcW w:type="dxa" w:w="66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Consulta (uso principal, en campo)</w:t>
            </w:r>
          </w:p>
        </w:tc>
      </w:tr>
      <w:tr>
        <w:tc>
          <w:tcPr>
            <w:tcW w:type="dxa" w:w="24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comercial</w:t>
            </w:r>
          </w:p>
        </w:tc>
        <w:tc>
          <w:tcPr>
            <w:tcW w:type="dxa" w:w="66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Consulta (a decidir si se incluye)</w:t>
            </w:r>
          </w:p>
        </w:tc>
      </w:tr>
      <w:tr>
        <w:tc>
          <w:tcPr>
            <w:tcW w:type="dxa" w:w="24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visualizador</w:t>
            </w:r>
          </w:p>
        </w:tc>
        <w:tc>
          <w:tcPr>
            <w:tcW w:type="dxa" w:w="66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Solo lectura del histórico de consultas</w:t>
            </w:r>
          </w:p>
        </w:tc>
      </w:tr>
    </w:tbl>
    <w:p>
      <w:pPr>
        <w:spacing w:after="220" w:before="60"/>
      </w:pPr>
      <w:r>
        <w:rPr>
          <w:i/>
          <w:iCs/>
          <w:color w:val="5B6472"/>
          <w:sz w:val="18"/>
          <w:szCs w:val="18"/>
        </w:rPr>
        <w:t xml:space="preserve">Tabla 1. Permisos por rol (pendiente de confirmación — ver sección 7).</w:t>
      </w:r>
    </w:p>
    <w:p>
      <w:pPr>
        <w:pStyle w:val="Heading2"/>
      </w:pPr>
      <w:r>
        <w:t xml:space="preserve">3.6 Reglas de comportamiento de la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Regla</w:t>
            </w:r>
          </w:p>
        </w:tc>
        <w:tc>
          <w:tcPr>
            <w:tcW w:type="dxa" w:w="64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Descripción</w:t>
            </w:r>
          </w:p>
        </w:tc>
      </w:tr>
      <w:tr>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R1 — Grounding obligatorio</w:t>
            </w:r>
          </w:p>
        </w:tc>
        <w:tc>
          <w:tcPr>
            <w:tcW w:type="dxa" w:w="64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Solo responde con información presente en los fragmentos recuperados; si no encuentra fragmento relevante, lo dice explícitamente y no improvisa.</w:t>
            </w:r>
          </w:p>
        </w:tc>
      </w:tr>
      <w:tr>
        <w:tc>
          <w:tcPr>
            <w:tcW w:type="dxa" w:w="26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R2 — Cita siempre la fuente</w:t>
            </w:r>
          </w:p>
        </w:tc>
        <w:tc>
          <w:tcPr>
            <w:tcW w:type="dxa" w:w="64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Toda respuesta indica documento de origen + artículo/IT/sección exactos.</w:t>
            </w:r>
          </w:p>
        </w:tc>
      </w:tr>
      <w:tr>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R3 — Distinguir norma de recomendación</w:t>
            </w:r>
          </w:p>
        </w:tc>
        <w:tc>
          <w:tcPr>
            <w:tcW w:type="dxa" w:w="64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Si añade una recomendación práctica que no está literalmente en el texto normativo, debe etiquetarla como tal, no como cita.</w:t>
            </w:r>
          </w:p>
        </w:tc>
      </w:tr>
      <w:tr>
        <w:tc>
          <w:tcPr>
            <w:tcW w:type="dxa" w:w="26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R4 — Avisar de posible desactualización</w:t>
            </w:r>
          </w:p>
        </w:tc>
        <w:tc>
          <w:tcPr>
            <w:tcW w:type="dxa" w:w="64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Cada documento lleva fecha de versión; si la categoría no se revisa desde hace tiempo, advertir al usuario.</w:t>
            </w:r>
          </w:p>
        </w:tc>
      </w:tr>
      <w:tr>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R5 — No sustituye asesoría legal/colegial</w:t>
            </w:r>
          </w:p>
        </w:tc>
        <w:tc>
          <w:tcPr>
            <w:tcW w:type="dxa" w:w="64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Cierre estándar remitiendo a colegio profesional o gestoría ante dudas críticas de legalización.</w:t>
            </w:r>
          </w:p>
        </w:tc>
      </w:tr>
      <w:tr>
        <w:tc>
          <w:tcPr>
            <w:tcW w:type="dxa" w:w="26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R6 — Registrar cada consulta</w:t>
            </w:r>
          </w:p>
        </w:tc>
        <w:tc>
          <w:tcPr>
            <w:tcW w:type="dxa" w:w="64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Pregunta, fragmentos usados, modelo, tokens y coste real se guardan en trade_normativa_query_log.</w:t>
            </w:r>
          </w:p>
        </w:tc>
      </w:tr>
      <w:tr>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R7 — Aprendizaje por feedback</w:t>
            </w:r>
          </w:p>
        </w:tc>
        <w:tc>
          <w:tcPr>
            <w:tcW w:type="dxa" w:w="64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Si el instalador marca una respuesta como no útil, se marca para revisión manual del corpus (mismo patrón que trade_ai_feedback).</w:t>
            </w:r>
          </w:p>
        </w:tc>
      </w:tr>
      <w:tr>
        <w:tc>
          <w:tcPr>
            <w:tcW w:type="dxa" w:w="26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R8 — Aislamiento por asociación</w:t>
            </w:r>
          </w:p>
        </w:tc>
        <w:tc>
          <w:tcPr>
            <w:tcW w:type="dxa" w:w="64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Los documentos de una asociación concreta solo son visibles para organizaciones afiliadas a ella.</w:t>
            </w:r>
          </w:p>
        </w:tc>
      </w:tr>
    </w:tbl>
    <w:p>
      <w:pPr>
        <w:spacing w:after="220" w:before="60"/>
      </w:pPr>
      <w:r>
        <w:rPr>
          <w:i/>
          <w:iCs/>
          <w:color w:val="5B6472"/>
          <w:sz w:val="18"/>
          <w:szCs w:val="18"/>
        </w:rPr>
        <w:t xml:space="preserve">Tabla 2. Reglas esenciales del Asistente Técnico.</w:t>
      </w:r>
    </w:p>
    <w:p>
      <w:pPr>
        <w:pStyle w:val="Heading1"/>
      </w:pPr>
      <w:r>
        <w:t xml:space="preserve">4. Fuentes documentales y consideraciones legales</w:t>
      </w:r>
    </w:p>
    <w:p>
      <w:pPr>
        <w:spacing w:after="160"/>
      </w:pPr>
      <w:r>
        <w:rPr>
          <w:color w:val="222222"/>
          <w:sz w:val="21"/>
          <w:szCs w:val="21"/>
        </w:rPr>
        <w:t xml:space="preserve">No todas las fuentes que se quieren indexar tienen el mismo estatus legal. Esto determina qué se puede cargar de inmediato y qué requiere un acuerdo previo — y ese segundo grupo es, precisamente, la palanca de negociación con CONAIF.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526"/>
      </w:tblGrid>
      <w:tr>
        <w:trPr>
          <w:tblHeader/>
        </w:trPr>
        <w:tc>
          <w:tcPr>
            <w:tcW w:type="dxa" w:w="31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Categoría</w:t>
            </w:r>
          </w:p>
        </w:tc>
        <w:tc>
          <w:tcPr>
            <w:tcW w:type="dxa" w:w="24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Estatus</w:t>
            </w:r>
          </w:p>
        </w:tc>
        <w:tc>
          <w:tcPr>
            <w:tcW w:type="dxa" w:w="35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Tratamiento recomendado</w:t>
            </w:r>
          </w:p>
        </w:tc>
      </w:tr>
      <w:tr>
        <w:tc>
          <w:tcPr>
            <w:tcW w:type="dxa" w:w="31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RITE, REBT, CTE, Reglamento de Gas, normativa ACS</w:t>
            </w:r>
          </w:p>
        </w:tc>
        <w:tc>
          <w:tcPr>
            <w:tcW w:type="dxa" w:w="24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Normas oficiales publicadas en el BOE</w:t>
            </w:r>
          </w:p>
        </w:tc>
        <w:tc>
          <w:tcPr>
            <w:tcW w:type="dxa" w:w="35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Indexación completa, sin restricción</w:t>
            </w:r>
          </w:p>
        </w:tc>
      </w:tr>
      <w:tr>
        <w:tc>
          <w:tcPr>
            <w:tcW w:type="dxa" w:w="31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Guías IDAE</w:t>
            </w:r>
          </w:p>
        </w:tc>
        <w:tc>
          <w:tcPr>
            <w:tcW w:type="dxa" w:w="24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Organismo público</w:t>
            </w:r>
          </w:p>
        </w:tc>
        <w:tc>
          <w:tcPr>
            <w:tcW w:type="dxa" w:w="35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Revisar la licencia de cada guía; en general reutilizable citando la fuente</w:t>
            </w:r>
          </w:p>
        </w:tc>
      </w:tr>
      <w:tr>
        <w:tc>
          <w:tcPr>
            <w:tcW w:type="dxa" w:w="31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Documentación técnica de fabricantes</w:t>
            </w:r>
          </w:p>
        </w:tc>
        <w:tc>
          <w:tcPr>
            <w:tcW w:type="dxa" w:w="24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Propiedad del fabricante</w:t>
            </w:r>
          </w:p>
        </w:tc>
        <w:tc>
          <w:tcPr>
            <w:tcW w:type="dxa" w:w="35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No indexar el documento completo sin permiso; enlazar a la web oficial o pedir autorización explícita</w:t>
            </w:r>
          </w:p>
        </w:tc>
      </w:tr>
      <w:tr>
        <w:tc>
          <w:tcPr>
            <w:tcW w:type="dxa" w:w="31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Circulares y documentación de asociaciones (CONAIF, FENIE...)</w:t>
            </w:r>
          </w:p>
        </w:tc>
        <w:tc>
          <w:tcPr>
            <w:tcW w:type="dxa" w:w="24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Propiedad de la asociación</w:t>
            </w:r>
          </w:p>
        </w:tc>
        <w:tc>
          <w:tcPr>
            <w:tcW w:type="dxa" w:w="35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Requiere cesión o acuerdo formal — ver recomendación estratégica abajo</w:t>
            </w:r>
          </w:p>
        </w:tc>
      </w:tr>
    </w:tbl>
    <w:p>
      <w:pPr>
        <w:spacing w:after="220" w:before="60"/>
      </w:pPr>
      <w:r>
        <w:rPr>
          <w:i/>
          <w:iCs/>
          <w:color w:val="5B6472"/>
          <w:sz w:val="18"/>
          <w:szCs w:val="18"/>
        </w:rPr>
        <w:t xml:space="preserve">Tabla 3. Estatus legal de cada categoría documental.</w:t>
      </w:r>
    </w:p>
    <w:p>
      <w:pPr>
        <w:spacing w:after="160"/>
      </w:pPr>
      <w:r>
        <w:rPr>
          <w:b/>
          <w:bCs/>
          <w:color w:val="222222"/>
          <w:sz w:val="21"/>
          <w:szCs w:val="21"/>
        </w:rPr>
        <w:t xml:space="preserve">Recomendación estratégica: </w:t>
      </w:r>
      <w:r>
        <w:rPr>
          <w:color w:val="222222"/>
          <w:sz w:val="21"/>
          <w:szCs w:val="21"/>
        </w:rPr>
        <w:t xml:space="preserve">el cuarto grupo (circulares de asociación) no es un obstáculo, es el gancho de la propuesta a Luciano. En vez de pedir a CONAIF su base de contactos, se les ofrece construir gratis la infraestructura de su propio asistente de conocimiento a cambio de que ellos aporten el contenido bajo su marca — exactamente la idea de "a futuro, cada asociación podría disponer de su propio asistente alimentado con sus circulares" que ya estaba en el guion original.</w:t>
      </w:r>
    </w:p>
    <w:p>
      <w:pPr>
        <w:pStyle w:val="Heading1"/>
      </w:pPr>
      <w:r>
        <w:t xml:space="preserve">5. Fases de implementación</w:t>
      </w:r>
    </w:p>
    <w:p>
      <w:pPr>
        <w:spacing w:after="160"/>
      </w:pPr>
      <w:r>
        <w:rPr>
          <w:color w:val="222222"/>
          <w:sz w:val="21"/>
          <w:szCs w:val="21"/>
        </w:rPr>
        <w:t xml:space="preserve">Estimación en días de trabajo efectivo (founder-led, con Claude Code, reutilizando los patrones ya existentes en el pipeline de IA). El tiempo de calendario depende de cómo se intercale con Base Maestra y el paquete de inversores.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726"/>
        <w:gridCol w:w="1300"/>
        <w:gridCol w:w="1300"/>
      </w:tblGrid>
      <w:tr>
        <w:trPr>
          <w:tblHeader/>
        </w:trPr>
        <w:tc>
          <w:tcPr>
            <w:tcW w:type="dxa" w:w="7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Fase</w:t>
            </w:r>
          </w:p>
        </w:tc>
        <w:tc>
          <w:tcPr>
            <w:tcW w:type="dxa" w:w="57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Entregable</w:t>
            </w:r>
          </w:p>
        </w:tc>
        <w:tc>
          <w:tcPr>
            <w:tcW w:type="dxa" w:w="13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Días</w:t>
            </w:r>
          </w:p>
        </w:tc>
        <w:tc>
          <w:tcPr>
            <w:tcW w:type="dxa" w:w="13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Acumulado</w:t>
            </w:r>
          </w:p>
        </w:tc>
      </w:tr>
      <w:tr>
        <w:tc>
          <w:tcPr>
            <w:tcW w:type="dxa" w:w="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w:t>
            </w:r>
          </w:p>
        </w:tc>
        <w:tc>
          <w:tcPr>
            <w:tcW w:type="dxa" w:w="57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Diseño y validación de alcance: confirmar modelo (Sonnet/Haiku), gating por plan, prioridad de normativa</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2</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2</w:t>
            </w:r>
          </w:p>
        </w:tc>
      </w:tr>
      <w:tr>
        <w:tc>
          <w:tcPr>
            <w:tcW w:type="dxa" w:w="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1</w:t>
            </w:r>
          </w:p>
        </w:tc>
        <w:tc>
          <w:tcPr>
            <w:tcW w:type="dxa" w:w="57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Infraestructura de base de datos: extensión pgvector + 3 tablas + RLS</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3</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5</w:t>
            </w:r>
          </w:p>
        </w:tc>
      </w:tr>
      <w:tr>
        <w:tc>
          <w:tcPr>
            <w:tcW w:type="dxa" w:w="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2</w:t>
            </w:r>
          </w:p>
        </w:tc>
        <w:tc>
          <w:tcPr>
            <w:tcW w:type="dxa" w:w="57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Edge Function trade-normativa-ingest + integración con Voyage AI</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3</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8</w:t>
            </w:r>
          </w:p>
        </w:tc>
      </w:tr>
      <w:tr>
        <w:tc>
          <w:tcPr>
            <w:tcW w:type="dxa" w:w="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3</w:t>
            </w:r>
          </w:p>
        </w:tc>
        <w:tc>
          <w:tcPr>
            <w:tcW w:type="dxa" w:w="57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Edge Function trade-normativa-ask + prompt de citación + logging de coste</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3</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11</w:t>
            </w:r>
          </w:p>
        </w:tc>
      </w:tr>
      <w:tr>
        <w:tc>
          <w:tcPr>
            <w:tcW w:type="dxa" w:w="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4</w:t>
            </w:r>
          </w:p>
        </w:tc>
        <w:tc>
          <w:tcPr>
            <w:tcW w:type="dxa" w:w="57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Ingesta del corpus prioritario: RITE + REBT consolidados (troceado y control de calidad de citas)</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5</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16</w:t>
            </w:r>
          </w:p>
        </w:tc>
      </w:tr>
      <w:tr>
        <w:tc>
          <w:tcPr>
            <w:tcW w:type="dxa" w:w="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5</w:t>
            </w:r>
          </w:p>
        </w:tc>
        <w:tc>
          <w:tcPr>
            <w:tcW w:type="dxa" w:w="57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Interfaz "Asistente Técnico" en panel web + adaptación a móvil + permisos por rol</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6</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22</w:t>
            </w:r>
          </w:p>
        </w:tc>
      </w:tr>
      <w:tr>
        <w:tc>
          <w:tcPr>
            <w:tcW w:type="dxa" w:w="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6</w:t>
            </w:r>
          </w:p>
        </w:tc>
        <w:tc>
          <w:tcPr>
            <w:tcW w:type="dxa" w:w="57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Piloto interno: validar 30-40 preguntas reales, afinar recuperación, medir coste real por consulta</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4</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26</w:t>
            </w:r>
          </w:p>
        </w:tc>
      </w:tr>
      <w:tr>
        <w:tc>
          <w:tcPr>
            <w:tcW w:type="dxa" w:w="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7</w:t>
            </w:r>
          </w:p>
        </w:tc>
        <w:tc>
          <w:tcPr>
            <w:tcW w:type="dxa" w:w="57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Ampliación del corpus: CTE, Reglamento de Gas, ACS, guías IDAE</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6</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32</w:t>
            </w:r>
          </w:p>
        </w:tc>
      </w:tr>
      <w:tr>
        <w:tc>
          <w:tcPr>
            <w:tcW w:type="dxa" w:w="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8</w:t>
            </w:r>
          </w:p>
        </w:tc>
        <w:tc>
          <w:tcPr>
            <w:tcW w:type="dxa" w:w="57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Soporte multi-asociación (tabla trade_associations) + incorporación de circulares CONAIF si hay acuerdo</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5</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37</w:t>
            </w:r>
          </w:p>
        </w:tc>
      </w:tr>
      <w:tr>
        <w:tc>
          <w:tcPr>
            <w:tcW w:type="dxa" w:w="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9</w:t>
            </w:r>
          </w:p>
        </w:tc>
        <w:tc>
          <w:tcPr>
            <w:tcW w:type="dxa" w:w="57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Lanzamiento controlado: gating por plan, telemetría definitiva, comunicación a clientes</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2</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39</w:t>
            </w:r>
          </w:p>
        </w:tc>
      </w:tr>
    </w:tbl>
    <w:p>
      <w:pPr>
        <w:spacing w:after="220" w:before="60"/>
      </w:pPr>
      <w:r>
        <w:rPr>
          <w:i/>
          <w:iCs/>
          <w:color w:val="5B6472"/>
          <w:sz w:val="18"/>
          <w:szCs w:val="18"/>
        </w:rPr>
        <w:t xml:space="preserve">Tabla 4. Plan de fases con esfuerzo estimado en días de trabajo efectivo.</w:t>
      </w:r>
    </w:p>
    <w:p>
      <w:pPr>
        <w:spacing w:after="160"/>
      </w:pPr>
      <w:r>
        <w:rPr>
          <w:b/>
          <w:bCs/>
          <w:color w:val="222222"/>
          <w:sz w:val="21"/>
          <w:szCs w:val="21"/>
        </w:rPr>
        <w:t xml:space="preserve">Hito 1 — demo-able (Fases 0-6): </w:t>
      </w:r>
      <w:r>
        <w:rPr>
          <w:color w:val="222222"/>
          <w:sz w:val="21"/>
          <w:szCs w:val="21"/>
        </w:rPr>
        <w:t xml:space="preserve">~26 días de trabajo efectivo (≈ 5-6 semanas de calendario a ritmo founder-led a tiempo parcial). Suficiente para una demo real con RITE y REBT citando fuente, lista para la reunión con Luciano.</w:t>
      </w:r>
    </w:p>
    <w:p>
      <w:pPr>
        <w:spacing w:after="160"/>
      </w:pPr>
      <w:r>
        <w:rPr>
          <w:b/>
          <w:bCs/>
          <w:color w:val="222222"/>
          <w:sz w:val="21"/>
          <w:szCs w:val="21"/>
        </w:rPr>
        <w:t xml:space="preserve">Hito 2 — cobertura completa y lanzamiento (Fases 7-9): </w:t>
      </w:r>
      <w:r>
        <w:rPr>
          <w:color w:val="222222"/>
          <w:sz w:val="21"/>
          <w:szCs w:val="21"/>
        </w:rPr>
        <w:t xml:space="preserve">~13 días adicionales (≈ 2-3 semanas más). Total de extremo a extremo: ~39 días de trabajo efectivo, en torno a 8-9 semanas de calendario.</w:t>
      </w:r>
    </w:p>
    <w:p>
      <w:pPr>
        <w:pStyle w:val="Heading1"/>
      </w:pPr>
      <w:r>
        <w:t xml:space="preserve">6. Análisis de costes y rentabilidad</w:t>
      </w:r>
    </w:p>
    <w:p>
      <w:pPr>
        <w:spacing w:after="160"/>
      </w:pPr>
      <w:r>
        <w:rPr>
          <w:color w:val="222222"/>
          <w:sz w:val="21"/>
          <w:szCs w:val="21"/>
        </w:rPr>
        <w:t xml:space="preserve">Tarifas verificadas en la documentación oficial de Anthropic y de Voyage AI a fecha de junio de 2026. Conversión a euros con un tipo de cambio aproximado de 1 USD ≈ 0,86 € (EUR/USD ≈ 1,16); es una referencia, no una cifra de facturación real.</w:t>
      </w:r>
    </w:p>
    <w:p>
      <w:pPr>
        <w:pStyle w:val="Heading2"/>
      </w:pPr>
      <w:r>
        <w:t xml:space="preserve">6.1 Coste de construcción inicial (una sola vez)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Concepto</w:t>
            </w:r>
          </w:p>
        </w:tc>
        <w:tc>
          <w:tcPr>
            <w:tcW w:type="dxa" w:w="45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Coste estimado</w:t>
            </w:r>
          </w:p>
        </w:tc>
      </w:tr>
      <w:tr>
        <w:tc>
          <w:tcPr>
            <w:tcW w:type="dxa" w:w="4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Indexación inicial del corpus (RITE+REBT+CTE+Gas+ACS+IDAE, ~1,5-2 M tokens) vía Voyage AI</w:t>
            </w:r>
          </w:p>
        </w:tc>
        <w:tc>
          <w:tcPr>
            <w:tcW w:type="dxa" w:w="45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0 € — cubierto por el tier gratuito de 200 M tokens de Voyage (a tarifa estándar serían ~0,10-0,15 €)</w:t>
            </w:r>
          </w:p>
        </w:tc>
      </w:tr>
      <w:tr>
        <w:tc>
          <w:tcPr>
            <w:tcW w:type="dxa" w:w="4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Pruebas durante el desarrollo (llamadas a Claude para afinar prompts y troceado)</w:t>
            </w:r>
          </w:p>
        </w:tc>
        <w:tc>
          <w:tcPr>
            <w:tcW w:type="dxa" w:w="45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30-60 € estimados, en línea con lo gastado en integraciones IA anteriores</w:t>
            </w:r>
          </w:p>
        </w:tc>
      </w:tr>
      <w:tr>
        <w:tc>
          <w:tcPr>
            <w:tcW w:type="dxa" w:w="4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Cuenta Voyage AI</w:t>
            </w:r>
          </w:p>
        </w:tc>
        <w:tc>
          <w:tcPr>
            <w:tcW w:type="dxa" w:w="45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0 €/mes de cuota fija, solo pago por uso</w:t>
            </w:r>
          </w:p>
        </w:tc>
      </w:tr>
      <w:tr>
        <w:tc>
          <w:tcPr>
            <w:tcW w:type="dxa" w:w="4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Desarrollo (Edge Functions, esquema de BD, interfaz)</w:t>
            </w:r>
          </w:p>
        </w:tc>
        <w:tc>
          <w:tcPr>
            <w:tcW w:type="dxa" w:w="45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Tiempo del fundador vía Claude Code — sin desembolso de caja adicional</w:t>
            </w:r>
          </w:p>
        </w:tc>
      </w:tr>
    </w:tbl>
    <w:p>
      <w:pPr>
        <w:spacing w:after="220" w:before="60"/>
      </w:pPr>
      <w:r>
        <w:rPr>
          <w:i/>
          <w:iCs/>
          <w:color w:val="5B6472"/>
          <w:sz w:val="18"/>
          <w:szCs w:val="18"/>
        </w:rPr>
        <w:t xml:space="preserve">Tabla 5. Coste de puesta en marcha. El coste relevante para la pregunta de rentabilidad es el variable (6.2-6.4), no este.</w:t>
      </w:r>
    </w:p>
    <w:p>
      <w:pPr>
        <w:pStyle w:val="Heading2"/>
      </w:pPr>
      <w:r>
        <w:t xml:space="preserve">6.2 Coste variable por consulta</w:t>
      </w:r>
    </w:p>
    <w:p>
      <w:pPr>
        <w:spacing w:after="160"/>
      </w:pPr>
      <w:r>
        <w:rPr>
          <w:color w:val="222222"/>
          <w:sz w:val="21"/>
          <w:szCs w:val="21"/>
        </w:rPr>
        <w:t xml:space="preserve">Estimación de tokens por consulta: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Componente</w:t>
            </w:r>
          </w:p>
        </w:tc>
        <w:tc>
          <w:tcPr>
            <w:tcW w:type="dxa" w:w="25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Tokens estimados</w:t>
            </w:r>
          </w:p>
        </w:tc>
      </w:tr>
      <w:tr>
        <w:tc>
          <w:tcPr>
            <w:tcW w:type="dxa" w:w="65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Instrucciones de sistema</w:t>
            </w:r>
          </w:p>
        </w:tc>
        <w:tc>
          <w:tcPr>
            <w:tcW w:type="dxa" w:w="2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~500</w:t>
            </w:r>
          </w:p>
        </w:tc>
      </w:tr>
      <w:tr>
        <w:tc>
          <w:tcPr>
            <w:tcW w:type="dxa" w:w="65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Fragmentos normativos recuperados (6-8 chunks)</w:t>
            </w:r>
          </w:p>
        </w:tc>
        <w:tc>
          <w:tcPr>
            <w:tcW w:type="dxa" w:w="2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~5.000</w:t>
            </w:r>
          </w:p>
        </w:tc>
      </w:tr>
      <w:tr>
        <w:tc>
          <w:tcPr>
            <w:tcW w:type="dxa" w:w="65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Pregunta del instalador + contexto breve</w:t>
            </w:r>
          </w:p>
        </w:tc>
        <w:tc>
          <w:tcPr>
            <w:tcW w:type="dxa" w:w="2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~500</w:t>
            </w:r>
          </w:p>
        </w:tc>
      </w:tr>
      <w:tr>
        <w:tc>
          <w:tcPr>
            <w:tcW w:type="dxa" w:w="65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Total entrada (input)</w:t>
            </w:r>
          </w:p>
        </w:tc>
        <w:tc>
          <w:tcPr>
            <w:tcW w:type="dxa" w:w="2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~6.000</w:t>
            </w:r>
          </w:p>
        </w:tc>
      </w:tr>
      <w:tr>
        <w:tc>
          <w:tcPr>
            <w:tcW w:type="dxa" w:w="65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Respuesta generada con cita (output)</w:t>
            </w:r>
          </w:p>
        </w:tc>
        <w:tc>
          <w:tcPr>
            <w:tcW w:type="dxa" w:w="2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~400</w:t>
            </w:r>
          </w:p>
        </w:tc>
      </w:tr>
    </w:tbl>
    <w:p>
      <w:pPr>
        <w:spacing w:after="220" w:before="60"/>
      </w:pPr>
      <w:r>
        <w:rPr>
          <w:i/>
          <w:iCs/>
          <w:color w:val="5B6472"/>
          <w:sz w:val="18"/>
          <w:szCs w:val="18"/>
        </w:rPr>
        <w:t xml:space="preserve">Tabla 6. Supuesto de tokens por consulta, usado en todos los cálculos siguientes.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900"/>
        <w:gridCol w:w="1900"/>
        <w:gridCol w:w="1700"/>
      </w:tblGrid>
      <w:tr>
        <w:trPr>
          <w:tblHeader/>
        </w:trPr>
        <w:tc>
          <w:tcPr>
            <w:tcW w:type="dxa" w:w="35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Modelo</w:t>
            </w:r>
          </w:p>
        </w:tc>
        <w:tc>
          <w:tcPr>
            <w:tcW w:type="dxa" w:w="19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Precio input</w:t>
            </w:r>
          </w:p>
        </w:tc>
        <w:tc>
          <w:tcPr>
            <w:tcW w:type="dxa" w:w="19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Precio output</w:t>
            </w:r>
          </w:p>
        </w:tc>
        <w:tc>
          <w:tcPr>
            <w:tcW w:type="dxa" w:w="17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Coste/consulta</w:t>
            </w:r>
          </w:p>
        </w:tc>
      </w:tr>
      <w:tr>
        <w:tc>
          <w:tcPr>
            <w:tcW w:type="dxa" w:w="35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Claude Sonnet 4.6 (recomendado)</w:t>
            </w:r>
          </w:p>
        </w:tc>
        <w:tc>
          <w:tcPr>
            <w:tcW w:type="dxa" w:w="19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3,00 $/M</w:t>
            </w:r>
          </w:p>
        </w:tc>
        <w:tc>
          <w:tcPr>
            <w:tcW w:type="dxa" w:w="19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15,00 $/M</w:t>
            </w:r>
          </w:p>
        </w:tc>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0,024 $ ≈ 2,1 cts. €</w:t>
            </w:r>
          </w:p>
        </w:tc>
      </w:tr>
      <w:tr>
        <w:tc>
          <w:tcPr>
            <w:tcW w:type="dxa" w:w="35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Claude Haiku 4.5 (alternativa económica)</w:t>
            </w:r>
          </w:p>
        </w:tc>
        <w:tc>
          <w:tcPr>
            <w:tcW w:type="dxa" w:w="19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1,00 $/M</w:t>
            </w:r>
          </w:p>
        </w:tc>
        <w:tc>
          <w:tcPr>
            <w:tcW w:type="dxa" w:w="19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5,00 $/M</w:t>
            </w:r>
          </w:p>
        </w:tc>
        <w:tc>
          <w:tcPr>
            <w:tcW w:type="dxa" w:w="1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0,008 $ ≈ 0,7 cts. €</w:t>
            </w:r>
          </w:p>
        </w:tc>
      </w:tr>
    </w:tbl>
    <w:p>
      <w:pPr>
        <w:spacing w:after="220" w:before="60"/>
      </w:pPr>
      <w:r>
        <w:rPr>
          <w:i/>
          <w:iCs/>
          <w:color w:val="5B6472"/>
          <w:sz w:val="18"/>
          <w:szCs w:val="18"/>
        </w:rPr>
        <w:t xml:space="preserve">Tabla 7. Coste de generación por consulta. El embedding de la pregunta (Voyage AI, ~50-100 tokens) añade ≈0,000006 $ — irrelevante, y cubierto por el tier gratuito de Voyage durante mucho tiempo.</w:t>
      </w:r>
    </w:p>
    <w:p>
      <w:pPr>
        <w:pStyle w:val="Heading2"/>
      </w:pPr>
      <w:r>
        <w:t xml:space="preserve">6.3 Coste mensual por cliente activo, según intensidad de uso</w:t>
      </w:r>
    </w:p>
    <w:p>
      <w:pPr>
        <w:spacing w:after="160"/>
      </w:pPr>
      <w:r>
        <w:rPr>
          <w:color w:val="222222"/>
          <w:sz w:val="21"/>
          <w:szCs w:val="21"/>
        </w:rPr>
        <w:t xml:space="preserve">Con Claude Sonnet 4.6 (el escenario más caro de los dos modelos):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100"/>
        <w:gridCol w:w="1610"/>
        <w:gridCol w:w="1610"/>
        <w:gridCol w:w="1606"/>
      </w:tblGrid>
      <w:tr>
        <w:trPr>
          <w:tblHeader/>
        </w:trPr>
        <w:tc>
          <w:tcPr>
            <w:tcW w:type="dxa" w:w="19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Escenario de uso</w:t>
            </w:r>
          </w:p>
        </w:tc>
        <w:tc>
          <w:tcPr>
            <w:tcW w:type="dxa" w:w="12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Consultas/mes</w:t>
            </w:r>
          </w:p>
        </w:tc>
        <w:tc>
          <w:tcPr>
            <w:tcW w:type="dxa" w:w="11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Coste/mes</w:t>
            </w:r>
          </w:p>
        </w:tc>
        <w:tc>
          <w:tcPr>
            <w:tcW w:type="dxa" w:w="161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 Profesional (49€)</w:t>
            </w:r>
          </w:p>
        </w:tc>
        <w:tc>
          <w:tcPr>
            <w:tcW w:type="dxa" w:w="161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 Empresa (89€)</w:t>
            </w:r>
          </w:p>
        </w:tc>
        <w:tc>
          <w:tcPr>
            <w:tcW w:type="dxa" w:w="160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 Empresa+ (179€)</w:t>
            </w:r>
          </w:p>
        </w:tc>
      </w:tr>
      <w:tr>
        <w:tc>
          <w:tcPr>
            <w:tcW w:type="dxa" w:w="19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Conservador</w:t>
            </w:r>
          </w:p>
        </w:tc>
        <w:tc>
          <w:tcPr>
            <w:tcW w:type="dxa" w:w="1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5</w:t>
            </w:r>
          </w:p>
        </w:tc>
        <w:tc>
          <w:tcPr>
            <w:tcW w:type="dxa" w:w="11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0,10 €</w:t>
            </w:r>
          </w:p>
        </w:tc>
        <w:tc>
          <w:tcPr>
            <w:tcW w:type="dxa" w:w="161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0,21 %</w:t>
            </w:r>
          </w:p>
        </w:tc>
        <w:tc>
          <w:tcPr>
            <w:tcW w:type="dxa" w:w="161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0,12 %</w:t>
            </w:r>
          </w:p>
        </w:tc>
        <w:tc>
          <w:tcPr>
            <w:tcW w:type="dxa" w:w="160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0,06 %</w:t>
            </w:r>
          </w:p>
        </w:tc>
      </w:tr>
      <w:tr>
        <w:tc>
          <w:tcPr>
            <w:tcW w:type="dxa" w:w="19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Moderado</w:t>
            </w:r>
          </w:p>
        </w:tc>
        <w:tc>
          <w:tcPr>
            <w:tcW w:type="dxa" w:w="12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15</w:t>
            </w:r>
          </w:p>
        </w:tc>
        <w:tc>
          <w:tcPr>
            <w:tcW w:type="dxa" w:w="11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0,31 €</w:t>
            </w:r>
          </w:p>
        </w:tc>
        <w:tc>
          <w:tcPr>
            <w:tcW w:type="dxa" w:w="161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0,63 %</w:t>
            </w:r>
          </w:p>
        </w:tc>
        <w:tc>
          <w:tcPr>
            <w:tcW w:type="dxa" w:w="161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0,35 %</w:t>
            </w:r>
          </w:p>
        </w:tc>
        <w:tc>
          <w:tcPr>
            <w:tcW w:type="dxa" w:w="160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0,17 %</w:t>
            </w:r>
          </w:p>
        </w:tc>
      </w:tr>
      <w:tr>
        <w:tc>
          <w:tcPr>
            <w:tcW w:type="dxa" w:w="19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Intensivo</w:t>
            </w:r>
          </w:p>
        </w:tc>
        <w:tc>
          <w:tcPr>
            <w:tcW w:type="dxa" w:w="1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40</w:t>
            </w:r>
          </w:p>
        </w:tc>
        <w:tc>
          <w:tcPr>
            <w:tcW w:type="dxa" w:w="11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0,83 €</w:t>
            </w:r>
          </w:p>
        </w:tc>
        <w:tc>
          <w:tcPr>
            <w:tcW w:type="dxa" w:w="161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1,68 %</w:t>
            </w:r>
          </w:p>
        </w:tc>
        <w:tc>
          <w:tcPr>
            <w:tcW w:type="dxa" w:w="161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0,93 %</w:t>
            </w:r>
          </w:p>
        </w:tc>
        <w:tc>
          <w:tcPr>
            <w:tcW w:type="dxa" w:w="160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0,46 %</w:t>
            </w:r>
          </w:p>
        </w:tc>
      </w:tr>
      <w:tr>
        <w:tc>
          <w:tcPr>
            <w:tcW w:type="dxa" w:w="19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Estrés (extremo)</w:t>
            </w:r>
          </w:p>
        </w:tc>
        <w:tc>
          <w:tcPr>
            <w:tcW w:type="dxa" w:w="12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100</w:t>
            </w:r>
          </w:p>
        </w:tc>
        <w:tc>
          <w:tcPr>
            <w:tcW w:type="dxa" w:w="11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2,06 €</w:t>
            </w:r>
          </w:p>
        </w:tc>
        <w:tc>
          <w:tcPr>
            <w:tcW w:type="dxa" w:w="161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4,21 %</w:t>
            </w:r>
          </w:p>
        </w:tc>
        <w:tc>
          <w:tcPr>
            <w:tcW w:type="dxa" w:w="161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2,32 %</w:t>
            </w:r>
          </w:p>
        </w:tc>
        <w:tc>
          <w:tcPr>
            <w:tcW w:type="dxa" w:w="160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1,15 %</w:t>
            </w:r>
          </w:p>
        </w:tc>
      </w:tr>
    </w:tbl>
    <w:p>
      <w:pPr>
        <w:spacing w:after="220" w:before="60"/>
      </w:pPr>
      <w:r>
        <w:rPr>
          <w:i/>
          <w:iCs/>
          <w:color w:val="5B6472"/>
          <w:sz w:val="18"/>
          <w:szCs w:val="18"/>
        </w:rPr>
        <w:t xml:space="preserve">Tabla 8. Coste por cliente y su peso sobre la cuota mensual de cada plan. Incluso en el escenario de estrés, el coste no supera el 4,3 % de la cuota más barata.</w:t>
      </w:r>
    </w:p>
    <w:p>
      <w:pPr>
        <w:pStyle w:val="Heading2"/>
      </w:pPr>
      <w:r>
        <w:t xml:space="preserve">6.4 Proyección a escala, sobre el modelo financiero ya existente</w:t>
      </w:r>
    </w:p>
    <w:p>
      <w:pPr>
        <w:spacing w:after="160"/>
      </w:pPr>
      <w:r>
        <w:rPr>
          <w:color w:val="222222"/>
          <w:sz w:val="21"/>
          <w:szCs w:val="21"/>
        </w:rPr>
        <w:t xml:space="preserve">Usando directamente los clientes activos y el MRR del mes 36 de cada escenario en TrabFlow_Financial_Model_Pro_v2.xlsx, y dos hipótesis de adopción: "realista" (30 % de clientes usan el asistente, 15 consultas/mes entre quienes lo usan) y "estrés" (100 % de adopción, 40 consultas/mes), ambas con Sonnet 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200"/>
        <w:gridCol w:w="1500"/>
        <w:gridCol w:w="1500"/>
        <w:gridCol w:w="1000"/>
        <w:gridCol w:w="1026"/>
      </w:tblGrid>
      <w:tr>
        <w:trPr>
          <w:tblHeader/>
        </w:trPr>
        <w:tc>
          <w:tcPr>
            <w:tcW w:type="dxa" w:w="17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Escenario</w:t>
            </w:r>
          </w:p>
        </w:tc>
        <w:tc>
          <w:tcPr>
            <w:tcW w:type="dxa" w:w="11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Clientes (mes 36)</w:t>
            </w:r>
          </w:p>
        </w:tc>
        <w:tc>
          <w:tcPr>
            <w:tcW w:type="dxa" w:w="12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MRR (mes 36)</w:t>
            </w:r>
          </w:p>
        </w:tc>
        <w:tc>
          <w:tcPr>
            <w:tcW w:type="dxa" w:w="15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Coste add-on realista</w:t>
            </w:r>
          </w:p>
        </w:tc>
        <w:tc>
          <w:tcPr>
            <w:tcW w:type="dxa" w:w="15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Coste add-on estrés</w:t>
            </w:r>
          </w:p>
        </w:tc>
        <w:tc>
          <w:tcPr>
            <w:tcW w:type="dxa" w:w="10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 MRR realista</w:t>
            </w:r>
          </w:p>
        </w:tc>
        <w:tc>
          <w:tcPr>
            <w:tcW w:type="dxa" w:w="10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 MRR estrés</w:t>
            </w:r>
          </w:p>
        </w:tc>
      </w:tr>
      <w:tr>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Conservador</w:t>
            </w:r>
          </w:p>
        </w:tc>
        <w:tc>
          <w:tcPr>
            <w:tcW w:type="dxa" w:w="11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220</w:t>
            </w:r>
          </w:p>
        </w:tc>
        <w:tc>
          <w:tcPr>
            <w:tcW w:type="dxa" w:w="1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9.916 €</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20,50 €</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181,90 €</w:t>
            </w:r>
          </w:p>
        </w:tc>
        <w:tc>
          <w:tcPr>
            <w:tcW w:type="dxa" w:w="10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0,21 %</w:t>
            </w:r>
          </w:p>
        </w:tc>
        <w:tc>
          <w:tcPr>
            <w:tcW w:type="dxa" w:w="10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1,83 %</w:t>
            </w:r>
          </w:p>
        </w:tc>
      </w:tr>
      <w:tr>
        <w:tc>
          <w:tcPr>
            <w:tcW w:type="dxa" w:w="1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Base</w:t>
            </w:r>
          </w:p>
        </w:tc>
        <w:tc>
          <w:tcPr>
            <w:tcW w:type="dxa" w:w="11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541</w:t>
            </w:r>
          </w:p>
        </w:tc>
        <w:tc>
          <w:tcPr>
            <w:tcW w:type="dxa" w:w="12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26.506 €</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50,20 €</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446,60 €</w:t>
            </w:r>
          </w:p>
        </w:tc>
        <w:tc>
          <w:tcPr>
            <w:tcW w:type="dxa" w:w="10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0,19 %</w:t>
            </w:r>
          </w:p>
        </w:tc>
        <w:tc>
          <w:tcPr>
            <w:tcW w:type="dxa" w:w="10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1,68 %</w:t>
            </w:r>
          </w:p>
        </w:tc>
      </w:tr>
      <w:tr>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Agresivo</w:t>
            </w:r>
          </w:p>
        </w:tc>
        <w:tc>
          <w:tcPr>
            <w:tcW w:type="dxa" w:w="11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1.288</w:t>
            </w:r>
          </w:p>
        </w:tc>
        <w:tc>
          <w:tcPr>
            <w:tcW w:type="dxa" w:w="1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77.275 €</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119,60 €</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1.063,30 €</w:t>
            </w:r>
          </w:p>
        </w:tc>
        <w:tc>
          <w:tcPr>
            <w:tcW w:type="dxa" w:w="10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0,15 %</w:t>
            </w:r>
          </w:p>
        </w:tc>
        <w:tc>
          <w:tcPr>
            <w:tcW w:type="dxa" w:w="10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1,38 %</w:t>
            </w:r>
          </w:p>
        </w:tc>
      </w:tr>
    </w:tbl>
    <w:p>
      <w:pPr>
        <w:spacing w:after="220" w:before="60"/>
      </w:pPr>
      <w:r>
        <w:rPr>
          <w:i/>
          <w:iCs/>
          <w:color w:val="5B6472"/>
          <w:sz w:val="18"/>
          <w:szCs w:val="18"/>
        </w:rPr>
        <w:t xml:space="preserve">Tabla 9. Coste agregado del Asistente Técnico frente al MRR proyectado, en los tres escenarios del modelo financiero.</w:t>
      </w:r>
    </w:p>
    <w:p>
      <w:pPr>
        <w:spacing w:after="160"/>
      </w:pPr>
      <w:r>
        <w:rPr>
          <w:color w:val="222222"/>
          <w:sz w:val="21"/>
          <w:szCs w:val="21"/>
        </w:rPr>
        <w:t xml:space="preserve">Como ambas cifras (coste add-on y partida "Coste IA/infraestructura" de 5 €/cliente/mes ya presupuestada en el modelo) escalan linealmente con el número de clientes, el porcentaje añadido sobre esa partida es constante en los tres escenarios: ≈1,9 % en el caso realista y ≈16,5 % en el caso de estrés extremo.</w:t>
      </w:r>
    </w:p>
    <w:p>
      <w:pPr>
        <w:pStyle w:val="Heading2"/>
      </w:pPr>
      <w:r>
        <w:t xml:space="preserve">6.5 Conclusión de rentabilidad</w:t>
      </w:r>
    </w:p>
    <w:p>
      <w:pPr>
        <w:spacing w:after="160"/>
      </w:pPr>
      <w:r>
        <w:rPr>
          <w:b/>
          <w:bCs/>
          <w:color w:val="222222"/>
          <w:sz w:val="21"/>
          <w:szCs w:val="21"/>
        </w:rPr>
        <w:t xml:space="preserve">No, no entra en pérdidas. </w:t>
      </w:r>
      <w:r>
        <w:rPr>
          <w:color w:val="222222"/>
          <w:sz w:val="21"/>
          <w:szCs w:val="21"/>
        </w:rPr>
        <w:t xml:space="preserve">Incluso en el escenario de estrés más exigente (Sonnet 4.6, adopción del 100 %, 40 consultas/mes/cliente), el coste añadido se queda por debajo del 2 % del MRR en cualquiera de los tres escenarios del modelo, y cabe con margen amplio dentro de la partida de IA/infraestructura que el modelo financiero ya contempla. Esto significa dos cosas prácticas: que el modelo financiero no necesita revisarse para incorporar esta función, y que durante el periodo en que tú soportes el coste (piloto/beta con CONAIF antes de integrarlo en la facturación de los planes), el desembolso real seguiría siendo de pocos euros al mes incluso con varios cientos de instaladores probándolo.</w:t>
      </w:r>
    </w:p>
    <w:p>
      <w:pPr>
        <w:pStyle w:val="Heading1"/>
      </w:pPr>
      <w:r>
        <w:t xml:space="preserve">7. Decisiones pendientes</w:t>
      </w:r>
    </w:p>
    <w:p>
      <w:pPr>
        <w:pStyle w:val="ListParagraph"/>
        <w:numPr>
          <w:ilvl w:val="0"/>
          <w:numId w:val="2"/>
        </w:numPr>
        <w:spacing w:after="90"/>
      </w:pPr>
      <w:r>
        <w:rPr>
          <w:color w:val="222222"/>
          <w:sz w:val="21"/>
          <w:szCs w:val="21"/>
        </w:rPr>
        <w:t xml:space="preserve">Modelo generativo por defecto: se recomienda Claude Sonnet 4.6 por precisión en contenido regulado; el ahorro de usar Haiku 4.5 es marginal en términos absolutos.</w:t>
      </w:r>
    </w:p>
    <w:p>
      <w:pPr>
        <w:pStyle w:val="ListParagraph"/>
        <w:numPr>
          <w:ilvl w:val="0"/>
          <w:numId w:val="2"/>
        </w:numPr>
        <w:spacing w:after="90"/>
      </w:pPr>
      <w:r>
        <w:rPr>
          <w:color w:val="222222"/>
          <w:sz w:val="21"/>
          <w:szCs w:val="21"/>
        </w:rPr>
        <w:t xml:space="preserve">Gating por plan: dado que el coste marginal es bajo, la decisión de si está disponible desde Profesional o solo desde Empresa/Empresa+ es de posicionamiento competitivo, no de coste.</w:t>
      </w:r>
    </w:p>
    <w:p>
      <w:pPr>
        <w:pStyle w:val="ListParagraph"/>
        <w:numPr>
          <w:ilvl w:val="0"/>
          <w:numId w:val="2"/>
        </w:numPr>
        <w:spacing w:after="90"/>
      </w:pPr>
      <w:r>
        <w:rPr>
          <w:color w:val="222222"/>
          <w:sz w:val="21"/>
          <w:szCs w:val="21"/>
        </w:rPr>
        <w:t xml:space="preserve">Alcance inicial de fuentes: confirmar si se arranca solo con RITE + REBT (alineado con los oficios ya completos en Base Maestra) o se amplía desde el primer momento.</w:t>
      </w:r>
    </w:p>
    <w:p>
      <w:pPr>
        <w:pStyle w:val="ListParagraph"/>
        <w:numPr>
          <w:ilvl w:val="0"/>
          <w:numId w:val="2"/>
        </w:numPr>
        <w:spacing w:after="90"/>
      </w:pPr>
      <w:r>
        <w:rPr>
          <w:color w:val="222222"/>
          <w:sz w:val="21"/>
          <w:szCs w:val="21"/>
        </w:rPr>
        <w:t xml:space="preserve">Fuentes con propiedad intelectual de terceros: definir si se indexan completas (requiere permiso) o se referencian sin reproducir el texto íntegro hasta tener acuerdo formal con el fabricante o la asociación.</w:t>
      </w:r>
    </w:p>
    <w:p>
      <w:pPr>
        <w:pStyle w:val="ListParagraph"/>
        <w:numPr>
          <w:ilvl w:val="0"/>
          <w:numId w:val="2"/>
        </w:numPr>
        <w:spacing w:after="90"/>
      </w:pPr>
      <w:r>
        <w:rPr>
          <w:color w:val="222222"/>
          <w:sz w:val="21"/>
          <w:szCs w:val="21"/>
        </w:rPr>
        <w:t xml:space="preserve">Límite de uso por plan: dado que el coste por consulta es bajo, no parece necesario un tope duro en el lanzamiento; monitorizar con trade_normativa_query_log y decidir si hace falta más adelante.</w:t>
      </w:r>
    </w:p>
    <w:p>
      <w:pPr>
        <w:pStyle w:val="Heading1"/>
      </w:pPr>
      <w:r>
        <w:t xml:space="preserve">8. Recomendación y próximos pasos</w:t>
      </w:r>
    </w:p>
    <w:p>
      <w:pPr>
        <w:pStyle w:val="ListParagraph"/>
        <w:numPr>
          <w:ilvl w:val="0"/>
          <w:numId w:val="2"/>
        </w:numPr>
        <w:spacing w:after="90"/>
      </w:pPr>
      <w:r>
        <w:rPr>
          <w:color w:val="222222"/>
          <w:sz w:val="21"/>
          <w:szCs w:val="21"/>
        </w:rPr>
        <w:t xml:space="preserve">Confirmar las decisiones pendientes de la sección 7.</w:t>
      </w:r>
    </w:p>
    <w:p>
      <w:pPr>
        <w:pStyle w:val="ListParagraph"/>
        <w:numPr>
          <w:ilvl w:val="0"/>
          <w:numId w:val="2"/>
        </w:numPr>
        <w:spacing w:after="90"/>
      </w:pPr>
      <w:r>
        <w:rPr>
          <w:color w:val="222222"/>
          <w:sz w:val="21"/>
          <w:szCs w:val="21"/>
        </w:rPr>
        <w:t xml:space="preserve">Arrancar Fases 0-1 esta semana (diseño + esquema de base de datos).</w:t>
      </w:r>
    </w:p>
    <w:p>
      <w:pPr>
        <w:pStyle w:val="ListParagraph"/>
        <w:numPr>
          <w:ilvl w:val="0"/>
          <w:numId w:val="2"/>
        </w:numPr>
        <w:spacing w:after="90"/>
      </w:pPr>
      <w:r>
        <w:rPr>
          <w:color w:val="222222"/>
          <w:sz w:val="21"/>
          <w:szCs w:val="21"/>
        </w:rPr>
        <w:t xml:space="preserve">Usar el hito de la Fase 6 (demo funcional con RITE y REBT citando fuente) como ancla de la reunión con Luciano: no se llega con una idea, se llega con un prototipo funcionando y la petición concreta de que CONAIF aporte sus circulares para la fase de marca blanca.</w:t>
      </w:r>
    </w:p>
    <w:p>
      <w:pPr>
        <w:pStyle w:val="ListParagraph"/>
        <w:numPr>
          <w:ilvl w:val="0"/>
          <w:numId w:val="2"/>
        </w:numPr>
        <w:spacing w:after="90"/>
      </w:pPr>
      <w:r>
        <w:rPr>
          <w:color w:val="222222"/>
          <w:sz w:val="21"/>
          <w:szCs w:val="21"/>
        </w:rPr>
        <w:t xml:space="preserve">Una vez validado el piloto, decidir el gating por plan y activar la telemetría de coste real antes de abrir a toda la base de clientes.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Página </w:t>
    </w:r>
    <w:r>
      <w:rPr>
        <w:color w:val="5B6472"/>
        <w:sz w:val="16"/>
        <w:szCs w:val="16"/>
      </w:rPr>
      <w:fldChar w:fldCharType="begin"/>
      <w:instrText xml:space="preserve">PAGE</w:instrText>
      <w:fldChar w:fldCharType="separate"/>
      <w:fldChar w:fldCharType="end"/>
    </w:r>
    <w:r>
      <w:rPr>
        <w:color w:val="5B6472"/>
        <w:sz w:val="16"/>
        <w:szCs w:val="16"/>
      </w:rPr>
      <w:t xml:space="preserve"> de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jc w:val="right"/>
    </w:pPr>
    <w:r>
      <w:rPr>
        <w:color w:val="5B6472"/>
        <w:sz w:val="16"/>
        <w:szCs w:val="16"/>
      </w:rPr>
      <w:t xml:space="preserve">TrabFlow — Asistente Técnico del Instalador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1D4ED8"/>
      <w:sz w:val="25"/>
      <w:szCs w:val="25"/>
    </w:rPr>
  </w:style>
  <w:style w:type="paragraph" w:styleId="Heading3">
    <w:name w:val="Heading 3"/>
    <w:basedOn w:val="Normal"/>
    <w:next w:val="Normal"/>
    <w:qFormat/>
    <w:pPr>
      <w:spacing w:after="120" w:before="20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2026-06-17T09:49:38.153Z</dcterms:created>
  <dcterms:modified xsi:type="dcterms:W3CDTF">2026-06-17T09:49:38.153Z</dcterms:modified>
</cp:coreProperties>
</file>

<file path=docProps/custom.xml><?xml version="1.0" encoding="utf-8"?>
<Properties xmlns="http://schemas.openxmlformats.org/officeDocument/2006/custom-properties" xmlns:vt="http://schemas.openxmlformats.org/officeDocument/2006/docPropsVTypes"/>
</file>