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right"/>
      </w:pPr>
      <w:r>
        <w:rPr>
          <w:rFonts w:ascii="Calibri" w:cs="Calibri" w:eastAsia="Calibri" w:hAnsi="Calibri"/>
          <w:i/>
          <w:iCs/>
          <w:color w:val="6B7686"/>
          <w:sz w:val="19"/>
          <w:szCs w:val="19"/>
        </w:rPr>
        <w:t xml:space="preserve">PROPUESTA EJECUTIVA · CONFIDENCIAL · USO EXCLUSIVO INTERNO OBRAMAT</w:t>
      </w:r>
    </w:p>
    <w:p>
      <w:pPr>
        <w:spacing w:after="120" w:before="0"/>
      </w:pPr>
      <w:r>
        <w:rPr>
          <w:rFonts w:ascii="Cambria" w:cs="Cambria" w:eastAsia="Cambria" w:hAnsi="Cambria"/>
          <w:b/>
          <w:bCs/>
          <w:color w:val="1C2535"/>
          <w:sz w:val="64"/>
          <w:szCs w:val="64"/>
        </w:rPr>
        <w:t xml:space="preserve">TrabFlow × OBRAMAT</w:t>
      </w:r>
    </w:p>
    <w:p>
      <w:pPr>
        <w:spacing w:after="400" w:before="0"/>
      </w:pPr>
      <w:r>
        <w:rPr>
          <w:rFonts w:ascii="Cambria" w:cs="Cambria" w:eastAsia="Cambria" w:hAnsi="Cambria"/>
          <w:color w:val="1A5A96"/>
          <w:sz w:val="34"/>
          <w:szCs w:val="34"/>
        </w:rPr>
        <w:t xml:space="preserve">¿Por qué debería interesarnos un piloto?</w:t>
      </w:r>
    </w:p>
    <w:p>
      <w:pPr>
        <w:pBdr>
          <w:bottom w:val="single" w:color="D5D9E0" w:sz="6" w:space="4"/>
        </w:pBdr>
        <w:spacing w:after="200" w:before="200"/>
      </w:pPr>
      <w:r>
        <w:rPr>
          <w:rFonts w:ascii="Calibri" w:cs="Calibri" w:eastAsia="Calibri" w:hAnsi="Calibri"/>
          <w:color w:val="1C2535"/>
          <w:sz w:val="22"/>
          <w:szCs w:val="22"/>
        </w:rPr>
        <w:t xml:space="preserve"/>
      </w:r>
    </w:p>
    <w:p>
      <w:pPr>
        <w:spacing w:after="80" w:before="200"/>
      </w:pPr>
      <w:r>
        <w:rPr>
          <w:rFonts w:ascii="Calibri" w:cs="Calibri" w:eastAsia="Calibri" w:hAnsi="Calibri"/>
          <w:b/>
          <w:bCs/>
          <w:color w:val="1C2535"/>
          <w:sz w:val="26"/>
          <w:szCs w:val="26"/>
        </w:rPr>
        <w:t xml:space="preserve">Propuesta Ejecutiva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tblGrid>
      <w:tr>
        <w:trPr>
          <w:tblHeader/>
        </w:trPr>
        <w:tc>
          <w:tcPr>
            <w:tcW w:type="dxa" w:w="24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Campo</w:t>
            </w:r>
          </w:p>
        </w:tc>
        <w:tc>
          <w:tcPr>
            <w:tcW w:type="dxa" w:w="69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Detalle</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Versión</w:t>
            </w:r>
          </w:p>
        </w:tc>
        <w:tc>
          <w:tcPr>
            <w:tcW w:type="dxa" w:w="69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1.0</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Fecha de emisión</w:t>
            </w:r>
          </w:p>
        </w:tc>
        <w:tc>
          <w:tcPr>
            <w:tcW w:type="dxa" w:w="69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Julio 2026</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Interlocutor TrabFlow</w:t>
            </w:r>
          </w:p>
        </w:tc>
        <w:tc>
          <w:tcPr>
            <w:tcW w:type="dxa" w:w="69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Fernando Carbonell Cabo — Fundador y Administrador Único</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Destinatarios</w:t>
            </w:r>
          </w:p>
        </w:tc>
        <w:tc>
          <w:tcPr>
            <w:tcW w:type="dxa" w:w="69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Dirección General · Innovación · Desarrollo de Negocio · Dirección Comercial · OBRAMAT</w:t>
            </w:r>
          </w:p>
        </w:tc>
      </w:tr>
      <w:tr>
        <w:tc>
          <w:tcPr>
            <w:tcW w:type="dxa" w:w="24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Clasificación</w:t>
            </w:r>
          </w:p>
        </w:tc>
        <w:tc>
          <w:tcPr>
            <w:tcW w:type="dxa" w:w="69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Confidencial — uso exclusivo interno OBRAMAT</w:t>
            </w:r>
          </w:p>
        </w:tc>
      </w:tr>
      <w:tr>
        <w:tc>
          <w:tcPr>
            <w:tcW w:type="dxa" w:w="24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Documento relacionado</w:t>
            </w:r>
          </w:p>
        </w:tc>
        <w:tc>
          <w:tcPr>
            <w:tcW w:type="dxa" w:w="69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Dossier Técnico TrabFlow × OBRAMAT · Julio 2026</w:t>
            </w:r>
          </w:p>
        </w:tc>
      </w:tr>
    </w:tbl>
    <w:p>
      <w:pPr>
        <w:spacing w:after="0" w:before="0"/>
      </w:pPr>
      <w:r>
        <w:br w:type="page"/>
      </w:r>
    </w:p>
    <w:p>
      <w:pPr>
        <w:spacing w:after="40" w:before="400"/>
      </w:pPr>
      <w:r>
        <w:rPr>
          <w:rFonts w:ascii="Calibri" w:cs="Calibri" w:eastAsia="Calibri" w:hAnsi="Calibri"/>
          <w:b/>
          <w:bCs/>
          <w:color w:val="1A5A96"/>
          <w:sz w:val="20"/>
          <w:szCs w:val="20"/>
        </w:rPr>
        <w:t xml:space="preserve">RESUMEN EJECUTIVO</w:t>
      </w:r>
    </w:p>
    <w:p>
      <w:pPr>
        <w:pStyle w:val="Heading1"/>
        <w:pBdr>
          <w:bottom w:val="single" w:color="C8922A" w:sz="12" w:space="6"/>
        </w:pBdr>
        <w:spacing w:after="200" w:before="0"/>
      </w:pPr>
      <w:r>
        <w:rPr>
          <w:rFonts w:ascii="Cambria" w:cs="Cambria" w:eastAsia="Cambria" w:hAnsi="Cambria"/>
          <w:b/>
          <w:bCs/>
          <w:color w:val="1C2535"/>
          <w:sz w:val="44"/>
          <w:szCs w:val="44"/>
        </w:rPr>
        <w:t xml:space="preserve">Lo que se propone en tres párrafos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1A5A96" w:sz="12"/>
              <w:left w:val="single" w:color="1A5A96" w:sz="20"/>
              <w:bottom w:val="nil"/>
              <w:right w:val="nil"/>
            </w:tcBorders>
            <w:shd w:fill="EEF4FB" w:color="auto" w:val="clear"/>
            <w:tcMar>
              <w:top w:type="dxa" w:w="120"/>
              <w:left w:type="dxa" w:w="200"/>
              <w:bottom w:type="dxa" w:w="120"/>
              <w:right w:type="dxa" w:w="200"/>
            </w:tcMar>
          </w:tcPr>
          <w:p>
            <w:pPr>
              <w:spacing w:after="80" w:before="80" w:line="268"/>
            </w:pPr>
            <w:r>
              <w:rPr>
                <w:rFonts w:ascii="Calibri" w:cs="Calibri" w:eastAsia="Calibri" w:hAnsi="Calibri"/>
                <w:i/>
                <w:iCs/>
                <w:color w:val="1C2535"/>
                <w:sz w:val="22"/>
                <w:szCs w:val="22"/>
              </w:rPr>
              <w:t xml:space="preserve">TrabFlow no pretende sustituir el proceso de compra del instalador. Pretende intervenir en el momento en que decide qué materiales va a utilizar, conectando esa decisión con el catálogo del distribuidor y transformándola directamente en un presupuesto y una propuesta de compra.</w:t>
            </w:r>
          </w:p>
        </w:tc>
      </w:tr>
    </w:tbl>
    <w:p>
      <w:pPr>
        <w:spacing w:after="0" w:before="12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TrabFlow es una plataforma de gestión para instaladores autónomos y pequeñas empresas técnicas (fontaneros, electricistas, climatizadores) que transforma una descripción de trabajo hablada en un presupuesto con materiales y precios reales en menos de tres minutos. El motor de IA ya está construido y funcionando con datos reales: 93% de presupuestos correctos, cero respuestas vacías, 18 segundos de latencia media en 400 pruebas automatizadas.</w:t>
      </w:r>
    </w:p>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La propuesta para OBRAMAT es concreta: integrar el catálogo de OBRAMAT en el punto exacto del flujo en que el instalador decide qué material va a comprar. Cuando el motor detecta 'cambio de termo de 80 litros', busca en el catálogo de OBRAMAT el producto compatible y lo propone con precio real. OBRAMAT aparece primero, sistemáticamente, cuando existe referencia compatible — sin que el instalador tenga que buscarlo y sin que OBRAMAT tenga que construir nada.</w:t>
      </w:r>
    </w:p>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El siguiente paso es un piloto de 90 días en la familia de Fontanería: carga del catálogo real de OBRAMAT (en cualquier formato, incluso un Excel manual), integración con un grupo de instaladores beta y medición de la tasa de conversión de presupuesto a propuesta de pedido con referencia OBRAMAT. Sin coste de desarrollo para OBRAMAT. Sin exclusividad. Sin integración en producción en esta fase.</w:t>
      </w:r>
    </w:p>
    <w:p>
      <w:pPr>
        <w:spacing w:after="0" w:before="0"/>
      </w:pPr>
      <w:r>
        <w:br w:type="page"/>
      </w:r>
    </w:p>
    <w:p>
      <w:pPr>
        <w:spacing w:after="40" w:before="400"/>
      </w:pPr>
      <w:r>
        <w:rPr>
          <w:rFonts w:ascii="Calibri" w:cs="Calibri" w:eastAsia="Calibri" w:hAnsi="Calibri"/>
          <w:b/>
          <w:bCs/>
          <w:color w:val="1A5A96"/>
          <w:sz w:val="20"/>
          <w:szCs w:val="20"/>
        </w:rPr>
        <w:t xml:space="preserve">SECCIÓN 1</w:t>
      </w:r>
    </w:p>
    <w:p>
      <w:pPr>
        <w:pStyle w:val="Heading1"/>
        <w:pBdr>
          <w:bottom w:val="single" w:color="C8922A" w:sz="12" w:space="6"/>
        </w:pBdr>
        <w:spacing w:after="200" w:before="0"/>
      </w:pPr>
      <w:r>
        <w:rPr>
          <w:rFonts w:ascii="Cambria" w:cs="Cambria" w:eastAsia="Cambria" w:hAnsi="Cambria"/>
          <w:b/>
          <w:bCs/>
          <w:color w:val="1C2535"/>
          <w:sz w:val="44"/>
          <w:szCs w:val="44"/>
        </w:rPr>
        <w:t xml:space="preserve">El problema que esto resuelve para OBRAMAT</w:t>
      </w:r>
    </w:p>
    <w:p>
      <w:pPr>
        <w:spacing w:after="80" w:before="80" w:line="276"/>
      </w:pPr>
      <w:r>
        <w:rPr>
          <w:rFonts w:ascii="Calibri" w:cs="Calibri" w:eastAsia="Calibri" w:hAnsi="Calibri"/>
          <w:color w:val="1C2535"/>
          <w:sz w:val="22"/>
          <w:szCs w:val="22"/>
        </w:rPr>
        <w:t xml:space="preserve">No el problema del instalador. El problema del distribuidor.</w:t>
      </w:r>
    </w:p>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①</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La decisión de compra ocurre fuera de cualquier sistema de OBRAMAT</w:t>
            </w:r>
          </w:p>
          <w:p>
            <w:pPr>
              <w:spacing w:after="80" w:before="0" w:line="264"/>
            </w:pPr>
            <w:r>
              <w:rPr>
                <w:rFonts w:ascii="Calibri" w:cs="Calibri" w:eastAsia="Calibri" w:hAnsi="Calibri"/>
                <w:color w:val="1C2535"/>
                <w:sz w:val="21"/>
                <w:szCs w:val="21"/>
              </w:rPr>
              <w:t xml:space="preserve">Cuando un instalador decide qué caldera, qué termo o qué grifo va a instalar, esa decisión ocurre mientras hace el presupuesto — no en el punto de venta, no en la web de OBRAMAT, no en ningún canal que OBRAMAT pueda ver o influir. Para cuando el instalador llega a la tienda o hace el pedido online, ya sabe exactamente qué va a comprar. La oportunidad de influir en esa decisión ha pasado.</w:t>
            </w:r>
          </w:p>
        </w:tc>
      </w:tr>
    </w:tbl>
    <w:p>
      <w:pPr>
        <w:spacing w:after="0" w:before="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②</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El catálogo B2B llega tarde</w:t>
            </w:r>
          </w:p>
          <w:p>
            <w:pPr>
              <w:spacing w:after="80" w:before="0" w:line="264"/>
            </w:pPr>
            <w:r>
              <w:rPr>
                <w:rFonts w:ascii="Calibri" w:cs="Calibri" w:eastAsia="Calibri" w:hAnsi="Calibri"/>
                <w:color w:val="1C2535"/>
                <w:sz w:val="21"/>
                <w:szCs w:val="21"/>
              </w:rPr>
              <w:t xml:space="preserve">Las herramientas B2B digitales actuales — apps de pedido, catálogos online, portales de cliente — actúan en el momento del pedido, no en el momento de la decisión. El instalador ya ha cerrado el presupuesto al cliente cuando accede a esas herramientas. Cambiar de material en ese punto implica rehacer el presupuesto: nadie lo hace. La venta ya estaba decidida antes de que OBRAMAT tuviera opción de proponer nada.</w:t>
            </w:r>
          </w:p>
        </w:tc>
      </w:tr>
    </w:tbl>
    <w:p>
      <w:pPr>
        <w:spacing w:after="0" w:before="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③</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Cada presupuesto sin canal propio es una compra que puede ir a cualquier parte</w:t>
            </w:r>
          </w:p>
          <w:p>
            <w:pPr>
              <w:spacing w:after="80" w:before="0" w:line="264"/>
            </w:pPr>
            <w:r>
              <w:rPr>
                <w:rFonts w:ascii="Calibri" w:cs="Calibri" w:eastAsia="Calibri" w:hAnsi="Calibri"/>
                <w:color w:val="1C2535"/>
                <w:sz w:val="21"/>
                <w:szCs w:val="21"/>
              </w:rPr>
              <w:t xml:space="preserve">Con 3,4 millones de autónomos que presupuestan sin estructura digital, el gasto de material se distribuye por defecto hacia el proveedor más cercano al tajo, el más recordado o el que ofreció el último descuento. No hay fidelización posible en ese modelo: la próxima compra vuelve a ser aleatoria.</w:t>
            </w:r>
          </w:p>
        </w:tc>
      </w:tr>
    </w:tbl>
    <w:p>
      <w:pPr>
        <w:spacing w:after="0" w:before="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④</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El gremio está a 18 meses de migrar a herramientas digitales — y ese momento no se repite</w:t>
            </w:r>
          </w:p>
          <w:p>
            <w:pPr>
              <w:spacing w:after="80" w:before="0" w:line="264"/>
            </w:pPr>
            <w:r>
              <w:rPr>
                <w:rFonts w:ascii="Calibri" w:cs="Calibri" w:eastAsia="Calibri" w:hAnsi="Calibri"/>
                <w:color w:val="1C2535"/>
                <w:sz w:val="21"/>
                <w:szCs w:val="21"/>
              </w:rPr>
              <w:t xml:space="preserve">VeriFactu (RD 1007/2023) obliga a facturación electrónica encadenada desde 2027. Todo el gremio está migrando a software de gestión en los próximos 18 meses. El distribuidor que consiga estar presente en esa herramienta desde el principio captura un posicionamiento que será muy difícil de desplazar después.</w:t>
            </w:r>
          </w:p>
        </w:tc>
      </w:tr>
    </w:tbl>
    <w:p>
      <w:pPr>
        <w:spacing w:after="0" w:before="16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20"/>
              <w:bottom w:val="nil"/>
              <w:right w:val="nil"/>
            </w:tcBorders>
            <w:shd w:fill="F0F2F5" w:color="auto" w:val="clear"/>
            <w:tcMar>
              <w:top w:type="dxa" w:w="120"/>
              <w:left w:type="dxa" w:w="200"/>
              <w:bottom w:type="dxa" w:w="120"/>
              <w:right w:type="dxa" w:w="200"/>
            </w:tcMar>
          </w:tcPr>
          <w:p>
            <w:pPr>
              <w:spacing w:after="80" w:before="80" w:line="268"/>
            </w:pPr>
            <w:r>
              <w:rPr>
                <w:rFonts w:ascii="Calibri" w:cs="Calibri" w:eastAsia="Calibri" w:hAnsi="Calibri"/>
                <w:i/>
                <w:iCs/>
                <w:color w:val="1C2535"/>
                <w:sz w:val="22"/>
                <w:szCs w:val="22"/>
              </w:rPr>
              <w:t xml:space="preserve">El valor de TrabFlow para OBRAMAT no es tecnológico. Es estar en el lugar correcto en el momento correcto: dentro de la herramienta con la que el instalador decide qué comprar.</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2</w:t>
      </w:r>
    </w:p>
    <w:p>
      <w:pPr>
        <w:pStyle w:val="Heading1"/>
        <w:pBdr>
          <w:bottom w:val="single" w:color="C8922A" w:sz="12" w:space="6"/>
        </w:pBdr>
        <w:spacing w:after="200" w:before="0"/>
      </w:pPr>
      <w:r>
        <w:rPr>
          <w:rFonts w:ascii="Cambria" w:cs="Cambria" w:eastAsia="Cambria" w:hAnsi="Cambria"/>
          <w:b/>
          <w:bCs/>
          <w:color w:val="1C2535"/>
          <w:sz w:val="44"/>
          <w:szCs w:val="44"/>
        </w:rPr>
        <w:t xml:space="preserve">La oportunidad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c>
          <w:tcPr>
            <w:tcW w:type="dxa" w:w="3120"/>
            <w:tcBorders>
              <w:top w:val="single" w:color="C8922A" w:sz="10"/>
              <w:left w:val="nil"/>
              <w:bottom w:val="nil"/>
              <w:right w:val="single" w:color="D5D9E0" w:sz="4"/>
            </w:tcBorders>
            <w:shd w:fill="F0F2F5" w:color="auto" w:val="clear"/>
            <w:tcMar>
              <w:top w:type="dxa" w:w="80"/>
              <w:left w:type="dxa" w:w="120"/>
              <w:bottom w:type="dxa" w:w="80"/>
              <w:right w:type="dxa" w:w="120"/>
            </w:tcMar>
          </w:tcPr>
          <w:p>
            <w:pPr>
              <w:spacing w:after="40" w:before="120"/>
              <w:jc w:val="center"/>
            </w:pPr>
            <w:r>
              <w:rPr>
                <w:rFonts w:ascii="Cambria" w:cs="Cambria" w:eastAsia="Cambria" w:hAnsi="Cambria"/>
                <w:b/>
                <w:bCs/>
                <w:color w:val="1A5A96"/>
                <w:sz w:val="56"/>
                <w:szCs w:val="56"/>
              </w:rPr>
              <w:t xml:space="preserve">3,4M</w:t>
            </w:r>
          </w:p>
          <w:p>
            <w:pPr>
              <w:spacing w:after="0" w:before="0"/>
              <w:jc w:val="center"/>
            </w:pPr>
            <w:r>
              <w:rPr>
                <w:rFonts w:ascii="Calibri" w:cs="Calibri" w:eastAsia="Calibri" w:hAnsi="Calibri"/>
                <w:b/>
                <w:bCs/>
                <w:color w:val="1C2535"/>
                <w:sz w:val="21"/>
                <w:szCs w:val="21"/>
              </w:rPr>
              <w:t xml:space="preserve">autónomos registrados en España</w:t>
            </w:r>
          </w:p>
          <w:p>
            <w:pPr>
              <w:spacing w:after="100" w:before="0"/>
              <w:jc w:val="center"/>
            </w:pPr>
            <w:r>
              <w:rPr>
                <w:rFonts w:ascii="Calibri" w:cs="Calibri" w:eastAsia="Calibri" w:hAnsi="Calibri"/>
                <w:i/>
                <w:iCs/>
                <w:color w:val="6B7686"/>
                <w:sz w:val="18"/>
                <w:szCs w:val="18"/>
              </w:rPr>
              <w:t xml:space="preserve">Dic. 2025 — Ministerio de Inclusión, SS y Migraciones</w:t>
            </w:r>
          </w:p>
        </w:tc>
        <w:tc>
          <w:tcPr>
            <w:tcW w:type="dxa" w:w="3120"/>
            <w:tcBorders>
              <w:top w:val="single" w:color="C8922A" w:sz="10"/>
              <w:left w:val="nil"/>
              <w:bottom w:val="nil"/>
              <w:right w:val="single" w:color="D5D9E0" w:sz="4"/>
            </w:tcBorders>
            <w:shd w:fill="F0F2F5" w:color="auto" w:val="clear"/>
            <w:tcMar>
              <w:top w:type="dxa" w:w="80"/>
              <w:left w:type="dxa" w:w="120"/>
              <w:bottom w:type="dxa" w:w="80"/>
              <w:right w:type="dxa" w:w="120"/>
            </w:tcMar>
          </w:tcPr>
          <w:p>
            <w:pPr>
              <w:spacing w:after="40" w:before="120"/>
              <w:jc w:val="center"/>
            </w:pPr>
            <w:r>
              <w:rPr>
                <w:rFonts w:ascii="Cambria" w:cs="Cambria" w:eastAsia="Cambria" w:hAnsi="Cambria"/>
                <w:b/>
                <w:bCs/>
                <w:color w:val="1A5A96"/>
                <w:sz w:val="56"/>
                <w:szCs w:val="56"/>
              </w:rPr>
              <w:t xml:space="preserve">35.000+</w:t>
            </w:r>
          </w:p>
          <w:p>
            <w:pPr>
              <w:spacing w:after="0" w:before="0"/>
              <w:jc w:val="center"/>
            </w:pPr>
            <w:r>
              <w:rPr>
                <w:rFonts w:ascii="Calibri" w:cs="Calibri" w:eastAsia="Calibri" w:hAnsi="Calibri"/>
                <w:b/>
                <w:bCs/>
                <w:color w:val="1C2535"/>
                <w:sz w:val="21"/>
                <w:szCs w:val="21"/>
              </w:rPr>
              <w:t xml:space="preserve">empresas instaladoras</w:t>
            </w:r>
          </w:p>
          <w:p>
            <w:pPr>
              <w:spacing w:after="100" w:before="0"/>
              <w:jc w:val="center"/>
            </w:pPr>
            <w:r>
              <w:rPr>
                <w:rFonts w:ascii="Calibri" w:cs="Calibri" w:eastAsia="Calibri" w:hAnsi="Calibri"/>
                <w:i/>
                <w:iCs/>
                <w:color w:val="6B7686"/>
                <w:sz w:val="18"/>
                <w:szCs w:val="18"/>
              </w:rPr>
              <w:t xml:space="preserve">CONAIF + FENIE</w:t>
            </w:r>
          </w:p>
        </w:tc>
        <w:tc>
          <w:tcPr>
            <w:tcW w:type="dxa" w:w="3120"/>
            <w:tcBorders>
              <w:top w:val="single" w:color="C8922A" w:sz="10"/>
              <w:left w:val="nil"/>
              <w:bottom w:val="nil"/>
              <w:right w:val="single" w:color="D5D9E0" w:sz="4"/>
            </w:tcBorders>
            <w:shd w:fill="F0F2F5" w:color="auto" w:val="clear"/>
            <w:tcMar>
              <w:top w:type="dxa" w:w="80"/>
              <w:left w:type="dxa" w:w="120"/>
              <w:bottom w:type="dxa" w:w="80"/>
              <w:right w:type="dxa" w:w="120"/>
            </w:tcMar>
          </w:tcPr>
          <w:p>
            <w:pPr>
              <w:spacing w:after="40" w:before="120"/>
              <w:jc w:val="center"/>
            </w:pPr>
            <w:r>
              <w:rPr>
                <w:rFonts w:ascii="Cambria" w:cs="Cambria" w:eastAsia="Cambria" w:hAnsi="Cambria"/>
                <w:b/>
                <w:bCs/>
                <w:color w:val="1A5A96"/>
                <w:sz w:val="56"/>
                <w:szCs w:val="56"/>
              </w:rPr>
              <w:t xml:space="preserve">€11.500M+</w:t>
            </w:r>
          </w:p>
          <w:p>
            <w:pPr>
              <w:spacing w:after="0" w:before="0"/>
              <w:jc w:val="center"/>
            </w:pPr>
            <w:r>
              <w:rPr>
                <w:rFonts w:ascii="Calibri" w:cs="Calibri" w:eastAsia="Calibri" w:hAnsi="Calibri"/>
                <w:b/>
                <w:bCs/>
                <w:color w:val="1C2535"/>
                <w:sz w:val="21"/>
                <w:szCs w:val="21"/>
              </w:rPr>
              <w:t xml:space="preserve">facturación anual del gremio</w:t>
            </w:r>
          </w:p>
          <w:p>
            <w:pPr>
              <w:spacing w:after="100" w:before="0"/>
              <w:jc w:val="center"/>
            </w:pPr>
            <w:r>
              <w:rPr>
                <w:rFonts w:ascii="Calibri" w:cs="Calibri" w:eastAsia="Calibri" w:hAnsi="Calibri"/>
                <w:i/>
                <w:iCs/>
                <w:color w:val="6B7686"/>
                <w:sz w:val="18"/>
                <w:szCs w:val="18"/>
              </w:rPr>
              <w:t xml:space="preserve">Instalaciones en edificación y mantenimiento</w:t>
            </w:r>
          </w:p>
        </w:tc>
      </w:tr>
    </w:tbl>
    <w:p>
      <w:pPr>
        <w:spacing w:after="80" w:before="80" w:line="276"/>
      </w:pPr>
      <w:r>
        <w:rPr>
          <w:rFonts w:ascii="Calibri" w:cs="Calibri" w:eastAsia="Calibri" w:hAnsi="Calibri"/>
          <w:i/>
          <w:iCs/>
          <w:color w:val="6B7686"/>
          <w:sz w:val="19"/>
          <w:szCs w:val="19"/>
        </w:rPr>
        <w:t xml:space="preserve">Cifras de mercado. No son datos propios de TrabFlow ni de OBRAMAT.</w:t>
      </w:r>
    </w:p>
    <w:p>
      <w:pPr>
        <w:spacing w:after="0" w:before="12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Una parte significativa de esa facturación se traduce en compra de material: tubería, válvulas, griferías, termos, calderas, cuadros eléctricos, climatizadores. Hoy ese gasto no pasa por ningún canal digital propio del distribuidor: ocurre disperso, sin trazabilidad, sin posibilidad de influir en la decisión antes de que se tome.</w:t>
      </w:r>
    </w:p>
    <w:p>
      <w:pPr>
        <w:spacing w:after="0" w:before="8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Por qué la ventana de oportunidad es ahora — y es estrecha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tblGrid>
      <w:tr>
        <w:trPr>
          <w:tblHeader/>
        </w:trPr>
        <w:tc>
          <w:tcPr>
            <w:tcW w:type="dxa" w:w="22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Catalizador</w:t>
            </w:r>
          </w:p>
        </w:tc>
        <w:tc>
          <w:tcPr>
            <w:tcW w:type="dxa" w:w="358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Efecto sobre el gremio</w:t>
            </w:r>
          </w:p>
        </w:tc>
        <w:tc>
          <w:tcPr>
            <w:tcW w:type="dxa" w:w="358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Implicación para OBRAMAT</w:t>
            </w:r>
          </w:p>
        </w:tc>
      </w:tr>
      <w:tr>
        <w:tc>
          <w:tcPr>
            <w:tcW w:type="dxa" w:w="2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VeriFactu (obligatorio desde 2027)</w:t>
            </w:r>
          </w:p>
        </w:tc>
        <w:tc>
          <w:tcPr>
            <w:tcW w:type="dxa" w:w="358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Todo el gremio migra a software de gestión en los próximos 12–18 meses</w:t>
            </w:r>
          </w:p>
        </w:tc>
        <w:tc>
          <w:tcPr>
            <w:tcW w:type="dxa" w:w="358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El distribuidor que esté integrado en la herramienta elegida captura un posicionamiento difícil de desplazar</w:t>
            </w:r>
          </w:p>
        </w:tc>
      </w:tr>
      <w:tr>
        <w:tc>
          <w:tcPr>
            <w:tcW w:type="dxa" w:w="2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Kit Digital reactivado (BOE ene. 2026)</w:t>
            </w:r>
          </w:p>
        </w:tc>
        <w:tc>
          <w:tcPr>
            <w:tcW w:type="dxa" w:w="358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Subvenciones de hasta 12.000–19.000€ aceleran la adopción de software entre pymes y autónomos</w:t>
            </w:r>
          </w:p>
        </w:tc>
        <w:tc>
          <w:tcPr>
            <w:tcW w:type="dxa" w:w="358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La adopción de herramientas como TrabFlow se está adelantando respecto a la previsión inicial</w:t>
            </w:r>
          </w:p>
        </w:tc>
      </w:tr>
      <w:tr>
        <w:tc>
          <w:tcPr>
            <w:tcW w:type="dxa" w:w="2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IA asequible (~5€/mes por instalador)</w:t>
            </w:r>
          </w:p>
        </w:tc>
        <w:tc>
          <w:tcPr>
            <w:tcW w:type="dxa" w:w="358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El instalador puede recibir recomendación de producto dentro de su flujo de trabajo sin coste adicional</w:t>
            </w:r>
          </w:p>
        </w:tc>
        <w:tc>
          <w:tcPr>
            <w:tcW w:type="dxa" w:w="358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El coste de integrar el catálogo en la recomendación IA es marginal para el distribuidor</w:t>
            </w:r>
          </w:p>
        </w:tc>
      </w:tr>
      <w:tr>
        <w:tc>
          <w:tcPr>
            <w:tcW w:type="dxa" w:w="2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WhatsApp como canal de trabajo del gremio</w:t>
            </w:r>
          </w:p>
        </w:tc>
        <w:tc>
          <w:tcPr>
            <w:tcW w:type="dxa" w:w="358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El instalador ya usa WhatsApp para coordinar trabajos y comunicar presupuestos</w:t>
            </w:r>
          </w:p>
        </w:tc>
        <w:tc>
          <w:tcPr>
            <w:tcW w:type="dxa" w:w="358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TrabFlow se integra en ese canal sin crear nuevos hábitos: el instalador no tiene que cambiar su forma de trabajar</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3</w:t>
      </w:r>
    </w:p>
    <w:p>
      <w:pPr>
        <w:pStyle w:val="Heading1"/>
        <w:pBdr>
          <w:bottom w:val="single" w:color="C8922A" w:sz="12" w:space="6"/>
        </w:pBdr>
        <w:spacing w:after="200" w:before="0"/>
      </w:pPr>
      <w:r>
        <w:rPr>
          <w:rFonts w:ascii="Cambria" w:cs="Cambria" w:eastAsia="Cambria" w:hAnsi="Cambria"/>
          <w:b/>
          <w:bCs/>
          <w:color w:val="1C2535"/>
          <w:sz w:val="44"/>
          <w:szCs w:val="44"/>
        </w:rPr>
        <w:t xml:space="preserve">Qué hace TrabFlow — sin tecnicismos</w:t>
      </w:r>
    </w:p>
    <w:p>
      <w:pPr>
        <w:spacing w:after="80" w:before="80" w:line="276"/>
      </w:pPr>
      <w:r>
        <w:rPr>
          <w:rFonts w:ascii="Calibri" w:cs="Calibri" w:eastAsia="Calibri" w:hAnsi="Calibri"/>
          <w:color w:val="1C2535"/>
          <w:sz w:val="22"/>
          <w:szCs w:val="22"/>
        </w:rPr>
        <w:t xml:space="preserve">El instalador describe el trabajo con sus propias palabras. TrabFlow genera el presupuesto completo.</w:t>
      </w:r>
    </w:p>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80"/>
        </w:tblCellMar>
      </w:tblPr>
      <w:tblGrid>
        <w:gridCol w:w="100"/>
      </w:tblGrid>
      <w:tr>
        <w:tc>
          <w:tcPr>
            <w:tcBorders>
              <w:top w:val="single" w:color="1A5A96" w:sz="8"/>
              <w:left w:val="nil"/>
              <w:bottom w:val="single" w:color="1A5A96" w:sz="8"/>
              <w:right w:val="nil"/>
            </w:tcBorders>
            <w:shd w:fill="EEF4FB" w:color="auto" w:val="clear"/>
            <w:tcMar>
              <w:top w:type="dxa" w:w="120"/>
              <w:left w:type="dxa" w:w="240"/>
              <w:bottom w:type="dxa" w:w="120"/>
              <w:right w:type="dxa" w:w="240"/>
            </w:tcMar>
          </w:tcPr>
          <w:p>
            <w:pPr>
              <w:spacing w:after="20" w:before="80"/>
            </w:pPr>
            <w:r>
              <w:rPr>
                <w:rFonts w:ascii="Calibri" w:cs="Calibri" w:eastAsia="Calibri" w:hAnsi="Calibri"/>
                <w:i/>
                <w:iCs/>
                <w:color w:val="6B7686"/>
                <w:sz w:val="19"/>
                <w:szCs w:val="19"/>
              </w:rPr>
              <w:t xml:space="preserve">El instalador dice:</w:t>
            </w:r>
          </w:p>
          <w:p>
            <w:pPr>
              <w:spacing w:after="80" w:before="0"/>
            </w:pPr>
            <w:r>
              <w:rPr>
                <w:rFonts w:ascii="Cambria" w:cs="Cambria" w:eastAsia="Cambria" w:hAnsi="Cambria"/>
                <w:b/>
                <w:bCs/>
                <w:color w:val="1C2535"/>
                <w:sz w:val="28"/>
                <w:szCs w:val="28"/>
              </w:rPr>
              <w:t xml:space="preserve">"Necesito cambiar un termo de 80 litros y retirar el antiguo."</w:t>
            </w:r>
          </w:p>
        </w:tc>
      </w:tr>
    </w:tbl>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TrabFlow genera automáticamente:</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Desmontaje y retirada del equipo antiguo — 1 ud.</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Termo eléctrico 80 l. — 1 ud. · Referencia OBRAMAT: precio real del catálogo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Válvula de seguridad — 1 ud. · Referencia OBRAMAT</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Material de conexión — 1 conjunto</w:t>
      </w:r>
    </w:p>
    <w:p>
      <w:pPr>
        <w:spacing w:after="40" w:before="40" w:line="268"/>
        <w:ind w:left="360"/>
      </w:pPr>
      <w:r>
        <w:rPr>
          <w:rFonts w:ascii="Calibri" w:cs="Calibri" w:eastAsia="Calibri" w:hAnsi="Calibri"/>
          <w:color w:val="C8922A"/>
          <w:sz w:val="20"/>
          <w:szCs w:val="20"/>
        </w:rPr>
        <w:t xml:space="preserve">▸  </w:t>
      </w:r>
      <w:r>
        <w:rPr>
          <w:rFonts w:ascii="Calibri" w:cs="Calibri" w:eastAsia="Calibri" w:hAnsi="Calibri"/>
          <w:color w:val="1C2535"/>
          <w:sz w:val="22"/>
          <w:szCs w:val="22"/>
        </w:rPr>
        <w:t xml:space="preserve">Mano de obra de instalación — 1 ud.</w:t>
      </w:r>
    </w:p>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El presupuesto está listo en menos de 3 minutos. El instalador lo envía al cliente como PDF. El cliente lo acepta digitalmente. El pedido de material queda referenciado directamente a las referencias de OBRAMAT.</w:t>
      </w:r>
    </w:p>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El motor ya está construido y en pruebas con datos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c>
          <w:tcPr>
            <w:tcW w:type="dxa" w:w="3120"/>
            <w:tcBorders>
              <w:top w:val="single" w:color="C8922A" w:sz="10"/>
              <w:left w:val="nil"/>
              <w:bottom w:val="nil"/>
              <w:right w:val="single" w:color="D5D9E0" w:sz="4"/>
            </w:tcBorders>
            <w:shd w:fill="F0F2F5" w:color="auto" w:val="clear"/>
            <w:tcMar>
              <w:top w:type="dxa" w:w="80"/>
              <w:left w:type="dxa" w:w="120"/>
              <w:bottom w:type="dxa" w:w="80"/>
              <w:right w:type="dxa" w:w="120"/>
            </w:tcMar>
          </w:tcPr>
          <w:p>
            <w:pPr>
              <w:spacing w:after="40" w:before="120"/>
              <w:jc w:val="center"/>
            </w:pPr>
            <w:r>
              <w:rPr>
                <w:rFonts w:ascii="Cambria" w:cs="Cambria" w:eastAsia="Cambria" w:hAnsi="Cambria"/>
                <w:b/>
                <w:bCs/>
                <w:color w:val="1A5A96"/>
                <w:sz w:val="56"/>
                <w:szCs w:val="56"/>
              </w:rPr>
              <w:t xml:space="preserve">93%</w:t>
            </w:r>
          </w:p>
          <w:p>
            <w:pPr>
              <w:spacing w:after="0" w:before="0"/>
              <w:jc w:val="center"/>
            </w:pPr>
            <w:r>
              <w:rPr>
                <w:rFonts w:ascii="Calibri" w:cs="Calibri" w:eastAsia="Calibri" w:hAnsi="Calibri"/>
                <w:b/>
                <w:bCs/>
                <w:color w:val="1C2535"/>
                <w:sz w:val="21"/>
                <w:szCs w:val="21"/>
              </w:rPr>
              <w:t xml:space="preserve">presupuestos correctos</w:t>
            </w:r>
          </w:p>
          <w:p>
            <w:pPr>
              <w:spacing w:after="100" w:before="0"/>
              <w:jc w:val="center"/>
            </w:pPr>
            <w:r>
              <w:rPr>
                <w:rFonts w:ascii="Calibri" w:cs="Calibri" w:eastAsia="Calibri" w:hAnsi="Calibri"/>
                <w:i/>
                <w:iCs/>
                <w:color w:val="6B7686"/>
                <w:sz w:val="18"/>
                <w:szCs w:val="18"/>
              </w:rPr>
              <w:t xml:space="preserve">Sobre 400 pruebas automatizadas</w:t>
            </w:r>
          </w:p>
        </w:tc>
        <w:tc>
          <w:tcPr>
            <w:tcW w:type="dxa" w:w="3120"/>
            <w:tcBorders>
              <w:top w:val="single" w:color="C8922A" w:sz="10"/>
              <w:left w:val="nil"/>
              <w:bottom w:val="nil"/>
              <w:right w:val="single" w:color="D5D9E0" w:sz="4"/>
            </w:tcBorders>
            <w:shd w:fill="F0F2F5" w:color="auto" w:val="clear"/>
            <w:tcMar>
              <w:top w:type="dxa" w:w="80"/>
              <w:left w:type="dxa" w:w="120"/>
              <w:bottom w:type="dxa" w:w="80"/>
              <w:right w:type="dxa" w:w="120"/>
            </w:tcMar>
          </w:tcPr>
          <w:p>
            <w:pPr>
              <w:spacing w:after="40" w:before="120"/>
              <w:jc w:val="center"/>
            </w:pPr>
            <w:r>
              <w:rPr>
                <w:rFonts w:ascii="Cambria" w:cs="Cambria" w:eastAsia="Cambria" w:hAnsi="Cambria"/>
                <w:b/>
                <w:bCs/>
                <w:color w:val="1A5A96"/>
                <w:sz w:val="56"/>
                <w:szCs w:val="56"/>
              </w:rPr>
              <w:t xml:space="preserve">0</w:t>
            </w:r>
          </w:p>
          <w:p>
            <w:pPr>
              <w:spacing w:after="0" w:before="0"/>
              <w:jc w:val="center"/>
            </w:pPr>
            <w:r>
              <w:rPr>
                <w:rFonts w:ascii="Calibri" w:cs="Calibri" w:eastAsia="Calibri" w:hAnsi="Calibri"/>
                <w:b/>
                <w:bCs/>
                <w:color w:val="1C2535"/>
                <w:sz w:val="21"/>
                <w:szCs w:val="21"/>
              </w:rPr>
              <w:t xml:space="preserve">respuestas vacías</w:t>
            </w:r>
          </w:p>
          <w:p>
            <w:pPr>
              <w:spacing w:after="100" w:before="0"/>
              <w:jc w:val="center"/>
            </w:pPr>
            <w:r>
              <w:rPr>
                <w:rFonts w:ascii="Calibri" w:cs="Calibri" w:eastAsia="Calibri" w:hAnsi="Calibri"/>
                <w:i/>
                <w:iCs/>
                <w:color w:val="6B7686"/>
                <w:sz w:val="18"/>
                <w:szCs w:val="18"/>
              </w:rPr>
              <w:t xml:space="preserve">Versión estable actual</w:t>
            </w:r>
          </w:p>
        </w:tc>
        <w:tc>
          <w:tcPr>
            <w:tcW w:type="dxa" w:w="3120"/>
            <w:tcBorders>
              <w:top w:val="single" w:color="C8922A" w:sz="10"/>
              <w:left w:val="nil"/>
              <w:bottom w:val="nil"/>
              <w:right w:val="single" w:color="D5D9E0" w:sz="4"/>
            </w:tcBorders>
            <w:shd w:fill="F0F2F5" w:color="auto" w:val="clear"/>
            <w:tcMar>
              <w:top w:type="dxa" w:w="80"/>
              <w:left w:type="dxa" w:w="120"/>
              <w:bottom w:type="dxa" w:w="80"/>
              <w:right w:type="dxa" w:w="120"/>
            </w:tcMar>
          </w:tcPr>
          <w:p>
            <w:pPr>
              <w:spacing w:after="40" w:before="120"/>
              <w:jc w:val="center"/>
            </w:pPr>
            <w:r>
              <w:rPr>
                <w:rFonts w:ascii="Cambria" w:cs="Cambria" w:eastAsia="Cambria" w:hAnsi="Cambria"/>
                <w:b/>
                <w:bCs/>
                <w:color w:val="1A5A96"/>
                <w:sz w:val="56"/>
                <w:szCs w:val="56"/>
              </w:rPr>
              <w:t xml:space="preserve">18 s</w:t>
            </w:r>
          </w:p>
          <w:p>
            <w:pPr>
              <w:spacing w:after="0" w:before="0"/>
              <w:jc w:val="center"/>
            </w:pPr>
            <w:r>
              <w:rPr>
                <w:rFonts w:ascii="Calibri" w:cs="Calibri" w:eastAsia="Calibri" w:hAnsi="Calibri"/>
                <w:b/>
                <w:bCs/>
                <w:color w:val="1C2535"/>
                <w:sz w:val="21"/>
                <w:szCs w:val="21"/>
              </w:rPr>
              <w:t xml:space="preserve">latencia media</w:t>
            </w:r>
          </w:p>
          <w:p>
            <w:pPr>
              <w:spacing w:after="100" w:before="0"/>
              <w:jc w:val="center"/>
            </w:pPr>
            <w:r>
              <w:rPr>
                <w:rFonts w:ascii="Calibri" w:cs="Calibri" w:eastAsia="Calibri" w:hAnsi="Calibri"/>
                <w:i/>
                <w:iCs/>
                <w:color w:val="6B7686"/>
                <w:sz w:val="18"/>
                <w:szCs w:val="18"/>
              </w:rPr>
              <w:t xml:space="preserve">De voz a presupuesto generado</w:t>
            </w:r>
          </w:p>
        </w:tc>
      </w:tr>
    </w:tbl>
    <w:p>
      <w:pPr>
        <w:spacing w:after="80" w:before="80" w:line="276"/>
      </w:pPr>
      <w:r>
        <w:rPr>
          <w:rFonts w:ascii="Calibri" w:cs="Calibri" w:eastAsia="Calibri" w:hAnsi="Calibri"/>
          <w:color w:val="1C2535"/>
          <w:sz w:val="22"/>
          <w:szCs w:val="22"/>
        </w:rPr>
        <w:t xml:space="preserve">Esto no es un prototipo ni una demostración. Es un motor en pruebas funcionales con datos reales de instalador. El benchmark de 400 consultas en 20 oficios es reproducible y verificable por el equipo técnico de OBRAMAT en cualquier momento.</w:t>
      </w:r>
    </w:p>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20"/>
              <w:bottom w:val="nil"/>
              <w:right w:val="nil"/>
            </w:tcBorders>
            <w:shd w:fill="F0F2F5" w:color="auto" w:val="clear"/>
            <w:tcMar>
              <w:top w:type="dxa" w:w="120"/>
              <w:left w:type="dxa" w:w="200"/>
              <w:bottom w:type="dxa" w:w="120"/>
              <w:right w:type="dxa" w:w="200"/>
            </w:tcMar>
          </w:tcPr>
          <w:p>
            <w:pPr>
              <w:spacing w:after="80" w:before="80" w:line="268"/>
            </w:pPr>
            <w:r>
              <w:rPr>
                <w:rFonts w:ascii="Calibri" w:cs="Calibri" w:eastAsia="Calibri" w:hAnsi="Calibri"/>
                <w:i/>
                <w:iCs/>
                <w:color w:val="1C2535"/>
                <w:sz w:val="22"/>
                <w:szCs w:val="22"/>
              </w:rPr>
              <w:t xml:space="preserve">Existe ya un catálogo piloto de 69 referencias con el perfil de producto de OBRAMAT (fontanería, climatización, material complementario) para validar que el motor de matching vincula correctamente las partidas a un catálogo con el perfil de un distribuidor generalista. El siguiente paso es sustituirlo por el catálogo real de OBRAMAT.</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4</w:t>
      </w:r>
    </w:p>
    <w:p>
      <w:pPr>
        <w:pStyle w:val="Heading1"/>
        <w:pBdr>
          <w:bottom w:val="single" w:color="C8922A" w:sz="12" w:space="6"/>
        </w:pBdr>
        <w:spacing w:after="200" w:before="0"/>
      </w:pPr>
      <w:r>
        <w:rPr>
          <w:rFonts w:ascii="Cambria" w:cs="Cambria" w:eastAsia="Cambria" w:hAnsi="Cambria"/>
          <w:b/>
          <w:bCs/>
          <w:color w:val="1C2535"/>
          <w:sz w:val="44"/>
          <w:szCs w:val="44"/>
        </w:rPr>
        <w:t xml:space="preserve">Qué gana OBRAMAT — concreto, sin adjetivos</w:t>
      </w:r>
    </w:p>
    <w:p>
      <w:pPr>
        <w:spacing w:after="0" w:before="6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Incremento de ventas en el canal profesional instalador</w:t>
            </w:r>
          </w:p>
          <w:p>
            <w:pPr>
              <w:spacing w:after="80" w:before="0" w:line="264"/>
            </w:pPr>
            <w:r>
              <w:rPr>
                <w:rFonts w:ascii="Calibri" w:cs="Calibri" w:eastAsia="Calibri" w:hAnsi="Calibri"/>
                <w:color w:val="1C2535"/>
                <w:sz w:val="21"/>
                <w:szCs w:val="21"/>
              </w:rPr>
              <w:t xml:space="preserve">Cada vez que un instalador genera un presupuesto de Fontanería en TrabFlow, el sistema propone automáticamente las referencias de OBRAMAT con precio real. OBRAMAT aparece en primer lugar cuando existe producto técnicamente compatible. La venta no la tiene que buscar el instalador: le llega dentro de su flujo de trabajo habitual.</w:t>
            </w:r>
          </w:p>
        </w:tc>
      </w:tr>
    </w:tbl>
    <w:p>
      <w:pPr>
        <w:spacing w:after="0" w:before="24"/>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Fidelización en el origen de la decisión — no después</w:t>
            </w:r>
          </w:p>
          <w:p>
            <w:pPr>
              <w:spacing w:after="80" w:before="0" w:line="264"/>
            </w:pPr>
            <w:r>
              <w:rPr>
                <w:rFonts w:ascii="Calibri" w:cs="Calibri" w:eastAsia="Calibri" w:hAnsi="Calibri"/>
                <w:color w:val="1C2535"/>
                <w:sz w:val="21"/>
                <w:szCs w:val="21"/>
              </w:rPr>
              <w:t xml:space="preserve">La fidelización de un instalador no ocurre en el punto de venta: ocurre en el momento en que hace el presupuesto y elige qué material incluir. TrabFlow pone el catálogo de OBRAMAT en ese momento. Un instalador que presupuesta con referencias de OBRAMAT tiene un coste de cambio muy alto: cambiar de proveedor implica modificar todos sus presupuestos recurrentes.</w:t>
            </w:r>
          </w:p>
        </w:tc>
      </w:tr>
    </w:tbl>
    <w:p>
      <w:pPr>
        <w:spacing w:after="0" w:before="24"/>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Datos de demanda real: qué se presupuesta, dónde y cuándo</w:t>
            </w:r>
          </w:p>
          <w:p>
            <w:pPr>
              <w:spacing w:after="80" w:before="0" w:line="264"/>
            </w:pPr>
            <w:r>
              <w:rPr>
                <w:rFonts w:ascii="Calibri" w:cs="Calibri" w:eastAsia="Calibri" w:hAnsi="Calibri"/>
                <w:color w:val="1C2535"/>
                <w:sz w:val="21"/>
                <w:szCs w:val="21"/>
              </w:rPr>
              <w:t xml:space="preserve">OBRAMAT recibiría datos agregados y anonimizados de la demanda real del gremio: qué familias de producto se presupuestan más, en qué provincias, en qué épocas del año y con qué volumen. Son datos que hoy no existen en ningún sistema: el instalador no los registra en ningún sitio. Esos datos permiten optimizar el catálogo, la política de stock y las campañas comerciales.</w:t>
            </w:r>
          </w:p>
        </w:tc>
      </w:tr>
    </w:tbl>
    <w:p>
      <w:pPr>
        <w:spacing w:after="0" w:before="24"/>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Sin desarrollo propio, sin inversión tecnológica</w:t>
            </w:r>
          </w:p>
          <w:p>
            <w:pPr>
              <w:spacing w:after="80" w:before="0" w:line="264"/>
            </w:pPr>
            <w:r>
              <w:rPr>
                <w:rFonts w:ascii="Calibri" w:cs="Calibri" w:eastAsia="Calibri" w:hAnsi="Calibri"/>
                <w:color w:val="1C2535"/>
                <w:sz w:val="21"/>
                <w:szCs w:val="21"/>
              </w:rPr>
              <w:t xml:space="preserve">OBRAMAT no tiene que construir una app, no tiene que desarrollar ninguna integración en esta fase y no tiene que invertir en tecnología. TrabFlow adapta la integración. Para el arranque del piloto, basta con un Excel con el catálogo de la familia Fontanería.</w:t>
            </w:r>
          </w:p>
        </w:tc>
      </w:tr>
    </w:tbl>
    <w:p>
      <w:pPr>
        <w:spacing w:after="0" w:before="24"/>
      </w:pPr>
      <w:r>
        <w:rPr>
          <w:rFonts w:ascii="Calibri" w:cs="Calibri" w:eastAsia="Calibri" w:hAnsi="Calibri"/>
          <w:color w:val="1C2535"/>
          <w:sz w:val="22"/>
          <w:szCs w:val="22"/>
        </w:rPr>
        <w:t xml:space="preserve"/>
      </w:r>
    </w:p>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El motor de priorización: cómo OBRAMAT siempre aparece primero</w:t>
      </w:r>
    </w:p>
    <w:p>
      <w:pPr>
        <w:spacing w:after="80" w:before="80" w:line="276"/>
      </w:pPr>
      <w:r>
        <w:rPr>
          <w:rFonts w:ascii="Calibri" w:cs="Calibri" w:eastAsia="Calibri" w:hAnsi="Calibri"/>
          <w:color w:val="1C2535"/>
          <w:sz w:val="22"/>
          <w:szCs w:val="22"/>
        </w:rPr>
        <w:t xml:space="preserve">Cuando el sistema dispone de referencias de varios proveedores para la misma partida, el Motor Inteligente de Selección de Productos genera un ranking. Con un acuerdo de integración activo, OBRAMAT ocupa sistemáticamente la primera posición cuando existe producto técnicamente compatible:</w:t>
      </w:r>
    </w:p>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gridCol w:w="100"/>
      </w:tblGrid>
      <w:tr>
        <w:trPr>
          <w:tblHeader/>
        </w:trPr>
        <w:tc>
          <w:tcPr>
            <w:tcW w:type="dxa" w:w="18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Posición</w:t>
            </w:r>
          </w:p>
        </w:tc>
        <w:tc>
          <w:tcPr>
            <w:tcW w:type="dxa" w:w="28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Proveedor</w:t>
            </w:r>
          </w:p>
        </w:tc>
        <w:tc>
          <w:tcPr>
            <w:tcW w:type="dxa" w:w="16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Puntuación</w:t>
            </w:r>
          </w:p>
        </w:tc>
        <w:tc>
          <w:tcPr>
            <w:tcW w:type="dxa" w:w="31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Por qué</w:t>
            </w:r>
          </w:p>
        </w:tc>
      </w:tr>
      <w:tr>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① Primer resultado</w:t>
            </w:r>
          </w:p>
        </w:tc>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OBRAMAT (proveedor preferente)</w:t>
            </w:r>
          </w:p>
        </w:tc>
        <w:tc>
          <w:tcPr>
            <w:tcW w:type="dxa" w:w="1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96 / 100</w:t>
            </w:r>
          </w:p>
        </w:tc>
        <w:tc>
          <w:tcPr>
            <w:tcW w:type="dxa" w:w="3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Acuerdo activo + stock en almacén cercano</w:t>
            </w:r>
          </w:p>
        </w:tc>
      </w:tr>
      <w:tr>
        <w:tc>
          <w:tcPr>
            <w:tcW w:type="dxa" w:w="1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② Segundo resultado</w:t>
            </w:r>
          </w:p>
        </w:tc>
        <w:tc>
          <w:tcPr>
            <w:tcW w:type="dxa" w:w="2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Proveedor regional alternativo</w:t>
            </w:r>
          </w:p>
        </w:tc>
        <w:tc>
          <w:tcPr>
            <w:tcW w:type="dxa" w:w="1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83 / 100</w:t>
            </w:r>
          </w:p>
        </w:tc>
        <w:tc>
          <w:tcPr>
            <w:tcW w:type="dxa" w:w="31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Sin acuerdo · precio competitivo</w:t>
            </w:r>
          </w:p>
        </w:tc>
      </w:tr>
      <w:tr>
        <w:tc>
          <w:tcPr>
            <w:tcW w:type="dxa" w:w="1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③ Tercer resultado</w:t>
            </w:r>
          </w:p>
        </w:tc>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Fabricante directo</w:t>
            </w:r>
          </w:p>
        </w:tc>
        <w:tc>
          <w:tcPr>
            <w:tcW w:type="dxa" w:w="1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71 / 100</w:t>
            </w:r>
          </w:p>
        </w:tc>
        <w:tc>
          <w:tcPr>
            <w:tcW w:type="dxa" w:w="31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Sin acuerdo · sin stock local</w:t>
            </w:r>
          </w:p>
        </w:tc>
      </w:tr>
    </w:tbl>
    <w:p>
      <w:pPr>
        <w:spacing w:after="0" w:before="6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20"/>
              <w:bottom w:val="nil"/>
              <w:right w:val="nil"/>
            </w:tcBorders>
            <w:shd w:fill="F0F2F5" w:color="auto" w:val="clear"/>
            <w:tcMar>
              <w:top w:type="dxa" w:w="120"/>
              <w:left w:type="dxa" w:w="200"/>
              <w:bottom w:type="dxa" w:w="120"/>
              <w:right w:type="dxa" w:w="200"/>
            </w:tcMar>
          </w:tcPr>
          <w:p>
            <w:pPr>
              <w:spacing w:after="80" w:before="80" w:line="268"/>
            </w:pPr>
            <w:r>
              <w:rPr>
                <w:rFonts w:ascii="Calibri" w:cs="Calibri" w:eastAsia="Calibri" w:hAnsi="Calibri"/>
                <w:i/>
                <w:iCs/>
                <w:color w:val="1C2535"/>
                <w:sz w:val="22"/>
                <w:szCs w:val="22"/>
              </w:rPr>
              <w:t xml:space="preserve">El criterio de priorización es completamente configurable. El objetivo del acuerdo no es obligar al instalador a comprar a OBRAMAT — es que el producto de OBRAMAT aparezca primero, siempre que exista un producto técnicamente compatible. El instalador decide.</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5</w:t>
      </w:r>
    </w:p>
    <w:p>
      <w:pPr>
        <w:pStyle w:val="Heading1"/>
        <w:pBdr>
          <w:bottom w:val="single" w:color="C8922A" w:sz="12" w:space="6"/>
        </w:pBdr>
        <w:spacing w:after="200" w:before="0"/>
      </w:pPr>
      <w:r>
        <w:rPr>
          <w:rFonts w:ascii="Cambria" w:cs="Cambria" w:eastAsia="Cambria" w:hAnsi="Cambria"/>
          <w:b/>
          <w:bCs/>
          <w:color w:val="1C2535"/>
          <w:sz w:val="44"/>
          <w:szCs w:val="44"/>
        </w:rPr>
        <w:t xml:space="preserve">Cómo encaja el catálogo de OBRAMAT en el flujo</w:t>
      </w:r>
    </w:p>
    <w:p>
      <w:pPr>
        <w:spacing w:after="80" w:before="80" w:line="276"/>
      </w:pPr>
      <w:r>
        <w:rPr>
          <w:rFonts w:ascii="Calibri" w:cs="Calibri" w:eastAsia="Calibri" w:hAnsi="Calibri"/>
          <w:color w:val="1C2535"/>
          <w:sz w:val="22"/>
          <w:szCs w:val="22"/>
        </w:rPr>
        <w:t xml:space="preserve">La integración es sencilla porque se produce en un único punto del pipeline:</w:t>
      </w:r>
    </w:p>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120"/>
        </w:tblCellMar>
      </w:tblPr>
      <w:tblGrid>
        <w:gridCol w:w="100"/>
        <w:gridCol w:w="100"/>
      </w:tblGrid>
      <w:tr>
        <w:tc>
          <w:tcPr>
            <w:tcW w:type="dxa" w:w="5000"/>
            <w:tcBorders>
              <w:top w:val="single" w:color="C8922A" w:sz="8"/>
              <w:left w:val="nil"/>
              <w:bottom w:val="nil"/>
              <w:right w:val="nil"/>
            </w:tcBorders>
            <w:shd w:fill="F0F2F5" w:color="auto" w:val="clear"/>
            <w:tcMar>
              <w:top w:type="dxa" w:w="140"/>
              <w:left w:type="dxa" w:w="240"/>
              <w:bottom w:type="dxa" w:w="140"/>
              <w:right w:type="dxa" w:w="240"/>
            </w:tcMar>
          </w:tcPr>
          <w:p>
            <w:pPr>
              <w:spacing w:after="20" w:before="60"/>
            </w:pPr>
            <w:r>
              <w:rPr>
                <w:rFonts w:ascii="Calibri" w:cs="Calibri" w:eastAsia="Calibri" w:hAnsi="Calibri"/>
                <w:b/>
                <w:bCs/>
                <w:color w:val="1C2535"/>
                <w:sz w:val="21"/>
                <w:szCs w:val="21"/>
              </w:rPr>
              <w:t xml:space="preserve">1  Instalador dicta el trabajo</w:t>
            </w:r>
          </w:p>
          <w:p>
            <w:pPr>
              <w:spacing w:after="20" w:before="0"/>
            </w:pPr>
            <w:r>
              <w:rPr>
                <w:rFonts w:ascii="Calibri" w:cs="Calibri" w:eastAsia="Calibri" w:hAnsi="Calibri"/>
                <w:b/>
                <w:bCs/>
                <w:color w:val="1C2535"/>
                <w:sz w:val="21"/>
                <w:szCs w:val="21"/>
              </w:rPr>
              <w:t xml:space="preserve">2  Motor IA detecta actuación y genera partidas</w:t>
            </w:r>
          </w:p>
          <w:p>
            <w:pPr>
              <w:spacing w:after="20" w:before="0"/>
            </w:pPr>
            <w:r>
              <w:rPr>
                <w:rFonts w:ascii="Calibri" w:cs="Calibri" w:eastAsia="Calibri" w:hAnsi="Calibri"/>
                <w:b/>
                <w:bCs/>
                <w:color w:val="1A5A96"/>
                <w:sz w:val="21"/>
                <w:szCs w:val="21"/>
              </w:rPr>
              <w:t xml:space="preserve">3  Motor de matching localiza referencias</w:t>
            </w:r>
          </w:p>
          <w:p>
            <w:pPr>
              <w:spacing w:after="20" w:before="0"/>
            </w:pPr>
            <w:r>
              <w:rPr>
                <w:rFonts w:ascii="Calibri" w:cs="Calibri" w:eastAsia="Calibri" w:hAnsi="Calibri"/>
                <w:i/>
                <w:iCs/>
                <w:color w:val="6B7686"/>
                <w:sz w:val="19"/>
                <w:szCs w:val="19"/>
              </w:rPr>
              <w:t xml:space="preserve">  ← Aquí entra el catálogo real de OBRAMAT</w:t>
            </w:r>
          </w:p>
          <w:p>
            <w:pPr>
              <w:spacing w:after="20" w:before="0"/>
            </w:pPr>
            <w:r>
              <w:rPr>
                <w:rFonts w:ascii="Calibri" w:cs="Calibri" w:eastAsia="Calibri" w:hAnsi="Calibri"/>
                <w:b/>
                <w:bCs/>
                <w:color w:val="1C2535"/>
                <w:sz w:val="21"/>
                <w:szCs w:val="21"/>
              </w:rPr>
              <w:t xml:space="preserve">4  Se genera presupuesto con precios OBRAMAT</w:t>
            </w:r>
          </w:p>
          <w:p>
            <w:pPr>
              <w:spacing w:after="60" w:before="0"/>
            </w:pPr>
            <w:r>
              <w:rPr>
                <w:rFonts w:ascii="Calibri" w:cs="Calibri" w:eastAsia="Calibri" w:hAnsi="Calibri"/>
                <w:b/>
                <w:bCs/>
                <w:color w:val="1C2535"/>
                <w:sz w:val="21"/>
                <w:szCs w:val="21"/>
              </w:rPr>
              <w:t xml:space="preserve">5  Instalador acepta → propuesta de pedido</w:t>
            </w:r>
          </w:p>
        </w:tc>
        <w:tc>
          <w:tcPr>
            <w:tcW w:type="dxa" w:w="4360"/>
            <w:tcBorders>
              <w:top w:val="single" w:color="C8922A" w:sz="8"/>
              <w:left w:val="nil"/>
              <w:bottom w:val="nil"/>
              <w:right w:val="nil"/>
            </w:tcBorders>
            <w:shd w:fill="26314A" w:color="auto" w:val="clear"/>
            <w:tcMar>
              <w:top w:type="dxa" w:w="140"/>
              <w:left w:type="dxa" w:w="240"/>
              <w:bottom w:type="dxa" w:w="140"/>
              <w:right w:type="dxa" w:w="240"/>
            </w:tcMar>
          </w:tcPr>
          <w:p>
            <w:pPr>
              <w:spacing w:after="60" w:before="60"/>
            </w:pPr>
            <w:r>
              <w:rPr>
                <w:rFonts w:ascii="Calibri" w:cs="Calibri" w:eastAsia="Calibri" w:hAnsi="Calibri"/>
                <w:b/>
                <w:bCs/>
                <w:color w:val="FFFFFF"/>
                <w:sz w:val="20"/>
                <w:szCs w:val="20"/>
              </w:rPr>
              <w:t xml:space="preserve">Qué no cambia</w:t>
            </w:r>
          </w:p>
          <w:p>
            <w:pPr>
              <w:spacing w:after="40" w:before="0"/>
            </w:pPr>
            <w:r>
              <w:rPr>
                <w:rFonts w:ascii="Calibri" w:cs="Calibri" w:eastAsia="Calibri" w:hAnsi="Calibri"/>
                <w:color w:val="FFFFFF"/>
                <w:sz w:val="22"/>
                <w:szCs w:val="22"/>
              </w:rPr>
              <w:t xml:space="preserve">El motor IA no se modifica.</w:t>
            </w:r>
          </w:p>
          <w:p>
            <w:pPr>
              <w:spacing w:after="40" w:before="0"/>
            </w:pPr>
            <w:r>
              <w:rPr>
                <w:rFonts w:ascii="Calibri" w:cs="Calibri" w:eastAsia="Calibri" w:hAnsi="Calibri"/>
                <w:color w:val="FFFFFF"/>
                <w:sz w:val="22"/>
                <w:szCs w:val="22"/>
              </w:rPr>
              <w:t xml:space="preserve">El pipeline de voz → partidas → presupuesto no se toca.</w:t>
            </w:r>
          </w:p>
          <w:p>
            <w:pPr>
              <w:spacing w:after="60" w:before="0"/>
            </w:pPr>
            <w:r>
              <w:rPr>
                <w:rFonts w:ascii="Calibri" w:cs="Calibri" w:eastAsia="Calibri" w:hAnsi="Calibri"/>
                <w:color w:val="FFFFFF"/>
                <w:sz w:val="22"/>
                <w:szCs w:val="22"/>
              </w:rPr>
              <w:t xml:space="preserve">No se requiere ninguna integración de OBRAMAT con los sistemas de TrabFlow más allá de la carga del catálogo.</w:t>
            </w:r>
          </w:p>
          <w:p>
            <w:pPr>
              <w:spacing w:after="60" w:before="0"/>
            </w:pPr>
            <w:r>
              <w:rPr>
                <w:rFonts w:ascii="Calibri" w:cs="Calibri" w:eastAsia="Calibri" w:hAnsi="Calibri"/>
                <w:b/>
                <w:bCs/>
                <w:color w:val="C8922A"/>
                <w:sz w:val="20"/>
                <w:szCs w:val="20"/>
              </w:rPr>
              <w:t xml:space="preserve">Solo cambia la fuente de datos en el paso de matching: las referencias genéricas se sustituyen por las referencias reales de OBRAMAT.</w:t>
            </w:r>
          </w:p>
        </w:tc>
      </w:tr>
    </w:tbl>
    <w:p>
      <w:pPr>
        <w:spacing w:after="0" w:before="12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Formatos de integración disponibles — sin complejidad innecesaria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tblGrid>
      <w:tr>
        <w:trPr>
          <w:tblHeader/>
        </w:trPr>
        <w:tc>
          <w:tcPr>
            <w:tcW w:type="dxa" w:w="28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Formato</w:t>
            </w:r>
          </w:p>
        </w:tc>
        <w:tc>
          <w:tcPr>
            <w:tcW w:type="dxa" w:w="32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Complejidad para OBRAMAT</w:t>
            </w:r>
          </w:p>
        </w:tc>
        <w:tc>
          <w:tcPr>
            <w:tcW w:type="dxa" w:w="33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Para el piloto</w:t>
            </w:r>
          </w:p>
        </w:tc>
      </w:tr>
      <w:tr>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Excel / CSV manual</w:t>
            </w:r>
          </w:p>
        </w:tc>
        <w:tc>
          <w:tcPr>
            <w:tcW w:type="dxa" w:w="3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Mínima — ninguna integración técnica requerida</w:t>
            </w:r>
          </w:p>
        </w:tc>
        <w:tc>
          <w:tcPr>
            <w:tcW w:type="dxa" w:w="33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Suficiente para arrancar el piloto en semana 3</w:t>
            </w:r>
          </w:p>
        </w:tc>
      </w:tr>
      <w:tr>
        <w:tc>
          <w:tcPr>
            <w:tcW w:type="dxa" w:w="28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Feed CSV o XML periódico</w:t>
            </w:r>
          </w:p>
        </w:tc>
        <w:tc>
          <w:tcPr>
            <w:tcW w:type="dxa" w:w="32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Baja — exportación estándar de cualquier ERP</w:t>
            </w:r>
          </w:p>
        </w:tc>
        <w:tc>
          <w:tcPr>
            <w:tcW w:type="dxa" w:w="33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Recomendado para la fase de instaladores beta</w:t>
            </w:r>
          </w:p>
        </w:tc>
      </w:tr>
      <w:tr>
        <w:tc>
          <w:tcPr>
            <w:tcW w:type="dxa" w:w="28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API REST en tiempo real</w:t>
            </w:r>
          </w:p>
        </w:tc>
        <w:tc>
          <w:tcPr>
            <w:tcW w:type="dxa" w:w="32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Media — requiere endpoint de consulta</w:t>
            </w:r>
          </w:p>
        </w:tc>
        <w:tc>
          <w:tcPr>
            <w:tcW w:type="dxa" w:w="33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Opcional: para la fase de producción post-piloto</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6</w:t>
      </w:r>
    </w:p>
    <w:p>
      <w:pPr>
        <w:pStyle w:val="Heading1"/>
        <w:pBdr>
          <w:bottom w:val="single" w:color="C8922A" w:sz="12" w:space="6"/>
        </w:pBdr>
        <w:spacing w:after="200" w:before="0"/>
      </w:pPr>
      <w:r>
        <w:rPr>
          <w:rFonts w:ascii="Cambria" w:cs="Cambria" w:eastAsia="Cambria" w:hAnsi="Cambria"/>
          <w:b/>
          <w:bCs/>
          <w:color w:val="1C2535"/>
          <w:sz w:val="44"/>
          <w:szCs w:val="44"/>
        </w:rPr>
        <w:t xml:space="preserve">Estado actual del proyecto — qué existe y qué falta</w:t>
      </w:r>
    </w:p>
    <w:p>
      <w:pPr>
        <w:spacing w:after="0" w:before="6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bottom w:type="dxa" w:w="120"/>
        </w:tblCellMar>
      </w:tblPr>
      <w:tblGrid>
        <w:gridCol w:w="100"/>
        <w:gridCol w:w="100"/>
      </w:tblGrid>
      <w:tr>
        <w:tc>
          <w:tcPr>
            <w:tcW w:type="dxa" w:w="4680"/>
            <w:tcBorders>
              <w:top w:val="single" w:color="4A6741" w:sz="8"/>
              <w:left w:val="nil"/>
              <w:bottom w:val="nil"/>
              <w:right w:val="nil"/>
            </w:tcBorders>
            <w:shd w:fill="F0F2F5" w:color="auto" w:val="clear"/>
            <w:tcMar>
              <w:top w:type="dxa" w:w="120"/>
              <w:left w:type="dxa" w:w="200"/>
              <w:bottom w:type="dxa" w:w="120"/>
              <w:right w:type="dxa" w:w="200"/>
            </w:tcMar>
          </w:tcPr>
          <w:p>
            <w:pPr>
              <w:spacing w:after="80" w:before="80"/>
            </w:pPr>
            <w:r>
              <w:rPr>
                <w:rFonts w:ascii="Calibri" w:cs="Calibri" w:eastAsia="Calibri" w:hAnsi="Calibri"/>
                <w:b/>
                <w:bCs/>
                <w:color w:val="4A6741"/>
                <w:sz w:val="20"/>
                <w:szCs w:val="20"/>
              </w:rPr>
              <w:t xml:space="preserve">YA EXISTE</w:t>
            </w:r>
          </w:p>
          <w:p>
            <w:pPr>
              <w:spacing w:after="40" w:before="40"/>
              <w:ind w:left="120"/>
            </w:pPr>
            <w:r>
              <w:rPr>
                <w:rFonts w:ascii="Calibri" w:cs="Calibri" w:eastAsia="Calibri" w:hAnsi="Calibri"/>
                <w:b/>
                <w:bCs/>
                <w:color w:val="4A6741"/>
                <w:sz w:val="20"/>
                <w:szCs w:val="20"/>
              </w:rPr>
              <w:t xml:space="preserve">✓  </w:t>
            </w:r>
            <w:r>
              <w:rPr>
                <w:rFonts w:ascii="Calibri" w:cs="Calibri" w:eastAsia="Calibri" w:hAnsi="Calibri"/>
                <w:color w:val="1C2535"/>
                <w:sz w:val="20"/>
                <w:szCs w:val="20"/>
              </w:rPr>
              <w:t xml:space="preserve">Motor IA voz → presupuesto funcional con datos reales de instalador</w:t>
            </w:r>
          </w:p>
          <w:p>
            <w:pPr>
              <w:spacing w:after="40" w:before="40"/>
              <w:ind w:left="120"/>
            </w:pPr>
            <w:r>
              <w:rPr>
                <w:rFonts w:ascii="Calibri" w:cs="Calibri" w:eastAsia="Calibri" w:hAnsi="Calibri"/>
                <w:b/>
                <w:bCs/>
                <w:color w:val="4A6741"/>
                <w:sz w:val="20"/>
                <w:szCs w:val="20"/>
              </w:rPr>
              <w:t xml:space="preserve">✓  </w:t>
            </w:r>
            <w:r>
              <w:rPr>
                <w:rFonts w:ascii="Calibri" w:cs="Calibri" w:eastAsia="Calibri" w:hAnsi="Calibri"/>
                <w:color w:val="1C2535"/>
                <w:sz w:val="20"/>
                <w:szCs w:val="20"/>
              </w:rPr>
              <w:t xml:space="preserve">Clasificador de 20 oficios con Base Maestra de ~2.000 actuaciones normalizadas</w:t>
            </w:r>
          </w:p>
          <w:p>
            <w:pPr>
              <w:spacing w:after="40" w:before="40"/>
              <w:ind w:left="120"/>
            </w:pPr>
            <w:r>
              <w:rPr>
                <w:rFonts w:ascii="Calibri" w:cs="Calibri" w:eastAsia="Calibri" w:hAnsi="Calibri"/>
                <w:b/>
                <w:bCs/>
                <w:color w:val="4A6741"/>
                <w:sz w:val="20"/>
                <w:szCs w:val="20"/>
              </w:rPr>
              <w:t xml:space="preserve">✓  </w:t>
            </w:r>
            <w:r>
              <w:rPr>
                <w:rFonts w:ascii="Calibri" w:cs="Calibri" w:eastAsia="Calibri" w:hAnsi="Calibri"/>
                <w:color w:val="1C2535"/>
                <w:sz w:val="20"/>
                <w:szCs w:val="20"/>
              </w:rPr>
              <w:t xml:space="preserve">Motor Inteligente de Selección de Productos con ranking configurable</w:t>
            </w:r>
          </w:p>
          <w:p>
            <w:pPr>
              <w:spacing w:after="40" w:before="40"/>
              <w:ind w:left="120"/>
            </w:pPr>
            <w:r>
              <w:rPr>
                <w:rFonts w:ascii="Calibri" w:cs="Calibri" w:eastAsia="Calibri" w:hAnsi="Calibri"/>
                <w:b/>
                <w:bCs/>
                <w:color w:val="4A6741"/>
                <w:sz w:val="20"/>
                <w:szCs w:val="20"/>
              </w:rPr>
              <w:t xml:space="preserve">✓  </w:t>
            </w:r>
            <w:r>
              <w:rPr>
                <w:rFonts w:ascii="Calibri" w:cs="Calibri" w:eastAsia="Calibri" w:hAnsi="Calibri"/>
                <w:color w:val="1C2535"/>
                <w:sz w:val="20"/>
                <w:szCs w:val="20"/>
              </w:rPr>
              <w:t xml:space="preserve">Catálogo piloto de 69 referencias con perfil OBRAMAT para validar el matching</w:t>
            </w:r>
          </w:p>
          <w:p>
            <w:pPr>
              <w:spacing w:after="40" w:before="40"/>
              <w:ind w:left="120"/>
            </w:pPr>
            <w:r>
              <w:rPr>
                <w:rFonts w:ascii="Calibri" w:cs="Calibri" w:eastAsia="Calibri" w:hAnsi="Calibri"/>
                <w:b/>
                <w:bCs/>
                <w:color w:val="4A6741"/>
                <w:sz w:val="20"/>
                <w:szCs w:val="20"/>
              </w:rPr>
              <w:t xml:space="preserve">✓  </w:t>
            </w:r>
            <w:r>
              <w:rPr>
                <w:rFonts w:ascii="Calibri" w:cs="Calibri" w:eastAsia="Calibri" w:hAnsi="Calibri"/>
                <w:color w:val="1C2535"/>
                <w:sz w:val="20"/>
                <w:szCs w:val="20"/>
              </w:rPr>
              <w:t xml:space="preserve">Benchmark de 400 pruebas automatizadas: 93% OK · 0 vacíos · 18 s latencia</w:t>
            </w:r>
          </w:p>
          <w:p>
            <w:pPr>
              <w:spacing w:after="40" w:before="40"/>
              <w:ind w:left="120"/>
            </w:pPr>
            <w:r>
              <w:rPr>
                <w:rFonts w:ascii="Calibri" w:cs="Calibri" w:eastAsia="Calibri" w:hAnsi="Calibri"/>
                <w:b/>
                <w:bCs/>
                <w:color w:val="4A6741"/>
                <w:sz w:val="20"/>
                <w:szCs w:val="20"/>
              </w:rPr>
              <w:t xml:space="preserve">✓  </w:t>
            </w:r>
            <w:r>
              <w:rPr>
                <w:rFonts w:ascii="Calibri" w:cs="Calibri" w:eastAsia="Calibri" w:hAnsi="Calibri"/>
                <w:color w:val="1C2535"/>
                <w:sz w:val="20"/>
                <w:szCs w:val="20"/>
              </w:rPr>
              <w:t xml:space="preserve">Sistema de benchmark y regresión automática entre versiones</w:t>
            </w:r>
          </w:p>
          <w:p>
            <w:pPr>
              <w:spacing w:after="40" w:before="40"/>
              <w:ind w:left="120"/>
            </w:pPr>
            <w:r>
              <w:rPr>
                <w:rFonts w:ascii="Calibri" w:cs="Calibri" w:eastAsia="Calibri" w:hAnsi="Calibri"/>
                <w:b/>
                <w:bCs/>
                <w:color w:val="4A6741"/>
                <w:sz w:val="20"/>
                <w:szCs w:val="20"/>
              </w:rPr>
              <w:t xml:space="preserve">✓  </w:t>
            </w:r>
            <w:r>
              <w:rPr>
                <w:rFonts w:ascii="Calibri" w:cs="Calibri" w:eastAsia="Calibri" w:hAnsi="Calibri"/>
                <w:color w:val="1C2535"/>
                <w:sz w:val="20"/>
                <w:szCs w:val="20"/>
              </w:rPr>
              <w:t xml:space="preserve">Sociedad constituida (TrabFlow Technologies, S.L.) · Marca M4383580 solicitada ante OEPM</w:t>
            </w:r>
          </w:p>
        </w:tc>
        <w:tc>
          <w:tcPr>
            <w:tcW w:type="dxa" w:w="4680"/>
            <w:tcBorders>
              <w:top w:val="single" w:color="C8922A" w:sz="8"/>
              <w:left w:val="nil"/>
              <w:bottom w:val="nil"/>
              <w:right w:val="nil"/>
            </w:tcBorders>
            <w:shd w:fill="26314A" w:color="auto" w:val="clear"/>
            <w:tcMar>
              <w:top w:type="dxa" w:w="120"/>
              <w:left w:type="dxa" w:w="200"/>
              <w:bottom w:type="dxa" w:w="120"/>
              <w:right w:type="dxa" w:w="200"/>
            </w:tcMar>
          </w:tcPr>
          <w:p>
            <w:pPr>
              <w:spacing w:after="80" w:before="80"/>
            </w:pPr>
            <w:r>
              <w:rPr>
                <w:rFonts w:ascii="Calibri" w:cs="Calibri" w:eastAsia="Calibri" w:hAnsi="Calibri"/>
                <w:b/>
                <w:bCs/>
                <w:color w:val="C8922A"/>
                <w:sz w:val="22"/>
                <w:szCs w:val="22"/>
              </w:rPr>
              <w:t xml:space="preserve">LO QUE FALTA PARA EL PILOTO</w:t>
            </w:r>
          </w:p>
          <w:p>
            <w:pPr>
              <w:spacing w:after="40" w:before="40"/>
              <w:ind w:left="120"/>
            </w:pPr>
            <w:r>
              <w:rPr>
                <w:rFonts w:ascii="Calibri" w:cs="Calibri" w:eastAsia="Calibri" w:hAnsi="Calibri"/>
                <w:b/>
                <w:bCs/>
                <w:color w:val="C8922A"/>
                <w:sz w:val="20"/>
                <w:szCs w:val="20"/>
              </w:rPr>
              <w:t xml:space="preserve">→  </w:t>
            </w:r>
            <w:r>
              <w:rPr>
                <w:rFonts w:ascii="Calibri" w:cs="Calibri" w:eastAsia="Calibri" w:hAnsi="Calibri"/>
                <w:color w:val="FFFFFF"/>
                <w:sz w:val="20"/>
                <w:szCs w:val="20"/>
              </w:rPr>
              <w:t xml:space="preserve">Catálogo real de OBRAMAT (familia Fontanería) en cualquier formato</w:t>
            </w:r>
          </w:p>
          <w:p>
            <w:pPr>
              <w:spacing w:after="40" w:before="40"/>
              <w:ind w:left="120"/>
            </w:pPr>
            <w:r>
              <w:rPr>
                <w:rFonts w:ascii="Calibri" w:cs="Calibri" w:eastAsia="Calibri" w:hAnsi="Calibri"/>
                <w:b/>
                <w:bCs/>
                <w:color w:val="C8922A"/>
                <w:sz w:val="20"/>
                <w:szCs w:val="20"/>
              </w:rPr>
              <w:t xml:space="preserve">→  </w:t>
            </w:r>
            <w:r>
              <w:rPr>
                <w:rFonts w:ascii="Calibri" w:cs="Calibri" w:eastAsia="Calibri" w:hAnsi="Calibri"/>
                <w:color w:val="FFFFFF"/>
                <w:sz w:val="20"/>
                <w:szCs w:val="20"/>
              </w:rPr>
              <w:t xml:space="preserve">Persona de contacto técnico en OBRAMAT para acordar el formato</w:t>
            </w:r>
          </w:p>
          <w:p>
            <w:pPr>
              <w:spacing w:after="40" w:before="40"/>
              <w:ind w:left="120"/>
            </w:pPr>
            <w:r>
              <w:rPr>
                <w:rFonts w:ascii="Calibri" w:cs="Calibri" w:eastAsia="Calibri" w:hAnsi="Calibri"/>
                <w:b/>
                <w:bCs/>
                <w:color w:val="C8922A"/>
                <w:sz w:val="20"/>
                <w:szCs w:val="20"/>
              </w:rPr>
              <w:t xml:space="preserve">→  </w:t>
            </w:r>
            <w:r>
              <w:rPr>
                <w:rFonts w:ascii="Calibri" w:cs="Calibri" w:eastAsia="Calibri" w:hAnsi="Calibri"/>
                <w:color w:val="FFFFFF"/>
                <w:sz w:val="20"/>
                <w:szCs w:val="20"/>
              </w:rPr>
              <w:t xml:space="preserve">Elección de la subfamilia de arranque (termos, griferías, válvulas o tubería)</w:t>
            </w:r>
          </w:p>
          <w:p>
            <w:pPr>
              <w:spacing w:after="40" w:before="40"/>
              <w:ind w:left="120"/>
            </w:pPr>
            <w:r>
              <w:rPr>
                <w:rFonts w:ascii="Calibri" w:cs="Calibri" w:eastAsia="Calibri" w:hAnsi="Calibri"/>
                <w:b/>
                <w:bCs/>
                <w:color w:val="C8922A"/>
                <w:sz w:val="20"/>
                <w:szCs w:val="20"/>
              </w:rPr>
              <w:t xml:space="preserve">→  </w:t>
            </w:r>
            <w:r>
              <w:rPr>
                <w:rFonts w:ascii="Calibri" w:cs="Calibri" w:eastAsia="Calibri" w:hAnsi="Calibri"/>
                <w:color w:val="FFFFFF"/>
                <w:sz w:val="20"/>
                <w:szCs w:val="20"/>
              </w:rPr>
              <w:t xml:space="preserve">Grupo de instaladores beta seleccionados conjuntamente</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7</w:t>
      </w:r>
    </w:p>
    <w:p>
      <w:pPr>
        <w:pStyle w:val="Heading1"/>
        <w:pBdr>
          <w:bottom w:val="single" w:color="C8922A" w:sz="12" w:space="6"/>
        </w:pBdr>
        <w:spacing w:after="200" w:before="0"/>
      </w:pPr>
      <w:r>
        <w:rPr>
          <w:rFonts w:ascii="Cambria" w:cs="Cambria" w:eastAsia="Cambria" w:hAnsi="Cambria"/>
          <w:b/>
          <w:bCs/>
          <w:color w:val="1C2535"/>
          <w:sz w:val="44"/>
          <w:szCs w:val="44"/>
        </w:rPr>
        <w:t xml:space="preserve">El piloto · 90 días · sin coste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bottom w:type="dxa" w:w="160"/>
        </w:tblCellMar>
      </w:tblPr>
      <w:tblGrid>
        <w:gridCol w:w="100"/>
        <w:gridCol w:w="100"/>
        <w:gridCol w:w="100"/>
      </w:tblGrid>
      <w:tr>
        <w:tc>
          <w:tcPr>
            <w:tcW w:type="dxa" w:w="3120"/>
            <w:tcBorders>
              <w:top w:val="single" w:color="D5D9E0" w:sz="4"/>
              <w:left w:val="nil"/>
              <w:bottom w:val="nil"/>
              <w:right w:val="single" w:color="D5D9E0" w:sz="4"/>
            </w:tcBorders>
            <w:shd w:fill="F0F2F5" w:color="auto" w:val="clear"/>
            <w:tcMar>
              <w:top w:type="dxa" w:w="100"/>
              <w:left w:type="dxa" w:w="180"/>
              <w:bottom w:type="dxa" w:w="100"/>
              <w:right w:type="dxa" w:w="180"/>
            </w:tcMar>
          </w:tcPr>
          <w:p>
            <w:pPr>
              <w:spacing w:after="40" w:before="100"/>
            </w:pPr>
            <w:r>
              <w:rPr>
                <w:rFonts w:ascii="Calibri" w:cs="Calibri" w:eastAsia="Calibri" w:hAnsi="Calibri"/>
                <w:b/>
                <w:bCs/>
                <w:color w:val="1A5A96"/>
                <w:sz w:val="20"/>
                <w:szCs w:val="20"/>
              </w:rPr>
              <w:t xml:space="preserve">MES 1</w:t>
            </w:r>
          </w:p>
          <w:p>
            <w:pPr>
              <w:spacing w:after="80" w:before="0"/>
            </w:pPr>
            <w:r>
              <w:rPr>
                <w:rFonts w:ascii="Cambria" w:cs="Cambria" w:eastAsia="Cambria" w:hAnsi="Cambria"/>
                <w:b/>
                <w:bCs/>
                <w:color w:val="1C2535"/>
                <w:sz w:val="26"/>
                <w:szCs w:val="26"/>
              </w:rPr>
              <w:t xml:space="preserve">Carga del catálogo</w:t>
            </w:r>
          </w:p>
          <w:p>
            <w:pPr>
              <w:spacing w:after="100" w:before="0"/>
            </w:pPr>
            <w:r>
              <w:rPr>
                <w:rFonts w:ascii="Calibri" w:cs="Calibri" w:eastAsia="Calibri" w:hAnsi="Calibri"/>
                <w:color w:val="4B5563"/>
                <w:sz w:val="20"/>
                <w:szCs w:val="20"/>
              </w:rPr>
              <w:t xml:space="preserve">Carga del catálogo real de OBRAMAT en la familia Fontanería en el entorno piloto de TrabFlow. En cualquier formato. Sin integración técnica si se opta por Excel manual.</w:t>
            </w:r>
          </w:p>
        </w:tc>
        <w:tc>
          <w:tcPr>
            <w:tcW w:type="dxa" w:w="3120"/>
            <w:tcBorders>
              <w:top w:val="single" w:color="C8922A" w:sz="12"/>
              <w:left w:val="nil"/>
              <w:bottom w:val="nil"/>
              <w:right w:val="single" w:color="D5D9E0" w:sz="4"/>
            </w:tcBorders>
            <w:shd w:fill="1A5A96" w:color="auto" w:val="clear"/>
            <w:tcMar>
              <w:top w:type="dxa" w:w="100"/>
              <w:left w:type="dxa" w:w="180"/>
              <w:bottom w:type="dxa" w:w="100"/>
              <w:right w:type="dxa" w:w="180"/>
            </w:tcMar>
          </w:tcPr>
          <w:p>
            <w:pPr>
              <w:spacing w:after="40" w:before="100"/>
            </w:pPr>
            <w:r>
              <w:rPr>
                <w:rFonts w:ascii="Calibri" w:cs="Calibri" w:eastAsia="Calibri" w:hAnsi="Calibri"/>
                <w:b/>
                <w:bCs/>
                <w:color w:val="C8922A"/>
                <w:sz w:val="20"/>
                <w:szCs w:val="20"/>
              </w:rPr>
              <w:t xml:space="preserve">MES 2</w:t>
            </w:r>
          </w:p>
          <w:p>
            <w:pPr>
              <w:spacing w:after="80" w:before="0"/>
            </w:pPr>
            <w:r>
              <w:rPr>
                <w:rFonts w:ascii="Cambria" w:cs="Cambria" w:eastAsia="Cambria" w:hAnsi="Cambria"/>
                <w:b/>
                <w:bCs/>
                <w:color w:val="FFFFFF"/>
                <w:sz w:val="26"/>
                <w:szCs w:val="26"/>
              </w:rPr>
              <w:t xml:space="preserve">Instaladores beta en producción</w:t>
            </w:r>
          </w:p>
          <w:p>
            <w:pPr>
              <w:spacing w:after="100" w:before="0"/>
            </w:pPr>
            <w:r>
              <w:rPr>
                <w:rFonts w:ascii="Calibri" w:cs="Calibri" w:eastAsia="Calibri" w:hAnsi="Calibri"/>
                <w:color w:val="DCE6F1"/>
                <w:sz w:val="20"/>
                <w:szCs w:val="20"/>
              </w:rPr>
              <w:t xml:space="preserve">Un grupo de instaladores reales genera presupuestos de Fontanería con el catálogo de OBRAMAT integrado. Las referencias de OBRAMAT aparecen en sus presupuestos con precio real.</w:t>
            </w:r>
          </w:p>
        </w:tc>
        <w:tc>
          <w:tcPr>
            <w:tcW w:type="dxa" w:w="3120"/>
            <w:tcBorders>
              <w:top w:val="single" w:color="D5D9E0" w:sz="4"/>
              <w:left w:val="nil"/>
              <w:bottom w:val="nil"/>
              <w:right w:val="single" w:color="D5D9E0" w:sz="4"/>
            </w:tcBorders>
            <w:shd w:fill="F0F2F5" w:color="auto" w:val="clear"/>
            <w:tcMar>
              <w:top w:type="dxa" w:w="100"/>
              <w:left w:type="dxa" w:w="180"/>
              <w:bottom w:type="dxa" w:w="100"/>
              <w:right w:type="dxa" w:w="180"/>
            </w:tcMar>
          </w:tcPr>
          <w:p>
            <w:pPr>
              <w:spacing w:after="40" w:before="100"/>
            </w:pPr>
            <w:r>
              <w:rPr>
                <w:rFonts w:ascii="Calibri" w:cs="Calibri" w:eastAsia="Calibri" w:hAnsi="Calibri"/>
                <w:b/>
                <w:bCs/>
                <w:color w:val="1A5A96"/>
                <w:sz w:val="20"/>
                <w:szCs w:val="20"/>
              </w:rPr>
              <w:t xml:space="preserve">MES 3</w:t>
            </w:r>
          </w:p>
          <w:p>
            <w:pPr>
              <w:spacing w:after="80" w:before="0"/>
            </w:pPr>
            <w:r>
              <w:rPr>
                <w:rFonts w:ascii="Cambria" w:cs="Cambria" w:eastAsia="Cambria" w:hAnsi="Cambria"/>
                <w:b/>
                <w:bCs/>
                <w:color w:val="1C2535"/>
                <w:sz w:val="26"/>
                <w:szCs w:val="26"/>
              </w:rPr>
              <w:t xml:space="preserve">Medición y decisión</w:t>
            </w:r>
          </w:p>
          <w:p>
            <w:pPr>
              <w:spacing w:after="100" w:before="0"/>
            </w:pPr>
            <w:r>
              <w:rPr>
                <w:rFonts w:ascii="Calibri" w:cs="Calibri" w:eastAsia="Calibri" w:hAnsi="Calibri"/>
                <w:color w:val="4B5563"/>
                <w:sz w:val="20"/>
                <w:szCs w:val="20"/>
              </w:rPr>
              <w:t xml:space="preserve">Informe de conversión: presupuestos generados con referencia OBRAMAT, tasa de aceptación por el cliente final y estimación de conversión a pedido. Decisión conjunta de continuidad.</w:t>
            </w:r>
          </w:p>
        </w:tc>
      </w:tr>
    </w:tbl>
    <w:p>
      <w:pPr>
        <w:spacing w:after="0" w:before="80"/>
      </w:pPr>
      <w:r>
        <w:rPr>
          <w:rFonts w:ascii="Calibri" w:cs="Calibri" w:eastAsia="Calibri" w:hAnsi="Calibri"/>
          <w:color w:val="1C2535"/>
          <w:sz w:val="22"/>
          <w:szCs w:val="22"/>
        </w:rPr>
        <w:t xml:space="preserve"/>
      </w:r>
    </w:p>
    <w:p>
      <w:pPr>
        <w:pStyle w:val="Heading2"/>
        <w:spacing w:after="80" w:before="280"/>
      </w:pPr>
      <w:r>
        <w:rPr>
          <w:rFonts w:ascii="Cambria" w:cs="Cambria" w:eastAsia="Cambria" w:hAnsi="Cambria"/>
          <w:b/>
          <w:bCs/>
          <w:color w:val="1A5A96"/>
          <w:sz w:val="28"/>
          <w:szCs w:val="28"/>
        </w:rPr>
        <w:t xml:space="preserve">Qué mide el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60"/>
          <w:bottom w:type="dxa" w:w="200"/>
        </w:tblCellMar>
      </w:tblPr>
      <w:tblGrid>
        <w:gridCol w:w="100"/>
        <w:gridCol w:w="100"/>
        <w:gridCol w:w="100"/>
      </w:tblGrid>
      <w:tr>
        <w:trPr>
          <w:tblHeader/>
        </w:trPr>
        <w:tc>
          <w:tcPr>
            <w:tcW w:type="dxa" w:w="26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Métrica</w:t>
            </w:r>
          </w:p>
        </w:tc>
        <w:tc>
          <w:tcPr>
            <w:tcW w:type="dxa" w:w="400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Qué mide</w:t>
            </w:r>
          </w:p>
        </w:tc>
        <w:tc>
          <w:tcPr>
            <w:tcW w:type="dxa" w:w="2760"/>
            <w:tcBorders>
              <w:top w:val="nil"/>
              <w:left w:val="nil"/>
              <w:bottom w:val="nil"/>
              <w:right w:val="nil"/>
            </w:tcBorders>
            <w:shd w:fill="1C2535" w:color="auto" w:val="clear"/>
            <w:tcMar>
              <w:top w:type="dxa" w:w="80"/>
              <w:left w:type="dxa" w:w="160"/>
              <w:bottom w:type="dxa" w:w="80"/>
              <w:right w:type="dxa" w:w="160"/>
            </w:tcMar>
          </w:tcPr>
          <w:p>
            <w:pPr>
              <w:spacing w:after="60" w:before="60"/>
              <w:jc w:val="left"/>
            </w:pPr>
            <w:r>
              <w:rPr>
                <w:rFonts w:ascii="Calibri" w:cs="Calibri" w:eastAsia="Calibri" w:hAnsi="Calibri"/>
                <w:b/>
                <w:bCs/>
                <w:color w:val="FFFFFF"/>
                <w:sz w:val="20"/>
                <w:szCs w:val="20"/>
              </w:rPr>
              <w:t xml:space="preserve">Quién tiene acceso</w:t>
            </w:r>
          </w:p>
        </w:tc>
      </w:tr>
      <w:tr>
        <w:tc>
          <w:tcPr>
            <w:tcW w:type="dxa" w:w="2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Presupuestos con referencia OBRAMAT</w:t>
            </w:r>
          </w:p>
        </w:tc>
        <w:tc>
          <w:tcPr>
            <w:tcW w:type="dxa" w:w="40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Cuántos presupuestos de Fontanería incluyen al menos una referencia del catálogo de OBRAMAT</w:t>
            </w:r>
          </w:p>
        </w:tc>
        <w:tc>
          <w:tcPr>
            <w:tcW w:type="dxa" w:w="27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TrabFlow + OBRAMAT</w:t>
            </w:r>
          </w:p>
        </w:tc>
      </w:tr>
      <w:tr>
        <w:tc>
          <w:tcPr>
            <w:tcW w:type="dxa" w:w="2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Tasa de matching</w:t>
            </w:r>
          </w:p>
        </w:tc>
        <w:tc>
          <w:tcPr>
            <w:tcW w:type="dxa" w:w="40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Porcentaje de partidas generadas que encuentran referencia compatible en el catálogo OBRAMAT</w:t>
            </w:r>
          </w:p>
        </w:tc>
        <w:tc>
          <w:tcPr>
            <w:tcW w:type="dxa" w:w="27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TrabFlow + OBRAMAT</w:t>
            </w:r>
          </w:p>
        </w:tc>
      </w:tr>
      <w:tr>
        <w:tc>
          <w:tcPr>
            <w:tcW w:type="dxa" w:w="26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Tasa de aceptación</w:t>
            </w:r>
          </w:p>
        </w:tc>
        <w:tc>
          <w:tcPr>
            <w:tcW w:type="dxa" w:w="400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Porcentaje de presupuestos con referencia OBRAMAT aceptados por el cliente final del instalador</w:t>
            </w:r>
          </w:p>
        </w:tc>
        <w:tc>
          <w:tcPr>
            <w:tcW w:type="dxa" w:w="2760"/>
            <w:tcBorders>
              <w:top w:val="nil"/>
              <w:left w:val="nil"/>
              <w:bottom w:val="single" w:color="D5D9E0" w:sz="4"/>
              <w:right w:val="nil"/>
            </w:tcBorders>
            <w:shd w:fill="FFFFFF"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TrabFlow + OBRAMAT</w:t>
            </w:r>
          </w:p>
        </w:tc>
      </w:tr>
      <w:tr>
        <w:tc>
          <w:tcPr>
            <w:tcW w:type="dxa" w:w="26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Conversión a propuesta de pedido</w:t>
            </w:r>
          </w:p>
        </w:tc>
        <w:tc>
          <w:tcPr>
            <w:tcW w:type="dxa" w:w="400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Presupuestos aceptados que generan propuesta de pedido con referencia OBRAMAT vinculada</w:t>
            </w:r>
          </w:p>
        </w:tc>
        <w:tc>
          <w:tcPr>
            <w:tcW w:type="dxa" w:w="2760"/>
            <w:tcBorders>
              <w:top w:val="nil"/>
              <w:left w:val="nil"/>
              <w:bottom w:val="single" w:color="D5D9E0" w:sz="4"/>
              <w:right w:val="nil"/>
            </w:tcBorders>
            <w:shd w:fill="F0F2F5" w:color="auto" w:val="clear"/>
            <w:tcMar>
              <w:top w:type="dxa" w:w="60"/>
              <w:left w:type="dxa" w:w="160"/>
              <w:bottom w:type="dxa" w:w="60"/>
              <w:right w:type="dxa" w:w="160"/>
            </w:tcMar>
          </w:tcPr>
          <w:p>
            <w:pPr>
              <w:spacing w:after="40" w:before="40"/>
              <w:jc w:val="left"/>
            </w:pPr>
            <w:r>
              <w:rPr>
                <w:rFonts w:ascii="Calibri" w:cs="Calibri" w:eastAsia="Calibri" w:hAnsi="Calibri"/>
                <w:color w:val="1C2535"/>
                <w:sz w:val="20"/>
                <w:szCs w:val="20"/>
              </w:rPr>
              <w:t xml:space="preserve">TrabFlow + OBRAMAT</w:t>
            </w:r>
          </w:p>
        </w:tc>
      </w:tr>
    </w:tbl>
    <w:p>
      <w:pPr>
        <w:spacing w:after="0" w:before="1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20"/>
              <w:bottom w:val="nil"/>
              <w:right w:val="nil"/>
            </w:tcBorders>
            <w:shd w:fill="F0F2F5" w:color="auto" w:val="clear"/>
            <w:tcMar>
              <w:top w:type="dxa" w:w="120"/>
              <w:left w:type="dxa" w:w="200"/>
              <w:bottom w:type="dxa" w:w="120"/>
              <w:right w:type="dxa" w:w="200"/>
            </w:tcMar>
          </w:tcPr>
          <w:p>
            <w:pPr>
              <w:spacing w:after="80" w:before="80" w:line="268"/>
            </w:pPr>
            <w:r>
              <w:rPr>
                <w:rFonts w:ascii="Calibri" w:cs="Calibri" w:eastAsia="Calibri" w:hAnsi="Calibri"/>
                <w:i/>
                <w:iCs/>
                <w:color w:val="1C2535"/>
                <w:sz w:val="22"/>
                <w:szCs w:val="22"/>
              </w:rPr>
              <w:t xml:space="preserve">Sin coste de desarrollo para OBRAMAT en la fase piloto. Sin exclusividad. Sin integración en producción hasta validar los resultados. Una propuesta a validar juntos — no un acuerdo cerrado.</w:t>
            </w:r>
          </w:p>
        </w:tc>
      </w:tr>
    </w:tbl>
    <w:p>
      <w:pPr>
        <w:spacing w:after="0" w:before="0"/>
      </w:pPr>
      <w:r>
        <w:br w:type="page"/>
      </w:r>
    </w:p>
    <w:p>
      <w:pPr>
        <w:spacing w:after="40" w:before="400"/>
      </w:pPr>
      <w:r>
        <w:rPr>
          <w:rFonts w:ascii="Calibri" w:cs="Calibri" w:eastAsia="Calibri" w:hAnsi="Calibri"/>
          <w:b/>
          <w:bCs/>
          <w:color w:val="1A5A96"/>
          <w:sz w:val="20"/>
          <w:szCs w:val="20"/>
        </w:rPr>
        <w:t xml:space="preserve">SECCIÓN 8</w:t>
      </w:r>
    </w:p>
    <w:p>
      <w:pPr>
        <w:pStyle w:val="Heading1"/>
        <w:pBdr>
          <w:bottom w:val="single" w:color="C8922A" w:sz="12" w:space="6"/>
        </w:pBdr>
        <w:spacing w:after="200" w:before="0"/>
      </w:pPr>
      <w:r>
        <w:rPr>
          <w:rFonts w:ascii="Cambria" w:cs="Cambria" w:eastAsia="Cambria" w:hAnsi="Cambria"/>
          <w:b/>
          <w:bCs/>
          <w:color w:val="1C2535"/>
          <w:sz w:val="44"/>
          <w:szCs w:val="44"/>
        </w:rPr>
        <w:t xml:space="preserve">Próximos pasos</w:t>
      </w:r>
    </w:p>
    <w:p>
      <w:pPr>
        <w:spacing w:after="80" w:before="80" w:line="276"/>
      </w:pPr>
      <w:r>
        <w:rPr>
          <w:rFonts w:ascii="Calibri" w:cs="Calibri" w:eastAsia="Calibri" w:hAnsi="Calibri"/>
          <w:color w:val="1C2535"/>
          <w:sz w:val="22"/>
          <w:szCs w:val="22"/>
        </w:rPr>
        <w:t xml:space="preserve">Para arrancar el piloto en la semana 3, TrabFlow necesita únicamente tres cosas de OBRAMAT:</w:t>
      </w:r>
    </w:p>
    <w:p>
      <w:pPr>
        <w:spacing w:after="0" w:before="8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1</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Reunión técnica y comercial para validar el alcance</w:t>
            </w:r>
          </w:p>
          <w:p>
            <w:pPr>
              <w:spacing w:after="80" w:before="0" w:line="264"/>
            </w:pPr>
            <w:r>
              <w:rPr>
                <w:rFonts w:ascii="Calibri" w:cs="Calibri" w:eastAsia="Calibri" w:hAnsi="Calibri"/>
                <w:color w:val="1C2535"/>
                <w:sz w:val="21"/>
                <w:szCs w:val="21"/>
              </w:rPr>
              <w:t xml:space="preserve">Una sesión conjunta — en formato que OBRAMAT prefiera — para revisar el Dossier Técnico con el equipo de IT y Catálogo, y definir el formato del catálogo piloto y la subfamilia de arranque.</w:t>
            </w:r>
          </w:p>
        </w:tc>
      </w:tr>
    </w:tbl>
    <w:p>
      <w:pPr>
        <w:spacing w:after="0" w:before="24"/>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2</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Catálogo de Fontanería en cualquier formato</w:t>
            </w:r>
          </w:p>
          <w:p>
            <w:pPr>
              <w:spacing w:after="80" w:before="0" w:line="264"/>
            </w:pPr>
            <w:r>
              <w:rPr>
                <w:rFonts w:ascii="Calibri" w:cs="Calibri" w:eastAsia="Calibri" w:hAnsi="Calibri"/>
                <w:color w:val="1C2535"/>
                <w:sz w:val="21"/>
                <w:szCs w:val="21"/>
              </w:rPr>
              <w:t xml:space="preserve">Un Excel, un CSV o una exportación del ERP con la familia Fontanería. No se necesita integración técnica para arrancar.</w:t>
            </w:r>
          </w:p>
        </w:tc>
      </w:tr>
    </w:tbl>
    <w:p>
      <w:pPr>
        <w:spacing w:after="0" w:before="24"/>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
          <w:bottom w:type="dxa" w:w="40"/>
        </w:tblCellMar>
      </w:tblPr>
      <w:tblGrid>
        <w:gridCol w:w="100"/>
        <w:gridCol w:w="100"/>
      </w:tblGrid>
      <w:tr>
        <w:tc>
          <w:tcPr>
            <w:tcW w:type="dxa" w:w="700"/>
            <w:tcBorders>
              <w:top w:val="nil"/>
              <w:left w:val="nil"/>
              <w:bottom w:val="single" w:color="D5D9E0" w:sz="4"/>
              <w:right w:val="nil"/>
            </w:tcBorders>
            <w:shd w:fill="F0F2F5" w:color="auto" w:val="clear"/>
            <w:tcMar>
              <w:top w:type="dxa" w:w="120"/>
              <w:left w:type="dxa" w:w="120"/>
              <w:bottom w:type="dxa" w:w="120"/>
              <w:right w:type="dxa" w:w="80"/>
            </w:tcMar>
            <w:vAlign w:val="top"/>
          </w:tcPr>
          <w:p>
            <w:pPr>
              <w:spacing w:after="60" w:before="60"/>
              <w:jc w:val="center"/>
            </w:pPr>
            <w:r>
              <w:rPr>
                <w:rFonts w:ascii="Calibri" w:cs="Calibri" w:eastAsia="Calibri" w:hAnsi="Calibri"/>
                <w:color w:val="C8922A"/>
                <w:sz w:val="40"/>
                <w:szCs w:val="40"/>
              </w:rPr>
              <w:t xml:space="preserve">3</w:t>
            </w:r>
          </w:p>
        </w:tc>
        <w:tc>
          <w:tcPr>
            <w:tcW w:type="dxa" w:w="8660"/>
            <w:tcBorders>
              <w:top w:val="nil"/>
              <w:left w:val="single" w:color="C8922A" w:sz="10"/>
              <w:bottom w:val="single" w:color="D5D9E0" w:sz="4"/>
              <w:right w:val="nil"/>
            </w:tcBorders>
            <w:shd w:fill="F0F2F5" w:color="auto" w:val="clear"/>
            <w:tcMar>
              <w:top w:type="dxa" w:w="100"/>
              <w:left w:type="dxa" w:w="160"/>
              <w:bottom w:type="dxa" w:w="100"/>
              <w:right w:type="dxa" w:w="160"/>
            </w:tcMar>
          </w:tcPr>
          <w:p>
            <w:pPr>
              <w:spacing w:after="30" w:before="80"/>
            </w:pPr>
            <w:r>
              <w:rPr>
                <w:rFonts w:ascii="Calibri" w:cs="Calibri" w:eastAsia="Calibri" w:hAnsi="Calibri"/>
                <w:b/>
                <w:bCs/>
                <w:color w:val="1C2535"/>
                <w:sz w:val="23"/>
                <w:szCs w:val="23"/>
              </w:rPr>
              <w:t xml:space="preserve">Una persona de contacto en OBRAMAT</w:t>
            </w:r>
          </w:p>
          <w:p>
            <w:pPr>
              <w:spacing w:after="80" w:before="0" w:line="264"/>
            </w:pPr>
            <w:r>
              <w:rPr>
                <w:rFonts w:ascii="Calibri" w:cs="Calibri" w:eastAsia="Calibri" w:hAnsi="Calibri"/>
                <w:color w:val="1C2535"/>
                <w:sz w:val="21"/>
                <w:szCs w:val="21"/>
              </w:rPr>
              <w:t xml:space="preserve">Para coordinar la carga del catálogo y resolver dudas durante las primeras dos semanas del piloto.</w:t>
            </w:r>
          </w:p>
        </w:tc>
      </w:tr>
    </w:tbl>
    <w:p>
      <w:pPr>
        <w:spacing w:after="0" w:before="120"/>
      </w:pPr>
      <w:r>
        <w:rPr>
          <w:rFonts w:ascii="Calibri" w:cs="Calibri" w:eastAsia="Calibri" w:hAnsi="Calibri"/>
          <w:color w:val="1C2535"/>
          <w:sz w:val="22"/>
          <w:szCs w:val="22"/>
        </w:rPr>
        <w:t xml:space="preserve"/>
      </w:r>
    </w:p>
    <w:p>
      <w:pPr>
        <w:spacing w:after="80" w:before="80" w:line="276"/>
      </w:pPr>
      <w:r>
        <w:rPr>
          <w:rFonts w:ascii="Calibri" w:cs="Calibri" w:eastAsia="Calibri" w:hAnsi="Calibri"/>
          <w:color w:val="1C2535"/>
          <w:sz w:val="22"/>
          <w:szCs w:val="22"/>
        </w:rPr>
        <w:t xml:space="preserve">En esta fase no se pide a OBRAMAT:</w:t>
      </w:r>
    </w:p>
    <w:p>
      <w:pPr>
        <w:spacing w:after="40" w:before="40" w:line="268"/>
        <w:ind w:left="360"/>
      </w:pPr>
      <w:r>
        <w:rPr>
          <w:rFonts w:ascii="Calibri" w:cs="Calibri" w:eastAsia="Calibri" w:hAnsi="Calibri"/>
          <w:color w:val="D5D9E0"/>
          <w:sz w:val="20"/>
          <w:szCs w:val="20"/>
        </w:rPr>
        <w:t xml:space="preserve">▸  </w:t>
      </w:r>
      <w:r>
        <w:rPr>
          <w:rFonts w:ascii="Calibri" w:cs="Calibri" w:eastAsia="Calibri" w:hAnsi="Calibri"/>
          <w:color w:val="1C2535"/>
          <w:sz w:val="22"/>
          <w:szCs w:val="22"/>
        </w:rPr>
        <w:t xml:space="preserve">Exclusividad de ningún tipo.</w:t>
      </w:r>
    </w:p>
    <w:p>
      <w:pPr>
        <w:spacing w:after="40" w:before="40" w:line="268"/>
        <w:ind w:left="360"/>
      </w:pPr>
      <w:r>
        <w:rPr>
          <w:rFonts w:ascii="Calibri" w:cs="Calibri" w:eastAsia="Calibri" w:hAnsi="Calibri"/>
          <w:color w:val="D5D9E0"/>
          <w:sz w:val="20"/>
          <w:szCs w:val="20"/>
        </w:rPr>
        <w:t xml:space="preserve">▸  </w:t>
      </w:r>
      <w:r>
        <w:rPr>
          <w:rFonts w:ascii="Calibri" w:cs="Calibri" w:eastAsia="Calibri" w:hAnsi="Calibri"/>
          <w:color w:val="1C2535"/>
          <w:sz w:val="22"/>
          <w:szCs w:val="22"/>
        </w:rPr>
        <w:t xml:space="preserve">Inversión tecnológica ni presupuesto de desarrollo.</w:t>
      </w:r>
    </w:p>
    <w:p>
      <w:pPr>
        <w:spacing w:after="40" w:before="40" w:line="268"/>
        <w:ind w:left="360"/>
      </w:pPr>
      <w:r>
        <w:rPr>
          <w:rFonts w:ascii="Calibri" w:cs="Calibri" w:eastAsia="Calibri" w:hAnsi="Calibri"/>
          <w:color w:val="D5D9E0"/>
          <w:sz w:val="20"/>
          <w:szCs w:val="20"/>
        </w:rPr>
        <w:t xml:space="preserve">▸  </w:t>
      </w:r>
      <w:r>
        <w:rPr>
          <w:rFonts w:ascii="Calibri" w:cs="Calibri" w:eastAsia="Calibri" w:hAnsi="Calibri"/>
          <w:color w:val="1C2535"/>
          <w:sz w:val="22"/>
          <w:szCs w:val="22"/>
        </w:rPr>
        <w:t xml:space="preserve">Integración con sistemas internos de OBRAMAT.</w:t>
      </w:r>
    </w:p>
    <w:p>
      <w:pPr>
        <w:spacing w:after="40" w:before="40" w:line="268"/>
        <w:ind w:left="360"/>
      </w:pPr>
      <w:r>
        <w:rPr>
          <w:rFonts w:ascii="Calibri" w:cs="Calibri" w:eastAsia="Calibri" w:hAnsi="Calibri"/>
          <w:color w:val="D5D9E0"/>
          <w:sz w:val="20"/>
          <w:szCs w:val="20"/>
        </w:rPr>
        <w:t xml:space="preserve">▸  </w:t>
      </w:r>
      <w:r>
        <w:rPr>
          <w:rFonts w:ascii="Calibri" w:cs="Calibri" w:eastAsia="Calibri" w:hAnsi="Calibri"/>
          <w:color w:val="1C2535"/>
          <w:sz w:val="22"/>
          <w:szCs w:val="22"/>
        </w:rPr>
        <w:t xml:space="preserve">Compromiso de continuidad más allá del piloto.</w:t>
      </w:r>
    </w:p>
    <w:p>
      <w:pPr>
        <w:spacing w:after="0" w:before="12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1A5A96" w:sz="12"/>
              <w:left w:val="single" w:color="1A5A96" w:sz="20"/>
              <w:bottom w:val="nil"/>
              <w:right w:val="nil"/>
            </w:tcBorders>
            <w:shd w:fill="EEF4FB" w:color="auto" w:val="clear"/>
            <w:tcMar>
              <w:top w:type="dxa" w:w="120"/>
              <w:left w:type="dxa" w:w="200"/>
              <w:bottom w:type="dxa" w:w="120"/>
              <w:right w:type="dxa" w:w="200"/>
            </w:tcMar>
          </w:tcPr>
          <w:p>
            <w:pPr>
              <w:spacing w:after="80" w:before="80" w:line="268"/>
            </w:pPr>
            <w:r>
              <w:rPr>
                <w:rFonts w:ascii="Calibri" w:cs="Calibri" w:eastAsia="Calibri" w:hAnsi="Calibri"/>
                <w:i/>
                <w:iCs/>
                <w:color w:val="1C2535"/>
                <w:sz w:val="22"/>
                <w:szCs w:val="22"/>
              </w:rPr>
              <w:t xml:space="preserve">Lo que ocurra después del piloto depende de los datos. Si la tasa de conversión justifica la integración en producción, lo siguiente es fácil y rápido porque el motor ya está construido.</w:t>
            </w:r>
          </w:p>
        </w:tc>
      </w:tr>
    </w:tbl>
    <w:p>
      <w:pPr>
        <w:spacing w:after="0" w:before="0"/>
      </w:pPr>
      <w:r>
        <w:br w:type="page"/>
      </w:r>
    </w:p>
    <w:p>
      <w:pPr>
        <w:spacing w:after="40" w:before="400"/>
      </w:pPr>
      <w:r>
        <w:rPr>
          <w:rFonts w:ascii="Calibri" w:cs="Calibri" w:eastAsia="Calibri" w:hAnsi="Calibri"/>
          <w:b/>
          <w:bCs/>
          <w:color w:val="1A5A96"/>
          <w:sz w:val="20"/>
          <w:szCs w:val="20"/>
        </w:rPr>
        <w:t xml:space="preserve">CONTACTO</w:t>
      </w:r>
    </w:p>
    <w:p>
      <w:pPr>
        <w:pStyle w:val="Heading1"/>
        <w:pBdr>
          <w:bottom w:val="single" w:color="C8922A" w:sz="12" w:space="6"/>
        </w:pBdr>
        <w:spacing w:after="200" w:before="0"/>
      </w:pPr>
      <w:r>
        <w:rPr>
          <w:rFonts w:ascii="Cambria" w:cs="Cambria" w:eastAsia="Cambria" w:hAnsi="Cambria"/>
          <w:b/>
          <w:bCs/>
          <w:color w:val="1C2535"/>
          <w:sz w:val="44"/>
          <w:szCs w:val="44"/>
        </w:rPr>
        <w:t xml:space="preserve">Hablemos</w:t>
      </w:r>
    </w:p>
    <w:p>
      <w:pPr>
        <w:spacing w:after="40" w:before="0"/>
      </w:pPr>
      <w:r>
        <w:rPr>
          <w:rFonts w:ascii="Cambria" w:cs="Cambria" w:eastAsia="Cambria" w:hAnsi="Cambria"/>
          <w:b/>
          <w:bCs/>
          <w:color w:val="1C2535"/>
          <w:sz w:val="30"/>
          <w:szCs w:val="30"/>
        </w:rPr>
        <w:t xml:space="preserve">Fernando Carbonell Cabo</w:t>
      </w:r>
    </w:p>
    <w:p>
      <w:pPr>
        <w:spacing w:after="80" w:before="80" w:line="276"/>
      </w:pPr>
      <w:r>
        <w:rPr>
          <w:rFonts w:ascii="Calibri" w:cs="Calibri" w:eastAsia="Calibri" w:hAnsi="Calibri"/>
          <w:color w:val="1C2535"/>
          <w:sz w:val="22"/>
          <w:szCs w:val="22"/>
        </w:rPr>
        <w:t xml:space="preserve">Fundador y Administrador Único · TrabFlow Technologies, S.L.</w:t>
      </w:r>
    </w:p>
    <w:p>
      <w:pPr>
        <w:spacing w:after="0" w:before="80"/>
      </w:pPr>
      <w:r>
        <w:rPr>
          <w:rFonts w:ascii="Calibri" w:cs="Calibri" w:eastAsia="Calibri" w:hAnsi="Calibri"/>
          <w:color w:val="1C2535"/>
          <w:sz w:val="22"/>
          <w:szCs w:val="22"/>
        </w:rPr>
        <w:t xml:space="preserve"/>
      </w:r>
    </w:p>
    <w:p>
      <w:pPr>
        <w:spacing w:after="80" w:before="80" w:line="276"/>
      </w:pPr>
      <w:r>
        <w:rPr>
          <w:rFonts w:ascii="Calibri" w:cs="Calibri" w:eastAsia="Calibri" w:hAnsi="Calibri"/>
          <w:b/>
          <w:bCs/>
          <w:color w:val="1A5A96"/>
          <w:sz w:val="22"/>
          <w:szCs w:val="22"/>
        </w:rPr>
        <w:t xml:space="preserve">trabflow.com</w:t>
      </w:r>
      <w:r>
        <w:rPr>
          <w:rFonts w:ascii="Calibri" w:cs="Calibri" w:eastAsia="Calibri" w:hAnsi="Calibri"/>
          <w:color w:val="1C2535"/>
          <w:sz w:val="22"/>
          <w:szCs w:val="22"/>
        </w:rPr>
        <w:t xml:space="preserve">     ·     </w:t>
      </w:r>
      <w:r>
        <w:rPr>
          <w:rFonts w:ascii="Calibri" w:cs="Calibri" w:eastAsia="Calibri" w:hAnsi="Calibri"/>
          <w:color w:val="1C2535"/>
          <w:sz w:val="22"/>
          <w:szCs w:val="22"/>
        </w:rPr>
        <w:t xml:space="preserve">fercarboc@gmail.com</w:t>
      </w:r>
    </w:p>
    <w:p>
      <w:pPr>
        <w:spacing w:after="0" w:before="160"/>
      </w:pPr>
      <w:r>
        <w:rPr>
          <w:rFonts w:ascii="Calibri" w:cs="Calibri" w:eastAsia="Calibri" w:hAnsi="Calibri"/>
          <w:color w:val="1C25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00"/>
          <w:bottom w:type="dxa" w:w="100"/>
        </w:tblCellMar>
      </w:tblPr>
      <w:tblGrid>
        <w:gridCol w:w="100"/>
      </w:tblGrid>
      <w:tr>
        <w:tc>
          <w:tcPr>
            <w:tcBorders>
              <w:top w:val="single" w:color="C8922A" w:sz="12"/>
              <w:left w:val="single" w:color="C8922A" w:sz="20"/>
              <w:bottom w:val="nil"/>
              <w:right w:val="nil"/>
            </w:tcBorders>
            <w:shd w:fill="F0F2F5" w:color="auto" w:val="clear"/>
            <w:tcMar>
              <w:top w:type="dxa" w:w="120"/>
              <w:left w:type="dxa" w:w="200"/>
              <w:bottom w:type="dxa" w:w="120"/>
              <w:right w:type="dxa" w:w="200"/>
            </w:tcMar>
          </w:tcPr>
          <w:p>
            <w:pPr>
              <w:spacing w:after="80" w:before="80" w:line="268"/>
            </w:pPr>
            <w:r>
              <w:rPr>
                <w:rFonts w:ascii="Calibri" w:cs="Calibri" w:eastAsia="Calibri" w:hAnsi="Calibri"/>
                <w:i/>
                <w:iCs/>
                <w:color w:val="6B7686"/>
                <w:sz w:val="22"/>
                <w:szCs w:val="22"/>
              </w:rPr>
              <w:t xml:space="preserve">Este documento es una propuesta para explorar si tiene sentido colaborar. No implica un acuerdo ni relación comercial existente. Nos encantaría conocer la valoración del equipo de OBRAMAT y, si hay interés, definir juntos el alcance exacto del piloto.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9E0" w:sz="4" w:space="4"/>
      </w:pBdr>
      <w:spacing w:after="0" w:before="80"/>
      <w:jc w:val="center"/>
    </w:pPr>
    <w:r>
      <w:rPr>
        <w:rFonts w:ascii="Calibri" w:cs="Calibri" w:eastAsia="Calibri" w:hAnsi="Calibri"/>
        <w:color w:val="6B7686"/>
        <w:sz w:val="18"/>
        <w:szCs w:val="18"/>
      </w:rPr>
      <w:t xml:space="preserve">TrabFlow Technologies, S.L.  ·  trabflow.com</w:t>
    </w:r>
    <w:r>
      <w:rPr>
        <w:rFonts w:ascii="Calibri" w:cs="Calibri" w:eastAsia="Calibri" w:hAnsi="Calibri"/>
      </w:rPr>
      <w:t xml:space="preserve">        </w:t>
    </w:r>
    <w:r>
      <w:rPr>
        <w:rFonts w:ascii="Calibri" w:cs="Calibri" w:eastAsia="Calibri" w:hAnsi="Calibri"/>
        <w:color w:val="6B76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4"/>
      </w:pBdr>
      <w:spacing w:after="80" w:before="0"/>
      <w:jc w:val="right"/>
    </w:pPr>
    <w:r>
      <w:rPr>
        <w:rFonts w:ascii="Calibri" w:cs="Calibri" w:eastAsia="Calibri" w:hAnsi="Calibri"/>
        <w:color w:val="6B7686"/>
        <w:sz w:val="18"/>
        <w:szCs w:val="18"/>
      </w:rPr>
      <w:t xml:space="preserve">TrabFlow × OBRAMAT · Propuesta Ejecutiva</w:t>
    </w:r>
    <w:r>
      <w:rPr>
        <w:rFonts w:ascii="Calibri" w:cs="Calibri" w:eastAsia="Calibri" w:hAnsi="Calibri"/>
        <w:i/>
        <w:iCs/>
        <w:color w:val="6B7686"/>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TrabFlow × OBRAMAT · Propuesta Ejecutiva · Julio 2026</dc:title>
  <dc:creator>TrabFlow Technologies, S.L.</dc:creator>
  <dc:description>¿Por qué debería interesarnos un piloto con TrabFlow?</dc:description>
  <cp:lastModifiedBy>Un-named</cp:lastModifiedBy>
  <cp:revision>1</cp:revision>
  <dcterms:created xsi:type="dcterms:W3CDTF">2026-07-02T18:52:50.025Z</dcterms:created>
  <dcterms:modified xsi:type="dcterms:W3CDTF">2026-07-02T18:52:50.037Z</dcterms:modified>
</cp:coreProperties>
</file>

<file path=docProps/custom.xml><?xml version="1.0" encoding="utf-8"?>
<Properties xmlns="http://schemas.openxmlformats.org/officeDocument/2006/custom-properties" xmlns:vt="http://schemas.openxmlformats.org/officeDocument/2006/docPropsVTypes"/>
</file>