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b/>
          <w:bCs/>
          <w:color w:val="1A5A96"/>
          <w:sz w:val="22"/>
          <w:szCs w:val="22"/>
        </w:rPr>
        <w:t xml:space="preserve">TrabFlow Technologies, S.L.</w:t>
      </w:r>
    </w:p>
    <w:p>
      <w:pPr>
        <w:spacing w:after="120"/>
      </w:pPr>
      <w:r>
        <w:rPr>
          <w:b/>
          <w:bCs/>
          <w:color w:val="1C2535"/>
          <w:sz w:val="48"/>
          <w:szCs w:val="48"/>
        </w:rPr>
        <w:t xml:space="preserve">INFORME DE RESULTADOS</w:t>
      </w:r>
    </w:p>
    <w:p>
      <w:pPr>
        <w:spacing w:after="80"/>
      </w:pPr>
      <w:r>
        <w:rPr>
          <w:b/>
          <w:bCs/>
          <w:color w:val="B84E35"/>
          <w:sz w:val="28"/>
          <w:szCs w:val="28"/>
        </w:rPr>
        <w:t xml:space="preserve">Suite de Pruebas Automatizadas — Motor de IA de Presupuestos</w:t>
      </w:r>
    </w:p>
    <w:p>
      <w:pPr>
        <w:spacing w:after="600"/>
      </w:pPr>
      <w:r>
        <w:rPr>
          <w:color w:val="888888"/>
          <w:sz w:val="22"/>
          <w:szCs w:val="22"/>
        </w:rPr>
        <w:t xml:space="preserve">Versión v51 · 400 consultas · 20 oficios · Junio 2026</w:t>
      </w:r>
    </w:p>
    <w:p>
      <w:pPr>
        <w:shd w:fill="1A5A96" w:val="clear"/>
        <w:spacing w:after="160" w:before="400"/>
      </w:pPr>
      <w:r>
        <w:rPr>
          <w:b/>
          <w:bCs/>
          <w:color w:val="FFFFFF"/>
          <w:sz w:val="26"/>
          <w:szCs w:val="26"/>
        </w:rPr>
        <w:t xml:space="preserve">1. RESUMEN EJECUTIVO</w:t>
      </w:r>
    </w:p>
    <w:p>
      <w:pPr>
        <w:spacing w:after="140"/>
      </w:pPr>
      <w:r>
        <w:rPr>
          <w:sz w:val="22"/>
          <w:szCs w:val="22"/>
        </w:rPr>
        <w:t xml:space="preserve">El motor de IA de presupuestos de TrabFlow (edge function </w:t>
      </w:r>
      <w:r>
        <w:rPr>
          <w:b/>
          <w:bCs/>
          <w:sz w:val="22"/>
          <w:szCs w:val="22"/>
        </w:rPr>
        <w:t xml:space="preserve">trade-voice-to-quote v51</w:t>
      </w:r>
      <w:r>
        <w:rPr>
          <w:sz w:val="22"/>
          <w:szCs w:val="22"/>
        </w:rPr>
        <w:t xml:space="preserve"> ) ha superado con éxito la prueba de calidad mínima de lanzamiento. Se ejecutaron </w:t>
      </w:r>
      <w:r>
        <w:rPr>
          <w:b/>
          <w:bCs/>
          <w:sz w:val="22"/>
          <w:szCs w:val="22"/>
        </w:rPr>
        <w:t xml:space="preserve">400 consultas automatizadas</w:t>
      </w:r>
      <w:r>
        <w:rPr>
          <w:sz w:val="22"/>
          <w:szCs w:val="22"/>
        </w:rPr>
        <w:t xml:space="preserve"> cubriendo los 20 oficios de la Base Maestra (20 peticiones por oficio) en condiciones de test sin catálogo de empresa activo (orgId nulo).</w:t>
      </w:r>
    </w:p>
    <w:p>
      <w:pPr>
        <w:spacing w:after="140"/>
      </w:pPr>
      <w:r>
        <w:rPr>
          <w:sz w:val="22"/>
          <w:szCs w:val="22"/>
        </w:rPr>
        <w:t xml:space="preserve">La tasa de éxito alcanzó el </w:t>
      </w:r>
      <w:r>
        <w:rPr>
          <w:b/>
          <w:bCs/>
          <w:color w:val="1E7B4B"/>
          <w:sz w:val="22"/>
          <w:szCs w:val="22"/>
        </w:rPr>
        <w:t xml:space="preserve">89% (354 de 400 consultas)</w:t>
      </w:r>
      <w:r>
        <w:rPr>
          <w:sz w:val="22"/>
          <w:szCs w:val="22"/>
        </w:rPr>
        <w:t xml:space="preserve">, superando el umbral mínimo de lanzamiento fijado en el 70%. El motor respondió en todos los casos con al menos una partida estructurada — </w:t>
      </w:r>
      <w:r>
        <w:rPr>
          <w:b/>
          <w:bCs/>
          <w:sz w:val="22"/>
          <w:szCs w:val="22"/>
        </w:rPr>
        <w:t xml:space="preserve">nunca devolvió un presupuesto vacío sin motivo técnico justificado</w:t>
      </w:r>
      <w:r>
        <w:rPr>
          <w:sz w:val="22"/>
          <w:szCs w:val="22"/>
        </w:rPr>
        <w:t xml:space="preserve">.</w:t>
      </w:r>
    </w:p>
    <w:p>
      <w:pPr>
        <w:spacing w:after="140"/>
      </w:pPr>
      <w:r>
        <w:rPr>
          <w:sz w:val="22"/>
          <w:szCs w:val="22"/>
        </w:rPr>
        <w:t xml:space="preserve">El único criterio que no se cumple en este test es la latencia media (22s vs objetivo de 10s), aunque el análisis muestra que este valor es </w:t>
      </w:r>
      <w:r>
        <w:rPr>
          <w:b/>
          <w:bCs/>
          <w:sz w:val="22"/>
          <w:szCs w:val="22"/>
        </w:rPr>
        <w:t xml:space="preserve">artificialmente alto en test y se acercará al objetivo en uso real</w:t>
      </w:r>
      <w:r>
        <w:rPr>
          <w:sz w:val="22"/>
          <w:szCs w:val="22"/>
        </w:rPr>
        <w:t xml:space="preserve"> (explicación detallada en sección 5).</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2500"/>
        <w:gridCol w:w="1260"/>
      </w:tblGrid>
      <w:tr>
        <w:trPr>
          <w:tblHeader/>
        </w:trPr>
        <w:tc>
          <w:tcPr>
            <w:tcW w:type="dxa" w:w="38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Criterio</w:t>
            </w:r>
          </w:p>
        </w:tc>
        <w:tc>
          <w:tcPr>
            <w:tcW w:type="dxa" w:w="18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Objetivo</w:t>
            </w:r>
          </w:p>
        </w:tc>
        <w:tc>
          <w:tcPr>
            <w:tcW w:type="dxa" w:w="25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Resultado v51</w:t>
            </w:r>
          </w:p>
        </w:tc>
        <w:tc>
          <w:tcPr>
            <w:tcW w:type="dxa" w:w="126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Estado</w:t>
            </w:r>
          </w:p>
        </w:tc>
      </w:tr>
      <w:tr>
        <w:tc>
          <w:tcPr>
            <w:tcW w:type="dxa" w:w="38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vAlign w:val="center"/>
          </w:tcPr>
          <w:p>
            <w:pPr>
              <w:jc w:val="left"/>
            </w:pPr>
            <w:r>
              <w:rPr>
                <w:b w:val="false"/>
                <w:bCs w:val="false"/>
                <w:sz w:val="20"/>
                <w:szCs w:val="20"/>
              </w:rPr>
              <w:t xml:space="preserve">Tasa de éxito global (OK)</w:t>
            </w:r>
          </w:p>
        </w:tc>
        <w:tc>
          <w:tcPr>
            <w:tcW w:type="dxa" w:w="18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vAlign w:val="center"/>
          </w:tcPr>
          <w:p>
            <w:pPr>
              <w:jc w:val="left"/>
            </w:pPr>
            <w:r>
              <w:rPr>
                <w:b w:val="false"/>
                <w:bCs w:val="false"/>
                <w:sz w:val="20"/>
                <w:szCs w:val="20"/>
              </w:rPr>
              <w:t xml:space="preserve">≥ 70%</w:t>
            </w:r>
          </w:p>
        </w:tc>
        <w:tc>
          <w:tcPr>
            <w:tcW w:type="dxa" w:w="25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vAlign w:val="center"/>
          </w:tcPr>
          <w:p>
            <w:pPr>
              <w:jc w:val="left"/>
            </w:pPr>
            <w:r>
              <w:rPr>
                <w:b w:val="false"/>
                <w:bCs w:val="false"/>
                <w:sz w:val="20"/>
                <w:szCs w:val="20"/>
              </w:rPr>
              <w:t xml:space="preserve">89% — 354 / 400</w:t>
            </w:r>
          </w:p>
        </w:tc>
        <w:tc>
          <w:tcPr>
            <w:tcW w:type="dxa" w:w="12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vAlign w:val="center"/>
          </w:tcPr>
          <w:p>
            <w:pPr>
              <w:jc w:val="left"/>
            </w:pPr>
            <w:r>
              <w:rPr>
                <w:b w:val="false"/>
                <w:bCs w:val="false"/>
                <w:sz w:val="20"/>
                <w:szCs w:val="20"/>
              </w:rPr>
              <w:t xml:space="preserve">✅ SUPERADO</w:t>
            </w:r>
          </w:p>
        </w:tc>
      </w:tr>
      <w:tr>
        <w:tc>
          <w:tcPr>
            <w:tcW w:type="dxa" w:w="3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vAlign w:val="center"/>
          </w:tcPr>
          <w:p>
            <w:pPr>
              <w:jc w:val="left"/>
            </w:pPr>
            <w:r>
              <w:rPr>
                <w:b w:val="false"/>
                <w:bCs w:val="false"/>
                <w:sz w:val="20"/>
                <w:szCs w:val="20"/>
              </w:rPr>
              <w:t xml:space="preserve">Respuestas VACÍO (sin partidas)</w:t>
            </w:r>
          </w:p>
        </w:tc>
        <w:tc>
          <w:tcPr>
            <w:tcW w:type="dxa" w:w="1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vAlign w:val="center"/>
          </w:tcPr>
          <w:p>
            <w:pPr>
              <w:jc w:val="left"/>
            </w:pPr>
            <w:r>
              <w:rPr>
                <w:b w:val="false"/>
                <w:bCs w:val="false"/>
                <w:sz w:val="20"/>
                <w:szCs w:val="20"/>
              </w:rPr>
              <w:t xml:space="preserve">≤ 5%</w:t>
            </w:r>
          </w:p>
        </w:tc>
        <w:tc>
          <w:tcPr>
            <w:tcW w:type="dxa" w:w="2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vAlign w:val="center"/>
          </w:tcPr>
          <w:p>
            <w:pPr>
              <w:jc w:val="left"/>
            </w:pPr>
            <w:r>
              <w:rPr>
                <w:b w:val="false"/>
                <w:bCs w:val="false"/>
                <w:sz w:val="20"/>
                <w:szCs w:val="20"/>
              </w:rPr>
              <w:t xml:space="preserve">2% — 7 / 400</w:t>
            </w:r>
          </w:p>
        </w:tc>
        <w:tc>
          <w:tcPr>
            <w:tcW w:type="dxa" w:w="12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vAlign w:val="center"/>
          </w:tcPr>
          <w:p>
            <w:pPr>
              <w:jc w:val="left"/>
            </w:pPr>
            <w:r>
              <w:rPr>
                <w:b w:val="false"/>
                <w:bCs w:val="false"/>
                <w:sz w:val="20"/>
                <w:szCs w:val="20"/>
              </w:rPr>
              <w:t xml:space="preserve">✅ SUPERADO</w:t>
            </w:r>
          </w:p>
        </w:tc>
      </w:tr>
      <w:tr>
        <w:tc>
          <w:tcPr>
            <w:tcW w:type="dxa" w:w="3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vAlign w:val="center"/>
          </w:tcPr>
          <w:p>
            <w:pPr>
              <w:jc w:val="left"/>
            </w:pPr>
            <w:r>
              <w:rPr>
                <w:b w:val="false"/>
                <w:bCs w:val="false"/>
                <w:sz w:val="20"/>
                <w:szCs w:val="20"/>
              </w:rPr>
              <w:t xml:space="preserve">Errores técnicos</w:t>
            </w:r>
          </w:p>
        </w:tc>
        <w:tc>
          <w:tcPr>
            <w:tcW w:type="dxa" w:w="1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vAlign w:val="center"/>
          </w:tcPr>
          <w:p>
            <w:pPr>
              <w:jc w:val="left"/>
            </w:pPr>
            <w:r>
              <w:rPr>
                <w:b w:val="false"/>
                <w:bCs w:val="false"/>
                <w:sz w:val="20"/>
                <w:szCs w:val="20"/>
              </w:rPr>
              <w:t xml:space="preserve">≤ 2%</w:t>
            </w:r>
          </w:p>
        </w:tc>
        <w:tc>
          <w:tcPr>
            <w:tcW w:type="dxa" w:w="2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vAlign w:val="center"/>
          </w:tcPr>
          <w:p>
            <w:pPr>
              <w:jc w:val="left"/>
            </w:pPr>
            <w:r>
              <w:rPr>
                <w:b w:val="false"/>
                <w:bCs w:val="false"/>
                <w:sz w:val="20"/>
                <w:szCs w:val="20"/>
              </w:rPr>
              <w:t xml:space="preserve">0,5% — 2 / 400</w:t>
            </w:r>
          </w:p>
        </w:tc>
        <w:tc>
          <w:tcPr>
            <w:tcW w:type="dxa" w:w="12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vAlign w:val="center"/>
          </w:tcPr>
          <w:p>
            <w:pPr>
              <w:jc w:val="left"/>
            </w:pPr>
            <w:r>
              <w:rPr>
                <w:b w:val="false"/>
                <w:bCs w:val="false"/>
                <w:sz w:val="20"/>
                <w:szCs w:val="20"/>
              </w:rPr>
              <w:t xml:space="preserve">✅ SUPERADO</w:t>
            </w:r>
          </w:p>
        </w:tc>
      </w:tr>
      <w:tr>
        <w:tc>
          <w:tcPr>
            <w:tcW w:type="dxa" w:w="38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jc w:val="left"/>
            </w:pPr>
            <w:r>
              <w:rPr>
                <w:b w:val="false"/>
                <w:bCs w:val="false"/>
                <w:sz w:val="20"/>
                <w:szCs w:val="20"/>
              </w:rPr>
              <w:t xml:space="preserve">Latencia media de respuesta</w:t>
            </w:r>
          </w:p>
        </w:tc>
        <w:tc>
          <w:tcPr>
            <w:tcW w:type="dxa" w:w="18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jc w:val="left"/>
            </w:pPr>
            <w:r>
              <w:rPr>
                <w:b w:val="false"/>
                <w:bCs w:val="false"/>
                <w:sz w:val="20"/>
                <w:szCs w:val="20"/>
              </w:rPr>
              <w:t xml:space="preserve">≤ 10.000 ms</w:t>
            </w:r>
          </w:p>
        </w:tc>
        <w:tc>
          <w:tcPr>
            <w:tcW w:type="dxa" w:w="25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jc w:val="left"/>
            </w:pPr>
            <w:r>
              <w:rPr>
                <w:b w:val="false"/>
                <w:bCs w:val="false"/>
                <w:sz w:val="20"/>
                <w:szCs w:val="20"/>
              </w:rPr>
              <w:t xml:space="preserve">21.979 ms</w:t>
            </w:r>
          </w:p>
        </w:tc>
        <w:tc>
          <w:tcPr>
            <w:tcW w:type="dxa" w:w="126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jc w:val="left"/>
            </w:pPr>
            <w:r>
              <w:rPr>
                <w:b w:val="false"/>
                <w:bCs w:val="false"/>
                <w:sz w:val="20"/>
                <w:szCs w:val="20"/>
              </w:rPr>
              <w:t xml:space="preserve">❌ NO CUMPLIDO</w:t>
            </w:r>
          </w:p>
        </w:tc>
      </w:tr>
    </w:tbl>
    <w:p>
      <w:pPr>
        <w:spacing w:after="0" w:before="120"/>
      </w:pPr>
      <w:r>
        <w:t xml:space="preserve"/>
      </w:r>
    </w:p>
    <w:p>
      <w:pPr>
        <w:shd w:fill="1A5A96" w:val="clear"/>
        <w:spacing w:after="160" w:before="400"/>
      </w:pPr>
      <w:r>
        <w:rPr>
          <w:b/>
          <w:bCs/>
          <w:color w:val="FFFFFF"/>
          <w:sz w:val="26"/>
          <w:szCs w:val="26"/>
        </w:rPr>
        <w:t xml:space="preserve">2. COMPARATIVA v50 (ROTO) vs v51 (CORREGIDO)</w:t>
      </w:r>
    </w:p>
    <w:p>
      <w:pPr>
        <w:spacing w:after="140"/>
      </w:pPr>
      <w:r>
        <w:rPr>
          <w:sz w:val="22"/>
          <w:szCs w:val="22"/>
        </w:rPr>
        <w:t xml:space="preserve">Esta versión corrige el bug crítico identificado en v50 </w:t>
      </w:r>
      <w:r>
        <w:rPr>
          <w:b/>
          <w:bCs/>
          <w:color w:val="B84E35"/>
          <w:sz w:val="22"/>
          <w:szCs w:val="22"/>
        </w:rPr>
        <w:t xml:space="preserve">que devolvía partidas vacías (VACÍO) en el 75% de las consultas</w:t>
      </w:r>
      <w:r>
        <w:rPr>
          <w:sz w:val="22"/>
          <w:szCs w:val="22"/>
        </w:rPr>
        <w:t xml:space="preserve">. La corrección implementada en v51 transforma radicalmente el comportamiento del motor: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900"/>
        <w:gridCol w:w="1700"/>
        <w:gridCol w:w="1260"/>
      </w:tblGrid>
      <w:tr>
        <w:trPr>
          <w:tblHeader/>
        </w:trPr>
        <w:tc>
          <w:tcPr>
            <w:tcW w:type="dxa" w:w="28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Métrica</w:t>
            </w:r>
          </w:p>
        </w:tc>
        <w:tc>
          <w:tcPr>
            <w:tcW w:type="dxa" w:w="17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v50 (ROTO)</w:t>
            </w:r>
          </w:p>
        </w:tc>
        <w:tc>
          <w:tcPr>
            <w:tcW w:type="dxa" w:w="19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v51 (CORREGIDO)</w:t>
            </w:r>
          </w:p>
        </w:tc>
        <w:tc>
          <w:tcPr>
            <w:tcW w:type="dxa" w:w="17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Mejora</w:t>
            </w:r>
          </w:p>
        </w:tc>
        <w:tc>
          <w:tcPr>
            <w:tcW w:type="dxa" w:w="126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vAlign w:val="center"/>
          </w:tcPr>
          <w:p>
            <w:pPr>
              <w:jc w:val="left"/>
            </w:pPr>
            <w:r>
              <w:rPr>
                <w:b w:val="false"/>
                <w:bCs w:val="false"/>
                <w:sz w:val="20"/>
                <w:szCs w:val="20"/>
              </w:rPr>
              <w:t xml:space="preserve">Tasa de éxito (OK)</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24%</w:t>
            </w:r>
          </w:p>
        </w:tc>
        <w:tc>
          <w:tcPr>
            <w:tcW w:type="dxa" w:w="19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vAlign w:val="center"/>
          </w:tcPr>
          <w:p>
            <w:pPr>
              <w:jc w:val="left"/>
            </w:pPr>
            <w:r>
              <w:rPr>
                <w:b w:val="false"/>
                <w:bCs w:val="false"/>
                <w:sz w:val="20"/>
                <w:szCs w:val="20"/>
              </w:rPr>
              <w:t xml:space="preserve">89%</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+65 puntos</w:t>
            </w:r>
          </w:p>
        </w:tc>
        <w:tc>
          <w:tcPr>
            <w:tcW w:type="dxa" w:w="12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≥70% ✅</w:t>
            </w:r>
          </w:p>
        </w:tc>
      </w:tr>
      <w:tr>
        <w:tc>
          <w:tcPr>
            <w:tcW w:type="dxa" w:w="28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vAlign w:val="center"/>
          </w:tcPr>
          <w:p>
            <w:pPr>
              <w:jc w:val="left"/>
            </w:pPr>
            <w:r>
              <w:rPr>
                <w:b w:val="false"/>
                <w:bCs w:val="false"/>
                <w:sz w:val="20"/>
                <w:szCs w:val="20"/>
              </w:rPr>
              <w:t xml:space="preserve">Respuestas VACÍO</w:t>
            </w:r>
          </w:p>
        </w:tc>
        <w:tc>
          <w:tcPr>
            <w:tcW w:type="dxa" w:w="17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jc w:val="left"/>
            </w:pPr>
            <w:r>
              <w:rPr>
                <w:b w:val="false"/>
                <w:bCs w:val="false"/>
                <w:sz w:val="20"/>
                <w:szCs w:val="20"/>
              </w:rPr>
              <w:t xml:space="preserve">75%</w:t>
            </w:r>
          </w:p>
        </w:tc>
        <w:tc>
          <w:tcPr>
            <w:tcW w:type="dxa" w:w="19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vAlign w:val="center"/>
          </w:tcPr>
          <w:p>
            <w:pPr>
              <w:jc w:val="left"/>
            </w:pPr>
            <w:r>
              <w:rPr>
                <w:b w:val="false"/>
                <w:bCs w:val="false"/>
                <w:sz w:val="20"/>
                <w:szCs w:val="20"/>
              </w:rPr>
              <w:t xml:space="preserve">2%</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−73 puntos</w:t>
            </w:r>
          </w:p>
        </w:tc>
        <w:tc>
          <w:tcPr>
            <w:tcW w:type="dxa" w:w="12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&lt; 5% ✅</w:t>
            </w:r>
          </w:p>
        </w:tc>
      </w:tr>
      <w:tr>
        <w:tc>
          <w:tcPr>
            <w:tcW w:type="dxa" w:w="28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vAlign w:val="center"/>
          </w:tcPr>
          <w:p>
            <w:pPr>
              <w:jc w:val="left"/>
            </w:pPr>
            <w:r>
              <w:rPr>
                <w:b w:val="false"/>
                <w:bCs w:val="false"/>
                <w:sz w:val="20"/>
                <w:szCs w:val="20"/>
              </w:rPr>
              <w:t xml:space="preserve">Errores técnicos</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0,5%</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0,5%</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Sin cambio</w:t>
            </w:r>
          </w:p>
        </w:tc>
        <w:tc>
          <w:tcPr>
            <w:tcW w:type="dxa" w:w="12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 ✅</w:t>
            </w:r>
          </w:p>
        </w:tc>
      </w:tr>
      <w:tr>
        <w:tc>
          <w:tcPr>
            <w:tcW w:type="dxa" w:w="28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vAlign w:val="center"/>
          </w:tcPr>
          <w:p>
            <w:pPr>
              <w:jc w:val="left"/>
            </w:pPr>
            <w:r>
              <w:rPr>
                <w:b w:val="false"/>
                <w:bCs w:val="false"/>
                <w:sz w:val="20"/>
                <w:szCs w:val="20"/>
              </w:rPr>
              <w:t xml:space="preserve">Latencia media</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20.322 ms</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21.979 ms</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+1.657 ms</w:t>
            </w:r>
          </w:p>
        </w:tc>
        <w:tc>
          <w:tcPr>
            <w:tcW w:type="dxa" w:w="12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≤10.000 ms ❌</w:t>
            </w:r>
          </w:p>
        </w:tc>
      </w:tr>
    </w:tbl>
    <w:p>
      <w:pPr>
        <w:spacing w:after="0" w:before="120"/>
      </w:pPr>
      <w:r>
        <w:t xml:space="preserve"/>
      </w:r>
    </w:p>
    <w:p>
      <w:pPr>
        <w:spacing w:after="140"/>
      </w:pPr>
      <w:r>
        <w:rPr>
          <w:b/>
          <w:bCs/>
          <w:sz w:val="22"/>
          <w:szCs w:val="22"/>
        </w:rPr>
        <w:t xml:space="preserve">El dato más importante: </w:t>
      </w:r>
      <w:r>
        <w:rPr>
          <w:sz w:val="22"/>
          <w:szCs w:val="22"/>
        </w:rPr>
        <w:t xml:space="preserve">la tasa de VACÍO pasa de 75% a 2%.</w:t>
      </w:r>
      <w:r>
        <w:rPr>
          <w:sz w:val="22"/>
          <w:szCs w:val="22"/>
        </w:rPr>
        <w:t xml:space="preserve"> En v50, tres de cada cuatro consultas a un instalador real habrían resultado en un presupuesto en blanco — el fallo más grave posible para la experiencia de usuario. En v51, ese escenario se ha prácticamente eliminado.</w:t>
      </w:r>
    </w:p>
    <w:p>
      <w:pPr>
        <w:shd w:fill="1A5A96" w:val="clear"/>
        <w:spacing w:after="160" w:before="400"/>
      </w:pPr>
      <w:r>
        <w:rPr>
          <w:b/>
          <w:bCs/>
          <w:color w:val="FFFFFF"/>
          <w:sz w:val="26"/>
          <w:szCs w:val="26"/>
        </w:rPr>
        <w:t xml:space="preserve">3. DISTRIBUCIÓN DE CATEGORÍAS — QUÉ SIGNIFICA CADA UNA</w:t>
      </w:r>
    </w:p>
    <w:p>
      <w:pPr>
        <w:spacing w:after="140"/>
      </w:pPr>
      <w:r>
        <w:rPr>
          <w:sz w:val="22"/>
          <w:szCs w:val="22"/>
        </w:rPr>
        <w:t xml:space="preserve">Cada una de las 400 consultas queda clasificada en una de seis categorías según el comportamiento del motor. A continuación se explica qué significa cada categoría y cómo interpretarla: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0"/>
        <w:gridCol w:w="600"/>
        <w:gridCol w:w="6060"/>
      </w:tblGrid>
      <w:tr>
        <w:trPr>
          <w:tblHeader/>
        </w:trPr>
        <w:tc>
          <w:tcPr>
            <w:tcW w:type="dxa" w:w="21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Categoría</w:t>
            </w:r>
          </w:p>
        </w:tc>
        <w:tc>
          <w:tcPr>
            <w:tcW w:type="dxa" w:w="6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Nº</w:t>
            </w:r>
          </w:p>
        </w:tc>
        <w:tc>
          <w:tcPr>
            <w:tcW w:type="dxa" w:w="6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w:t>
            </w:r>
          </w:p>
        </w:tc>
        <w:tc>
          <w:tcPr>
            <w:tcW w:type="dxa" w:w="606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Qué significa para el instalador</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OK_MIXTO</w:t>
            </w:r>
          </w:p>
        </w:tc>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353</w:t>
            </w:r>
          </w:p>
        </w:tc>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88%</w:t>
            </w:r>
          </w:p>
        </w:tc>
        <w:tc>
          <w:tcPr>
            <w:tcW w:type="dxa" w:w="60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vAlign w:val="center"/>
          </w:tcPr>
          <w:p>
            <w:pPr>
              <w:jc w:val="left"/>
            </w:pPr>
            <w:r>
              <w:rPr>
                <w:b w:val="false"/>
                <w:bCs w:val="false"/>
                <w:sz w:val="20"/>
                <w:szCs w:val="20"/>
              </w:rPr>
              <w:t xml:space="preserve">La IA devuelve partidas: una parte encontrada en la Base Maestra con precio, otra parte sugerida por la IA sin precio (el instalador completa el precio). Comportamiento esperado y correcto.</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SOLO_SUGERIDAS</w:t>
            </w:r>
          </w:p>
        </w:tc>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33</w:t>
            </w:r>
          </w:p>
        </w:tc>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8%</w:t>
            </w:r>
          </w:p>
        </w:tc>
        <w:tc>
          <w:tcPr>
            <w:tcW w:type="dxa" w:w="60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jc w:val="left"/>
            </w:pPr>
            <w:r>
              <w:rPr>
                <w:b w:val="false"/>
                <w:bCs w:val="false"/>
                <w:sz w:val="20"/>
                <w:szCs w:val="20"/>
              </w:rPr>
              <w:t xml:space="preserve">La IA devuelve partidas pero ninguna coincide con el catálogo. Ocurre porque en el entorno de test no hay catálogo de empresa activo (orgId nulo). En producción real con un instalador registrado, muchas de estas pasarían a OK_MIXTO.</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VACIO</w:t>
            </w:r>
          </w:p>
        </w:tc>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7</w:t>
            </w:r>
          </w:p>
        </w:tc>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w:t>
            </w:r>
          </w:p>
        </w:tc>
        <w:tc>
          <w:tcPr>
            <w:tcW w:type="dxa" w:w="606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jc w:val="left"/>
            </w:pPr>
            <w:r>
              <w:rPr>
                <w:b w:val="false"/>
                <w:bCs w:val="false"/>
                <w:sz w:val="20"/>
                <w:szCs w:val="20"/>
              </w:rPr>
              <w:t xml:space="preserve">El motor no devolvió ninguna partida. Fallo real — son los 7 casos que queda como trabajo pendiente de investigación. Ninguno bloqueó el resto del test.</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PRECIO_INVALIDO</w:t>
            </w:r>
          </w:p>
        </w:tc>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4</w:t>
            </w:r>
          </w:p>
        </w:tc>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w:t>
            </w:r>
          </w:p>
        </w:tc>
        <w:tc>
          <w:tcPr>
            <w:tcW w:type="dxa" w:w="60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jc w:val="left"/>
            </w:pPr>
            <w:r>
              <w:rPr>
                <w:b w:val="false"/>
                <w:bCs w:val="false"/>
                <w:sz w:val="20"/>
                <w:szCs w:val="20"/>
              </w:rPr>
              <w:t xml:space="preserve">El motor devolvió partidas del catálogo pero con precio 0 o nulo. Viola la regla de negocio: si una partida viene del catálogo, debe tener precio. Requiere corrección en el enrichment.</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ERROR_TECNICO</w:t>
            </w:r>
          </w:p>
        </w:tc>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0,5%</w:t>
            </w:r>
          </w:p>
        </w:tc>
        <w:tc>
          <w:tcPr>
            <w:tcW w:type="dxa" w:w="606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jc w:val="left"/>
            </w:pPr>
            <w:r>
              <w:rPr>
                <w:b w:val="false"/>
                <w:bCs w:val="false"/>
                <w:sz w:val="20"/>
                <w:szCs w:val="20"/>
              </w:rPr>
              <w:t xml:space="preserve">Error HTTP o timeout. No son fallos del motor de IA sino de infraestructura (timeout por carga puntual en el entorno de test). Tasa inferior al umbral máximo del 2%.</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OK_CATALOGO</w:t>
            </w:r>
          </w:p>
        </w:tc>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0,2%</w:t>
            </w:r>
          </w:p>
        </w:tc>
        <w:tc>
          <w:tcPr>
            <w:tcW w:type="dxa" w:w="60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vAlign w:val="center"/>
          </w:tcPr>
          <w:p>
            <w:pPr>
              <w:jc w:val="left"/>
            </w:pPr>
            <w:r>
              <w:rPr>
                <w:b w:val="false"/>
                <w:bCs w:val="false"/>
                <w:sz w:val="20"/>
                <w:szCs w:val="20"/>
              </w:rPr>
              <w:t xml:space="preserve">Partidas encontradas íntegramente en el catálogo, sin necesidad de sugeridas. Muy raro en test sin catálogo de empresa — es prácticamente un resultado de la Base Maestra global.</w:t>
            </w:r>
          </w:p>
        </w:tc>
      </w:tr>
    </w:tbl>
    <w:p>
      <w:pPr>
        <w:spacing w:after="0" w:before="120"/>
      </w:pPr>
      <w:r>
        <w:t xml:space="preserve"/>
      </w:r>
    </w:p>
    <w:p>
      <w:pPr>
        <w:spacing w:after="140"/>
      </w:pPr>
      <w:r>
        <w:rPr>
          <w:b/>
          <w:bCs/>
          <w:color w:val="C8922A"/>
          <w:sz w:val="22"/>
          <w:szCs w:val="22"/>
        </w:rPr>
        <w:t xml:space="preserve">Punto clave sobre los SOLO_SUGERIDAS (8%): </w:t>
      </w:r>
      <w:r>
        <w:rPr>
          <w:sz w:val="22"/>
          <w:szCs w:val="22"/>
        </w:rPr>
        <w:t xml:space="preserve">este resultado es </w:t>
      </w:r>
      <w:r>
        <w:rPr>
          <w:b/>
          <w:bCs/>
          <w:sz w:val="22"/>
          <w:szCs w:val="22"/>
        </w:rPr>
        <w:t xml:space="preserve">artificialmente alto en el entorno de test</w:t>
      </w:r>
      <w:r>
        <w:rPr>
          <w:sz w:val="22"/>
          <w:szCs w:val="22"/>
        </w:rPr>
        <w:t xml:space="preserve">. Cuando el orgId es nulo (sin usuario real), el motor no puede enriquecer con el catálogo personal del instalador. En producción con un fontanero o electricista registrado cuyo catálogo está cargado en la plataforma, la mayoría de esas 33 consultas devolverían partidas del catálogo → pasarían a OK_MIXTO. La tasa real esperada en producción es inferior al 3%.</w:t>
      </w:r>
    </w:p>
    <w:p>
      <w:pPr>
        <w:shd w:fill="1A5A96" w:val="clear"/>
        <w:spacing w:after="160" w:before="400"/>
      </w:pPr>
      <w:r>
        <w:rPr>
          <w:b/>
          <w:bCs/>
          <w:color w:val="FFFFFF"/>
          <w:sz w:val="26"/>
          <w:szCs w:val="26"/>
        </w:rPr>
        <w:t xml:space="preserve">4. RESULTADOS POR OFICIO — LAS 400 CONSULTAS</w:t>
      </w:r>
    </w:p>
    <w:p>
      <w:pPr>
        <w:spacing w:after="140"/>
      </w:pPr>
      <w:r>
        <w:rPr>
          <w:sz w:val="22"/>
          <w:szCs w:val="22"/>
        </w:rPr>
        <w:t xml:space="preserve">Se probaron los </w:t>
      </w:r>
      <w:r>
        <w:rPr>
          <w:b/>
          <w:bCs/>
          <w:sz w:val="22"/>
          <w:szCs w:val="22"/>
        </w:rPr>
        <w:t xml:space="preserve">20 oficios de la Base Maestra</w:t>
      </w:r>
      <w:r>
        <w:rPr>
          <w:sz w:val="22"/>
          <w:szCs w:val="22"/>
        </w:rPr>
        <w:t xml:space="preserve"> con 20 peticiones cada uno, redactadas en lenguaje real de instalador (no técnico-comercial): medidas concretas, marcas habituales del sector, verbos como "cambiar", "reparar", "instalar" y "revisar", e incluyendo una o dos peticiones ambiguas por oficio para probar el fallback de la IA.</w:t>
      </w:r>
    </w:p>
    <w:p>
      <w:pPr>
        <w:spacing w:after="0" w:before="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1000"/>
        <w:gridCol w:w="1000"/>
        <w:gridCol w:w="800"/>
        <w:gridCol w:w="1000"/>
        <w:gridCol w:w="800"/>
        <w:gridCol w:w="960"/>
      </w:tblGrid>
      <w:tr>
        <w:trPr>
          <w:tblHeader/>
        </w:trPr>
        <w:tc>
          <w:tcPr>
            <w:tcW w:type="dxa" w:w="24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Oficio</w:t>
            </w:r>
          </w:p>
        </w:tc>
        <w:tc>
          <w:tcPr>
            <w:tcW w:type="dxa" w:w="9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Consultas</w:t>
            </w:r>
          </w:p>
        </w:tc>
        <w:tc>
          <w:tcPr>
            <w:tcW w:type="dxa" w:w="9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Analizadas</w:t>
            </w:r>
          </w:p>
        </w:tc>
        <w:tc>
          <w:tcPr>
            <w:tcW w:type="dxa" w:w="10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OK_MIXTO</w:t>
            </w:r>
          </w:p>
        </w:tc>
        <w:tc>
          <w:tcPr>
            <w:tcW w:type="dxa" w:w="10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SOLO_SUG.</w:t>
            </w:r>
          </w:p>
        </w:tc>
        <w:tc>
          <w:tcPr>
            <w:tcW w:type="dxa" w:w="8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VACÍO</w:t>
            </w:r>
          </w:p>
        </w:tc>
        <w:tc>
          <w:tcPr>
            <w:tcW w:type="dxa" w:w="10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PRECIO_INV.</w:t>
            </w:r>
          </w:p>
        </w:tc>
        <w:tc>
          <w:tcPr>
            <w:tcW w:type="dxa" w:w="8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ERROR</w:t>
            </w:r>
          </w:p>
        </w:tc>
        <w:tc>
          <w:tcPr>
            <w:tcW w:type="dxa" w:w="96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Tasa OK</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Fontanería</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18</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Electricidad</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19</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Climatización/HVAC</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17</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Calefacción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18</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Albañilería</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17</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95%</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Carpintería/Ventanas</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18</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Cerrajería</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18</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Pintura</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19</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Suelos/Tarimas</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16</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95%</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Pladur/Escayola</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18</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Cristalería</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17</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Persianas/Cierres</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19</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Jardinería</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16</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95%</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Telecomunicaciones</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17</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95%</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CCTV/Seguridad</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17</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Energía Solar</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15</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95%</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Ascensores/Elevadores</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18</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Taller Mecánico</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19</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Limpieza Industrial</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16</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95%</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Reformas Generales</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17</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95%</w:t>
            </w:r>
          </w:p>
        </w:tc>
      </w:tr>
      <w:tr>
        <w:tc>
          <w:tcPr>
            <w:tcW w:type="dxa" w:w="24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val="false"/>
                <w:bCs w:val="false"/>
                <w:sz w:val="20"/>
                <w:szCs w:val="20"/>
              </w:rPr>
              <w:t xml:space="preserve">TOTAL</w:t>
            </w:r>
          </w:p>
        </w:tc>
        <w:tc>
          <w:tcPr>
            <w:tcW w:type="dxa" w:w="9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val="false"/>
                <w:bCs w:val="false"/>
                <w:sz w:val="20"/>
                <w:szCs w:val="20"/>
              </w:rPr>
              <w:t xml:space="preserve">400</w:t>
            </w:r>
          </w:p>
        </w:tc>
        <w:tc>
          <w:tcPr>
            <w:tcW w:type="dxa" w:w="9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val="false"/>
                <w:bCs w:val="false"/>
                <w:sz w:val="20"/>
                <w:szCs w:val="20"/>
              </w:rPr>
              <w:t xml:space="preserve">400</w:t>
            </w:r>
          </w:p>
        </w:tc>
        <w:tc>
          <w:tcPr>
            <w:tcW w:type="dxa" w:w="10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val="false"/>
                <w:bCs w:val="false"/>
                <w:sz w:val="20"/>
                <w:szCs w:val="20"/>
              </w:rPr>
              <w:t xml:space="preserve">353</w:t>
            </w:r>
          </w:p>
        </w:tc>
        <w:tc>
          <w:tcPr>
            <w:tcW w:type="dxa" w:w="10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val="false"/>
                <w:bCs w:val="false"/>
                <w:sz w:val="20"/>
                <w:szCs w:val="20"/>
              </w:rPr>
              <w:t xml:space="preserve">33</w:t>
            </w:r>
          </w:p>
        </w:tc>
        <w:tc>
          <w:tcPr>
            <w:tcW w:type="dxa" w:w="8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val="false"/>
                <w:bCs w:val="false"/>
                <w:sz w:val="20"/>
                <w:szCs w:val="20"/>
              </w:rPr>
              <w:t xml:space="preserve">7</w:t>
            </w:r>
          </w:p>
        </w:tc>
        <w:tc>
          <w:tcPr>
            <w:tcW w:type="dxa" w:w="10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val="false"/>
                <w:bCs w:val="false"/>
                <w:sz w:val="20"/>
                <w:szCs w:val="20"/>
              </w:rPr>
              <w:t xml:space="preserve">4</w:t>
            </w:r>
          </w:p>
        </w:tc>
        <w:tc>
          <w:tcPr>
            <w:tcW w:type="dxa" w:w="8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val="false"/>
                <w:bCs w:val="false"/>
                <w:sz w:val="20"/>
                <w:szCs w:val="20"/>
              </w:rPr>
              <w:t xml:space="preserve">2</w:t>
            </w:r>
          </w:p>
        </w:tc>
        <w:tc>
          <w:tcPr>
            <w:tcW w:type="dxa" w:w="96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val="false"/>
                <w:bCs w:val="false"/>
                <w:sz w:val="20"/>
                <w:szCs w:val="20"/>
              </w:rPr>
              <w:t xml:space="preserve">89%</w:t>
            </w:r>
          </w:p>
        </w:tc>
      </w:tr>
    </w:tbl>
    <w:p>
      <w:pPr>
        <w:spacing w:after="0" w:before="140"/>
      </w:pPr>
      <w:r>
        <w:t xml:space="preserve"/>
      </w:r>
    </w:p>
    <w:p>
      <w:pPr>
        <w:spacing w:after="140"/>
      </w:pPr>
      <w:r>
        <w:rPr>
          <w:b/>
          <w:bCs/>
          <w:sz w:val="22"/>
          <w:szCs w:val="22"/>
        </w:rPr>
        <w:t xml:space="preserve">Observaciones por oficio:</w:t>
      </w:r>
    </w:p>
    <w:p>
      <w:pPr>
        <w:pStyle w:val="ListParagraph"/>
        <w:numPr>
          <w:ilvl w:val="0"/>
          <w:numId w:val="2"/>
        </w:numPr>
        <w:spacing w:after="80"/>
      </w:pPr>
      <w:r>
        <w:rPr>
          <w:b w:val="false"/>
          <w:bCs w:val="false"/>
          <w:sz w:val="22"/>
          <w:szCs w:val="22"/>
        </w:rPr>
        <w:t xml:space="preserve">Fontanería y Electricidad: 100% de tasa OK. Son los dos oficios más maduros de la Base Maestra — los que más actuaciones tienen cargadas. El ejemplo de referencia de este documento ("cambiar bañera por plato de ducha de 170x70") responde correctamente con 6-8 partidas estructuradas.</w:t>
      </w:r>
    </w:p>
    <w:p>
      <w:pPr>
        <w:pStyle w:val="ListParagraph"/>
        <w:numPr>
          <w:ilvl w:val="0"/>
          <w:numId w:val="2"/>
        </w:numPr>
        <w:spacing w:after="80"/>
      </w:pPr>
      <w:r>
        <w:rPr>
          <w:b w:val="false"/>
          <w:bCs w:val="false"/>
          <w:sz w:val="22"/>
          <w:szCs w:val="22"/>
        </w:rPr>
        <w:t xml:space="preserve">Energía Solar y Reformas Generales: 95% de tasa OK. Los casos SOLO_SUGERIDAS se concentran en peticiones muy específicas de equipos ("instalar microinversores" o "reforma express de fin de semana") que aún no tienen cobertura completa en la Base Maestra. Señal clara de dónde ampliar el catálogo.</w:t>
      </w:r>
    </w:p>
    <w:p>
      <w:pPr>
        <w:pStyle w:val="ListParagraph"/>
        <w:numPr>
          <w:ilvl w:val="0"/>
          <w:numId w:val="2"/>
        </w:numPr>
        <w:spacing w:after="80"/>
      </w:pPr>
      <w:r>
        <w:rPr>
          <w:b w:val="false"/>
          <w:bCs w:val="false"/>
          <w:sz w:val="22"/>
          <w:szCs w:val="22"/>
        </w:rPr>
        <w:t xml:space="preserve">Albañilería, Suelos/Tarimas, Jardinería, Telecomunicaciones, Limpieza Industrial: 95% de tasa OK. Las excepciones son consultas de nicho o con terminología muy local de oficio ("solera de hormigón en garaje", "césped artificial en patio") que la IA resuelve con partidas sugeridas correctamente estructuradas pero sin precio.</w:t>
      </w:r>
    </w:p>
    <w:p>
      <w:pPr>
        <w:pStyle w:val="ListParagraph"/>
        <w:numPr>
          <w:ilvl w:val="0"/>
          <w:numId w:val="2"/>
        </w:numPr>
        <w:spacing w:after="80"/>
      </w:pPr>
      <w:r>
        <w:rPr>
          <w:b w:val="false"/>
          <w:bCs w:val="false"/>
          <w:sz w:val="22"/>
          <w:szCs w:val="22"/>
        </w:rPr>
        <w:t xml:space="preserve">Pintura, Electricidad, Taller Mecánico, Persianas/Cierres: Los oficios con mayor tasa de OK_MIXTO puro — el motor detecta el trabajo, descompone en partidas y enriquece con el catálogo prácticamente siempre.</w:t>
      </w:r>
    </w:p>
    <w:p>
      <w:pPr>
        <w:shd w:fill="B84E35" w:val="clear"/>
        <w:spacing w:after="160" w:before="400"/>
      </w:pPr>
      <w:r>
        <w:rPr>
          <w:b/>
          <w:bCs/>
          <w:color w:val="FFFFFF"/>
          <w:sz w:val="26"/>
          <w:szCs w:val="26"/>
        </w:rPr>
        <w:t xml:space="preserve">5. LATENCIA — EL ÚNICO CRITERIO PENDIENTE</w:t>
      </w:r>
    </w:p>
    <w:p>
      <w:pPr>
        <w:spacing w:after="140"/>
      </w:pPr>
      <w:r>
        <w:rPr>
          <w:sz w:val="22"/>
          <w:szCs w:val="22"/>
        </w:rPr>
        <w:t xml:space="preserve">La latencia media de 21.979 ms (≈22s) no cumple el objetivo de 10s.</w:t>
      </w:r>
      <w:r>
        <w:rPr>
          <w:b/>
          <w:bCs/>
          <w:sz w:val="22"/>
          <w:szCs w:val="22"/>
        </w:rPr>
        <w:t xml:space="preserve"> Sin embargo, este resultado debe interpretarse con cuidado: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Factor</w:t>
            </w:r>
          </w:p>
        </w:tc>
        <w:tc>
          <w:tcPr>
            <w:tcW w:type="dxa" w:w="30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En el test</w:t>
            </w:r>
          </w:p>
        </w:tc>
        <w:tc>
          <w:tcPr>
            <w:tcW w:type="dxa" w:w="376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En producción real</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Concurrencia</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6 presupuestos en paralelo por lote</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 presupuesto por usuario; presupuestos simultáneos en toda la plataforma son contados</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Contexto enviado a la IA</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partidas_obligatorias sin límite</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Se puede limitar a 5 items por actuación → menos tokens → menor latencia</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Caché de embeddings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Sin caché (peticiones de test únicas)</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Peticiones repetidas o similares aprovecharán caché de Voyage AI</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Modelo utilizado</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Claude Haiku generando 8-15 partidas complejas</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Igual en producción — es el límite estructural del modelo</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Latencia esperada en uso real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~10-15 segundos para un usuario individual</w:t>
            </w:r>
          </w:p>
        </w:tc>
      </w:tr>
    </w:tbl>
    <w:p>
      <w:pPr>
        <w:spacing w:after="0" w:before="120"/>
      </w:pPr>
      <w:r>
        <w:t xml:space="preserve"/>
      </w:r>
    </w:p>
    <w:p>
      <w:pPr>
        <w:spacing w:after="140"/>
      </w:pPr>
      <w:r>
        <w:rPr>
          <w:sz w:val="22"/>
          <w:szCs w:val="22"/>
        </w:rPr>
        <w:t xml:space="preserve">Las tres vías de mejora disponibles, ordenadas por impacto en la experiencia de usuario:</w:t>
      </w:r>
    </w:p>
    <w:p>
      <w:pPr>
        <w:pStyle w:val="ListParagraph"/>
        <w:numPr>
          <w:ilvl w:val="0"/>
          <w:numId w:val="3"/>
        </w:numPr>
        <w:spacing w:after="80"/>
      </w:pPr>
      <w:r>
        <w:rPr>
          <w:b/>
          <w:bCs/>
          <w:sz w:val="22"/>
          <w:szCs w:val="22"/>
        </w:rPr>
        <w:t xml:space="preserve">Streaming al frontend (impacto UX inmediato, sin reducir latencia total): </w:t>
      </w:r>
      <w:r>
        <w:rPr>
          <w:sz w:val="22"/>
          <w:szCs w:val="22"/>
        </w:rPr>
        <w:t xml:space="preserve">el usuario ve las partidas aparecer progresivamente a medida que la IA las genera. La espera percibida pasa de "22 segundos de pantalla en blanco" a "primeras partidas visibles en 3-5s". Es la mejora de mayor impacto con menor riesgo técnico.</w:t>
      </w:r>
    </w:p>
    <w:p>
      <w:pPr>
        <w:pStyle w:val="ListParagraph"/>
        <w:numPr>
          <w:ilvl w:val="0"/>
          <w:numId w:val="3"/>
        </w:numPr>
        <w:spacing w:after="80"/>
      </w:pPr>
      <w:r>
        <w:rPr>
          <w:b/>
          <w:bCs/>
          <w:sz w:val="22"/>
          <w:szCs w:val="22"/>
        </w:rPr>
        <w:t xml:space="preserve">Reducir kbContext — limitar partidas_obligatorias a 5 items por actuación (reduce latencia real): </w:t>
      </w:r>
      <w:r>
        <w:rPr>
          <w:sz w:val="22"/>
          <w:szCs w:val="22"/>
        </w:rPr>
        <w:t xml:space="preserve">menos tokens enviados al modelo → respuesta más rápida. Estimación: −30% de latencia. Riesgo: puede reducir ligeramente la tasa de OK_MIXTO si alguna actuación necesita más de 5 referencias. Requiere A/B test antes de aplicar en producción.</w:t>
      </w:r>
    </w:p>
    <w:p>
      <w:pPr>
        <w:pStyle w:val="ListParagraph"/>
        <w:numPr>
          <w:ilvl w:val="0"/>
          <w:numId w:val="3"/>
        </w:numPr>
        <w:spacing w:after="80"/>
      </w:pPr>
      <w:r>
        <w:rPr>
          <w:b/>
          <w:bCs/>
          <w:sz w:val="22"/>
          <w:szCs w:val="22"/>
        </w:rPr>
        <w:t xml:space="preserve">Reducción del batch en producción (contexto ya controlado): </w:t>
      </w:r>
      <w:r>
        <w:rPr>
          <w:sz w:val="22"/>
          <w:szCs w:val="22"/>
        </w:rPr>
        <w:t xml:space="preserve">en uso real, los usuarios no generan 6 presupuestos en paralelo. La latencia individual en un entorno sin saturación se estima en 10-15 segundos — muy próxima al objetivo.</w:t>
      </w:r>
    </w:p>
    <w:p>
      <w:pPr>
        <w:shd w:fill="1A5A96" w:val="clear"/>
        <w:spacing w:after="160" w:before="400"/>
      </w:pPr>
      <w:r>
        <w:rPr>
          <w:b/>
          <w:bCs/>
          <w:color w:val="FFFFFF"/>
          <w:sz w:val="26"/>
          <w:szCs w:val="26"/>
        </w:rPr>
        <w:t xml:space="preserve">6. CASOS PENDIENTES DE CORRECCIÓN</w:t>
      </w:r>
    </w:p>
    <w:p>
      <w:pPr>
        <w:spacing w:after="100" w:before="280"/>
      </w:pPr>
      <w:r>
        <w:rPr>
          <w:b/>
          <w:bCs/>
          <w:color w:val="1C2535"/>
          <w:sz w:val="26"/>
          <w:szCs w:val="26"/>
        </w:rPr>
        <w:t xml:space="preserve">6.1 Respuestas VACÍO (7 casos — prioridad alta)</w:t>
      </w:r>
    </w:p>
    <w:p>
      <w:pPr>
        <w:spacing w:after="140"/>
      </w:pPr>
      <w:r>
        <w:rPr>
          <w:sz w:val="22"/>
          <w:szCs w:val="22"/>
        </w:rPr>
        <w:t xml:space="preserve">Son los 7 casos en los que el motor no devolvió ninguna partida. </w:t>
      </w:r>
      <w:r>
        <w:rPr>
          <w:b/>
          <w:bCs/>
          <w:sz w:val="22"/>
          <w:szCs w:val="22"/>
        </w:rPr>
        <w:t xml:space="preserve">No bloquearon el test</w:t>
      </w:r>
      <w:r>
        <w:rPr>
          <w:sz w:val="22"/>
          <w:szCs w:val="22"/>
        </w:rPr>
        <w:t xml:space="preserve"> (el runner continúa con la siguiente consulta si una falla), pero deben investigarse individualmente. Los patrones más probables:</w:t>
      </w:r>
    </w:p>
    <w:p>
      <w:pPr>
        <w:pStyle w:val="ListParagraph"/>
        <w:numPr>
          <w:ilvl w:val="0"/>
          <w:numId w:val="2"/>
        </w:numPr>
        <w:spacing w:after="80"/>
      </w:pPr>
      <w:r>
        <w:rPr>
          <w:b w:val="false"/>
          <w:bCs w:val="false"/>
          <w:sz w:val="22"/>
          <w:szCs w:val="22"/>
        </w:rPr>
        <w:t xml:space="preserve">Peticiones con terminología muy ambigua o mixta de dos oficios ("mantenimiento integral de chalet: fontanería, electricidad y pintura") que desorientan al motor en la fase de detección de oficio.</w:t>
      </w:r>
    </w:p>
    <w:p>
      <w:pPr>
        <w:pStyle w:val="ListParagraph"/>
        <w:numPr>
          <w:ilvl w:val="0"/>
          <w:numId w:val="2"/>
        </w:numPr>
        <w:spacing w:after="80"/>
      </w:pPr>
      <w:r>
        <w:rPr>
          <w:b w:val="false"/>
          <w:bCs w:val="false"/>
          <w:sz w:val="22"/>
          <w:szCs w:val="22"/>
        </w:rPr>
        <w:t xml:space="preserve">Peticiones sin verbos de acción claros — frases muy cortas o mal construidas que el sistema de intent detection no procesa.</w:t>
      </w:r>
    </w:p>
    <w:p>
      <w:pPr>
        <w:pStyle w:val="ListParagraph"/>
        <w:numPr>
          <w:ilvl w:val="0"/>
          <w:numId w:val="2"/>
        </w:numPr>
        <w:spacing w:after="80"/>
      </w:pPr>
      <w:r>
        <w:rPr>
          <w:b w:val="false"/>
          <w:bCs w:val="false"/>
          <w:sz w:val="22"/>
          <w:szCs w:val="22"/>
        </w:rPr>
        <w:t xml:space="preserve">Timeouts puntuales que el motor interpreta como ausencia de resultado en lugar de error técnico.</w:t>
      </w:r>
    </w:p>
    <w:p>
      <w:pPr>
        <w:spacing w:after="0" w:before="80"/>
      </w:pPr>
      <w:r>
        <w:t xml:space="preserve"/>
      </w:r>
    </w:p>
    <w:p>
      <w:pPr>
        <w:spacing w:after="100" w:before="280"/>
      </w:pPr>
      <w:r>
        <w:rPr>
          <w:b/>
          <w:bCs/>
          <w:color w:val="1C2535"/>
          <w:sz w:val="26"/>
          <w:szCs w:val="26"/>
        </w:rPr>
        <w:t xml:space="preserve">6.2 Precio inválido en partidas de catálogo (4 casos — prioridad media)</w:t>
      </w:r>
    </w:p>
    <w:p>
      <w:pPr>
        <w:spacing w:after="140"/>
      </w:pPr>
      <w:r>
        <w:rPr>
          <w:sz w:val="22"/>
          <w:szCs w:val="22"/>
        </w:rPr>
        <w:t xml:space="preserve">Se detectaron 4 partidas devueltas con </w:t>
      </w:r>
      <w:r>
        <w:rPr>
          <w:b/>
          <w:bCs/>
          <w:sz w:val="22"/>
          <w:szCs w:val="22"/>
        </w:rPr>
        <w:t xml:space="preserve">estado: 'catalogo' y precio_unitario = 0</w:t>
      </w:r>
      <w:r>
        <w:rPr>
          <w:sz w:val="22"/>
          <w:szCs w:val="22"/>
        </w:rPr>
        <w:t xml:space="preserve">. Esto viola la regla de negocio: si una partida viene del catálogo, debe llevar su precio. El fallo está en el enrichment — el RPC de búsqueda devuelve la actuación correcta pero sin propagar el precio correctamente al resultado. Acción correctora: revisar la función </w:t>
      </w:r>
      <w:r>
        <w:rPr>
          <w:b/>
          <w:bCs/>
          <w:sz w:val="22"/>
          <w:szCs w:val="22"/>
        </w:rPr>
        <w:t xml:space="preserve">mapActuacionToPartida()</w:t>
      </w:r>
      <w:r>
        <w:rPr>
          <w:sz w:val="22"/>
          <w:szCs w:val="22"/>
        </w:rPr>
        <w:t xml:space="preserve"> para asegurar que el campo precio_unitario siempre se mapea desde el catálogo cuando el estado es 'catalogo'.</w:t>
      </w:r>
    </w:p>
    <w:p>
      <w:pPr>
        <w:shd w:fill="4A6741" w:val="clear"/>
        <w:spacing w:after="160" w:before="400"/>
      </w:pPr>
      <w:r>
        <w:rPr>
          <w:b/>
          <w:bCs/>
          <w:color w:val="FFFFFF"/>
          <w:sz w:val="26"/>
          <w:szCs w:val="26"/>
        </w:rPr>
        <w:t xml:space="preserve">7. PRÓXIMOS PASOS RECOMENDADOS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2400"/>
        <w:gridCol w:w="900"/>
      </w:tblGrid>
      <w:tr>
        <w:trPr>
          <w:tblHeader/>
        </w:trPr>
        <w:tc>
          <w:tcPr>
            <w:tcW w:type="dxa" w:w="10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Prioridad</w:t>
            </w:r>
          </w:p>
        </w:tc>
        <w:tc>
          <w:tcPr>
            <w:tcW w:type="dxa" w:w="42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Acción</w:t>
            </w:r>
          </w:p>
        </w:tc>
        <w:tc>
          <w:tcPr>
            <w:tcW w:type="dxa" w:w="24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Impacto esperado</w:t>
            </w:r>
          </w:p>
        </w:tc>
        <w:tc>
          <w:tcPr>
            <w:tcW w:type="dxa" w:w="900"/>
            <w:tcBorders>
              <w:top w:val="single" w:color="CCCCCC" w:sz="1"/>
              <w:left w:val="single" w:color="CCCCCC" w:sz="1"/>
              <w:bottom w:val="single" w:color="CCCCCC" w:sz="1"/>
              <w:right w:val="single" w:color="CCCCCC" w:sz="1"/>
            </w:tcBorders>
            <w:shd w:fill="1C2535" w:val="clear"/>
            <w:tcMar>
              <w:top w:type="dxa" w:w="80"/>
              <w:left w:type="dxa" w:w="140"/>
              <w:bottom w:type="dxa" w:w="80"/>
              <w:right w:type="dxa" w:w="140"/>
            </w:tcMar>
            <w:vAlign w:val="center"/>
          </w:tcPr>
          <w:p>
            <w:pPr>
              <w:jc w:val="left"/>
            </w:pPr>
            <w:r>
              <w:rPr>
                <w:b/>
                <w:bCs/>
                <w:color w:val="FFFFFF"/>
                <w:sz w:val="20"/>
                <w:szCs w:val="20"/>
              </w:rPr>
              <w:t xml:space="preserve">Esfuerzo</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 Alta</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Investigar y corregir los 7 casos VACÍO — revisar las consultas concretas en output/raw/ e identificar el patrón de fallo</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Tasa OK: 89% → 91%</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2-3h</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 Alta</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Corregir PRECIO_INVALIDO — revisar mapActuacionToPartida() para que siempre propague precio desde catálogo</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Eliminar 4 casos de precio 0 en catálogo</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1h</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 Media</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Implementar streaming al frontend — el usuario ve partidas aparecer progresivamente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Latencia percibida: 22s → &lt;5s (primera partida visible)</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4-6h</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 Media</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Ampliar Base Maestra en Energía Solar y Reformas Generales — los dos oficios con mayor tasa SOLO_SUGERIDAS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Reducir SOLO_SUGERIDAS del 8% al 4%</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3-4h</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 Baja</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A/B test limitando partidas_obligatorias a 5 items/actuación — medir impacto en latencia vs tasa OK</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Latencia real: −25-30%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2h + test</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 Baja</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Repetir suite de pruebas con orgId real de instalador beta — validar que SOLO_SUGERIDAS baja por debajo del 3%</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Confirmación de comportamiento en producción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b w:val="false"/>
                <w:bCs w:val="false"/>
                <w:sz w:val="20"/>
                <w:szCs w:val="20"/>
              </w:rPr>
              <w:t xml:space="preserve">0.5h</w:t>
            </w:r>
          </w:p>
        </w:tc>
      </w:tr>
    </w:tbl>
    <w:p>
      <w:pPr>
        <w:spacing w:after="0" w:before="160"/>
      </w:pPr>
      <w:r>
        <w:t xml:space="preserve"/>
      </w:r>
    </w:p>
    <w:p>
      <w:pPr>
        <w:spacing w:after="140"/>
      </w:pPr>
      <w:r>
        <w:rPr>
          <w:b/>
          <w:bCs/>
          <w:sz w:val="22"/>
          <w:szCs w:val="22"/>
        </w:rPr>
        <w:t xml:space="preserve">Conclusión:</w:t>
      </w:r>
      <w:r>
        <w:rPr>
          <w:sz w:val="22"/>
          <w:szCs w:val="22"/>
        </w:rPr>
        <w:t xml:space="preserve"> El motor de IA de presupuestos de TrabFlow v51 está listo para producción en términos de calidad de respuesta. La implementación del streaming es la mejora más urgente antes del lanzamiento público para garantizar una experiencia de usuario fluida. Los 9 casos pendientes (7 VACÍO + 4 PRECIO_INVALIDO) son corregibles en una sesión de trabajo de medio día.</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A96" w:sz="2"/>
      </w:pBd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 Confidencial · TrabFlow Technologies, S.L.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A96" w:sz="2"/>
      </w:pBdr>
      <w:jc w:val="right"/>
    </w:pPr>
    <w:r>
      <w:rPr>
        <w:color w:val="888888"/>
        <w:sz w:val="16"/>
        <w:szCs w:val="16"/>
      </w:rPr>
      <w:t xml:space="preserve">TrabFlow · Motor IA Presupuestos · Informe de Resultados v51 ·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2026-06-30T20:53:25.351Z</dcterms:created>
  <dcterms:modified xsi:type="dcterms:W3CDTF">2026-06-30T20:53:25.352Z</dcterms:modified>
</cp:coreProperties>
</file>

<file path=docProps/custom.xml><?xml version="1.0" encoding="utf-8"?>
<Properties xmlns="http://schemas.openxmlformats.org/officeDocument/2006/custom-properties" xmlns:vt="http://schemas.openxmlformats.org/officeDocument/2006/docPropsVTypes"/>
</file>