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00"/>
      </w:pPr>
      <w:r>
        <w:rPr>
          <w:b/>
          <w:bCs/>
          <w:color w:val="1A5A96"/>
          <w:sz w:val="22"/>
          <w:szCs w:val="22"/>
        </w:rPr>
        <w:t xml:space="preserve">TrabFlow Technologies, S.L.</w:t>
      </w:r>
    </w:p>
    <w:p>
      <w:pPr>
        <w:spacing w:after="100"/>
      </w:pPr>
      <w:r>
        <w:rPr>
          <w:b/>
          <w:bCs/>
          <w:color w:val="1C2535"/>
          <w:sz w:val="50"/>
          <w:szCs w:val="50"/>
        </w:rPr>
        <w:t xml:space="preserve">INFORME DE RESULTADOS</w:t>
      </w:r>
    </w:p>
    <w:p>
      <w:pPr>
        <w:spacing w:after="80"/>
      </w:pPr>
      <w:r>
        <w:rPr>
          <w:b/>
          <w:bCs/>
          <w:color w:val="B84E35"/>
          <w:sz w:val="28"/>
          <w:szCs w:val="28"/>
        </w:rPr>
        <w:t xml:space="preserve">Suite de Pruebas Automatizadas — Motor de IA de Presupuestos</w:t>
      </w:r>
    </w:p>
    <w:p>
      <w:pPr>
        <w:spacing w:after="60"/>
      </w:pPr>
      <w:r>
        <w:rPr>
          <w:color w:val="888888"/>
          <w:sz w:val="22"/>
          <w:szCs w:val="22"/>
        </w:rPr>
        <w:t xml:space="preserve">Versión v51  ·  400 consultas  ·  20 oficios  ·  30 de junio de 2026  ·  22:47h</w:t>
      </w:r>
    </w:p>
    <w:p>
      <w:pPr>
        <w:spacing w:after="0"/>
      </w:pPr>
      <w:r>
        <w:rPr>
          <w:color w:val="AAAAAA"/>
          <w:sz w:val="20"/>
          <w:szCs w:val="20"/>
        </w:rPr>
        <w:t xml:space="preserve">Ejecutado por: test-motor-ia  ·  Generado por TrabFlow</w:t>
      </w:r>
    </w:p>
    <w:p>
      <w:pPr>
        <w:shd w:fill="1A5A96" w:val="clear"/>
        <w:spacing w:after="160" w:before="400"/>
      </w:pPr>
      <w:r>
        <w:rPr>
          <w:b/>
          <w:bCs/>
          <w:color w:val="FFFFFF"/>
          <w:sz w:val="26"/>
          <w:szCs w:val="26"/>
        </w:rPr>
        <w:t xml:space="preserve">1. RESUMEN EJECUTIVO</w:t>
      </w:r>
    </w:p>
    <w:p>
      <w:pPr>
        <w:spacing w:after="140"/>
      </w:pPr>
      <w:r>
        <w:rPr>
          <w:sz w:val="22"/>
          <w:szCs w:val="22"/>
        </w:rPr>
        <w:t xml:space="preserve">El motor de IA de presupuestos de TrabFlow (</w:t>
      </w:r>
      <w:r>
        <w:rPr>
          <w:b/>
          <w:bCs/>
          <w:sz w:val="22"/>
          <w:szCs w:val="22"/>
        </w:rPr>
        <w:t xml:space="preserve">trade-voice-to-quote v51</w:t>
      </w:r>
      <w:r>
        <w:rPr>
          <w:sz w:val="22"/>
          <w:szCs w:val="22"/>
        </w:rPr>
        <w:t xml:space="preserve">) ha superado el criterio de lanzamiento mínimo. Se ejecutaron </w:t>
      </w:r>
      <w:r>
        <w:rPr>
          <w:b/>
          <w:bCs/>
          <w:sz w:val="22"/>
          <w:szCs w:val="22"/>
        </w:rPr>
        <w:t xml:space="preserve">400 consultas automatizadas</w:t>
      </w:r>
      <w:r>
        <w:rPr>
          <w:sz w:val="22"/>
          <w:szCs w:val="22"/>
        </w:rPr>
        <w:t xml:space="preserve"> cubriendo 20 oficios (20 peticiones por oficio), redactadas en lenguaje real de instalador, en entorno de test sin catálogo de empresa activo.</w:t>
      </w:r>
    </w:p>
    <w:p>
      <w:pPr>
        <w:spacing w:after="140"/>
      </w:pPr>
      <w:r>
        <w:rPr>
          <w:sz w:val="22"/>
          <w:szCs w:val="22"/>
        </w:rPr>
        <w:t xml:space="preserve">La tasa de éxito global fue del </w:t>
      </w:r>
      <w:r>
        <w:rPr>
          <w:b/>
          <w:bCs/>
          <w:color w:val="1E7B4B"/>
          <w:sz w:val="22"/>
          <w:szCs w:val="22"/>
        </w:rPr>
        <w:t xml:space="preserve">89% (354/400)</w:t>
      </w:r>
      <w:r>
        <w:rPr>
          <w:sz w:val="22"/>
          <w:szCs w:val="22"/>
        </w:rPr>
        <w:t xml:space="preserve">, superando el objetivo de ≥70%. El motor respondió siempre con partidas estructuradas —</w:t>
      </w:r>
      <w:r>
        <w:rPr>
          <w:b/>
          <w:bCs/>
          <w:sz w:val="22"/>
          <w:szCs w:val="22"/>
        </w:rPr>
        <w:t xml:space="preserve"> los únicos 7 casos sin partidas (VACÍO) están concentrados en un único oficio</w:t>
      </w:r>
      <w:r>
        <w:rPr>
          <w:sz w:val="22"/>
          <w:szCs w:val="22"/>
        </w:rPr>
        <w:t xml:space="preserve"> (Reformas Integrales) por una causa técnica identificada y corregible.</w:t>
      </w:r>
    </w:p>
    <w:p>
      <w:pPr>
        <w:spacing w:after="140"/>
      </w:pPr>
      <w:r>
        <w:rPr>
          <w:sz w:val="22"/>
          <w:szCs w:val="22"/>
        </w:rPr>
        <w:t xml:space="preserve">Dos criterios no se cumplen en este test: la </w:t>
      </w:r>
      <w:r>
        <w:rPr>
          <w:b/>
          <w:bCs/>
          <w:color w:val="B84E35"/>
          <w:sz w:val="22"/>
          <w:szCs w:val="22"/>
        </w:rPr>
        <w:t xml:space="preserve">latencia media (22s vs 10s objetivo)</w:t>
      </w:r>
      <w:r>
        <w:rPr>
          <w:sz w:val="22"/>
          <w:szCs w:val="22"/>
        </w:rPr>
        <w:t xml:space="preserve"> — que es estructural al modelo y parcialmente artificial del entorno de test — y la </w:t>
      </w:r>
      <w:r>
        <w:rPr>
          <w:b/>
          <w:bCs/>
          <w:color w:val="B84E35"/>
          <w:sz w:val="22"/>
          <w:szCs w:val="22"/>
        </w:rPr>
        <w:t xml:space="preserve">coincidencia de oficio detectado (71% vs 80% objetivo)</w:t>
      </w:r>
      <w:r>
        <w:rPr>
          <w:sz w:val="22"/>
          <w:szCs w:val="22"/>
        </w:rPr>
        <w:t xml:space="preserve">, afectada principalmente por el oficio Mantenimiento General (5% de coincidencia) y Reformas Integrales (30%). Ambos puntos se analizan en detalle más adelante.</w:t>
      </w:r>
    </w:p>
    <w:p>
      <w:pPr>
        <w:spacing w:after="0" w:before="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2500"/>
        <w:gridCol w:w="1200"/>
      </w:tblGrid>
      <w:tr>
        <w:trPr>
          <w:tblHeader/>
        </w:trPr>
        <w:tc>
          <w:tcPr>
            <w:tcW w:type="dxa" w:w="34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Criterio de aceptación</w:t>
            </w:r>
          </w:p>
        </w:tc>
        <w:tc>
          <w:tcPr>
            <w:tcW w:type="dxa" w:w="17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Objetivo</w:t>
            </w:r>
          </w:p>
        </w:tc>
        <w:tc>
          <w:tcPr>
            <w:tcW w:type="dxa" w:w="25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Resultado v51</w:t>
            </w:r>
          </w:p>
        </w:tc>
        <w:tc>
          <w:tcPr>
            <w:tcW w:type="dxa" w:w="12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Estado</w:t>
            </w:r>
          </w:p>
        </w:tc>
      </w:tr>
      <w:tr>
        <w:tc>
          <w:tcPr>
            <w:tcW w:type="dxa" w:w="3400"/>
            <w:tcBorders>
              <w:top w:val="single" w:color="CCCCCC" w:sz="1"/>
              <w:left w:val="single" w:color="CCCCCC" w:sz="1"/>
              <w:bottom w:val="single" w:color="CCCCCC" w:sz="1"/>
              <w:right w:val="single" w:color="CCCCCC" w:sz="1"/>
            </w:tcBorders>
            <w:shd w:fill="EAF2F8" w:val="clear"/>
            <w:tcMar>
              <w:top w:type="dxa" w:w="72"/>
              <w:left w:type="dxa" w:w="130"/>
              <w:bottom w:type="dxa" w:w="72"/>
              <w:right w:type="dxa" w:w="130"/>
            </w:tcMar>
          </w:tcPr>
          <w:p>
            <w:pPr>
              <w:jc w:val="left"/>
            </w:pPr>
            <w:r>
              <w:rPr>
                <w:b w:val="false"/>
                <w:bCs w:val="false"/>
                <w:sz w:val="19"/>
                <w:szCs w:val="19"/>
              </w:rPr>
              <w:t xml:space="preserve">Tasa de éxito (OK_CATALOGO + OK_MIXTO)</w:t>
            </w:r>
          </w:p>
        </w:tc>
        <w:tc>
          <w:tcPr>
            <w:tcW w:type="dxa" w:w="1700"/>
            <w:tcBorders>
              <w:top w:val="single" w:color="CCCCCC" w:sz="1"/>
              <w:left w:val="single" w:color="CCCCCC" w:sz="1"/>
              <w:bottom w:val="single" w:color="CCCCCC" w:sz="1"/>
              <w:right w:val="single" w:color="CCCCCC" w:sz="1"/>
            </w:tcBorders>
            <w:shd w:fill="EAF2F8" w:val="clear"/>
            <w:tcMar>
              <w:top w:type="dxa" w:w="72"/>
              <w:left w:type="dxa" w:w="130"/>
              <w:bottom w:type="dxa" w:w="72"/>
              <w:right w:type="dxa" w:w="130"/>
            </w:tcMar>
          </w:tcPr>
          <w:p>
            <w:pPr>
              <w:jc w:val="left"/>
            </w:pPr>
            <w:r>
              <w:rPr>
                <w:b w:val="false"/>
                <w:bCs w:val="false"/>
                <w:sz w:val="19"/>
                <w:szCs w:val="19"/>
              </w:rPr>
              <w:t xml:space="preserve">≥ 70%</w:t>
            </w:r>
          </w:p>
        </w:tc>
        <w:tc>
          <w:tcPr>
            <w:tcW w:type="dxa" w:w="2500"/>
            <w:tcBorders>
              <w:top w:val="single" w:color="CCCCCC" w:sz="1"/>
              <w:left w:val="single" w:color="CCCCCC" w:sz="1"/>
              <w:bottom w:val="single" w:color="CCCCCC" w:sz="1"/>
              <w:right w:val="single" w:color="CCCCCC" w:sz="1"/>
            </w:tcBorders>
            <w:shd w:fill="EAF2F8" w:val="clear"/>
            <w:tcMar>
              <w:top w:type="dxa" w:w="72"/>
              <w:left w:type="dxa" w:w="130"/>
              <w:bottom w:type="dxa" w:w="72"/>
              <w:right w:type="dxa" w:w="130"/>
            </w:tcMar>
          </w:tcPr>
          <w:p>
            <w:pPr>
              <w:jc w:val="left"/>
            </w:pPr>
            <w:r>
              <w:rPr>
                <w:b w:val="false"/>
                <w:bCs w:val="false"/>
                <w:sz w:val="19"/>
                <w:szCs w:val="19"/>
              </w:rPr>
              <w:t xml:space="preserve">89%  —  354 / 400</w:t>
            </w:r>
          </w:p>
        </w:tc>
        <w:tc>
          <w:tcPr>
            <w:tcW w:type="dxa" w:w="1200"/>
            <w:tcBorders>
              <w:top w:val="single" w:color="CCCCCC" w:sz="1"/>
              <w:left w:val="single" w:color="CCCCCC" w:sz="1"/>
              <w:bottom w:val="single" w:color="CCCCCC" w:sz="1"/>
              <w:right w:val="single" w:color="CCCCCC" w:sz="1"/>
            </w:tcBorders>
            <w:shd w:fill="EAF2F8" w:val="clear"/>
            <w:tcMar>
              <w:top w:type="dxa" w:w="72"/>
              <w:left w:type="dxa" w:w="130"/>
              <w:bottom w:type="dxa" w:w="72"/>
              <w:right w:type="dxa" w:w="130"/>
            </w:tcMar>
          </w:tcPr>
          <w:p>
            <w:pPr>
              <w:jc w:val="left"/>
            </w:pPr>
            <w:r>
              <w:rPr>
                <w:b w:val="false"/>
                <w:bCs w:val="false"/>
                <w:sz w:val="19"/>
                <w:szCs w:val="19"/>
              </w:rPr>
              <w:t xml:space="preserve">✅ CUMPLE</w:t>
            </w:r>
          </w:p>
        </w:tc>
      </w:tr>
      <w:tr>
        <w:tc>
          <w:tcPr>
            <w:tcW w:type="dxa" w:w="3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Respuestas VACÍO</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 5%</w:t>
            </w:r>
          </w:p>
        </w:tc>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2%  —  7 / 400</w:t>
            </w:r>
          </w:p>
        </w:tc>
        <w:tc>
          <w:tcPr>
            <w:tcW w:type="dxa" w:w="12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9"/>
                <w:szCs w:val="19"/>
              </w:rPr>
              <w:t xml:space="preserve">✅ CUMPLE</w:t>
            </w:r>
          </w:p>
        </w:tc>
      </w:tr>
      <w:tr>
        <w:tc>
          <w:tcPr>
            <w:tcW w:type="dxa" w:w="3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Errores técnicos (ERROR_TECNICO)</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 2%</w:t>
            </w:r>
          </w:p>
        </w:tc>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0,5%  —  2 / 400 *</w:t>
            </w:r>
          </w:p>
        </w:tc>
        <w:tc>
          <w:tcPr>
            <w:tcW w:type="dxa" w:w="12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9"/>
                <w:szCs w:val="19"/>
              </w:rPr>
              <w:t xml:space="preserve">✅ CUMPLE</w:t>
            </w:r>
          </w:p>
        </w:tc>
      </w:tr>
      <w:tr>
        <w:tc>
          <w:tcPr>
            <w:tcW w:type="dxa" w:w="3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Coincidencia de oficio detectado</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 80%</w:t>
            </w:r>
          </w:p>
        </w:tc>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71%  —  285 / 400</w:t>
            </w:r>
          </w:p>
        </w:tc>
        <w:tc>
          <w:tcPr>
            <w:tcW w:type="dxa" w:w="1200"/>
            <w:tcBorders>
              <w:top w:val="single" w:color="CCCCCC" w:sz="1"/>
              <w:left w:val="single" w:color="CCCCCC" w:sz="1"/>
              <w:bottom w:val="single" w:color="CCCCCC" w:sz="1"/>
              <w:right w:val="single" w:color="CCCCCC" w:sz="1"/>
            </w:tcBorders>
            <w:shd w:fill="FDEDEC" w:val="clear"/>
            <w:tcMar>
              <w:top w:type="dxa" w:w="72"/>
              <w:left w:type="dxa" w:w="130"/>
              <w:bottom w:type="dxa" w:w="72"/>
              <w:right w:type="dxa" w:w="130"/>
            </w:tcMar>
          </w:tcPr>
          <w:p>
            <w:pPr>
              <w:jc w:val="left"/>
            </w:pPr>
            <w:r>
              <w:rPr>
                <w:b w:val="false"/>
                <w:bCs w:val="false"/>
                <w:sz w:val="19"/>
                <w:szCs w:val="19"/>
              </w:rPr>
              <w:t xml:space="preserve">❌ NO CUMPLE</w:t>
            </w:r>
          </w:p>
        </w:tc>
      </w:tr>
      <w:tr>
        <w:tc>
          <w:tcPr>
            <w:tcW w:type="dxa" w:w="3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Latencia media de respuesta</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 10.000 ms</w:t>
            </w:r>
          </w:p>
        </w:tc>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21.979 ms  (P95: 43.593 ms)</w:t>
            </w:r>
          </w:p>
        </w:tc>
        <w:tc>
          <w:tcPr>
            <w:tcW w:type="dxa" w:w="1200"/>
            <w:tcBorders>
              <w:top w:val="single" w:color="CCCCCC" w:sz="1"/>
              <w:left w:val="single" w:color="CCCCCC" w:sz="1"/>
              <w:bottom w:val="single" w:color="CCCCCC" w:sz="1"/>
              <w:right w:val="single" w:color="CCCCCC" w:sz="1"/>
            </w:tcBorders>
            <w:shd w:fill="FDEDEC" w:val="clear"/>
            <w:tcMar>
              <w:top w:type="dxa" w:w="72"/>
              <w:left w:type="dxa" w:w="130"/>
              <w:bottom w:type="dxa" w:w="72"/>
              <w:right w:type="dxa" w:w="130"/>
            </w:tcMar>
          </w:tcPr>
          <w:p>
            <w:pPr>
              <w:jc w:val="left"/>
            </w:pPr>
            <w:r>
              <w:rPr>
                <w:b w:val="false"/>
                <w:bCs w:val="false"/>
                <w:sz w:val="19"/>
                <w:szCs w:val="19"/>
              </w:rPr>
              <w:t xml:space="preserve">❌ NO CUMPLE</w:t>
            </w:r>
          </w:p>
        </w:tc>
      </w:tr>
    </w:tbl>
    <w:p>
      <w:pPr>
        <w:spacing w:after="0" w:before="60"/>
      </w:pPr>
      <w:r>
        <w:t xml:space="preserve"/>
      </w:r>
    </w:p>
    <w:p>
      <w:pPr>
        <w:spacing w:after="140"/>
      </w:pPr>
      <w:r>
        <w:rPr>
          <w:i/>
          <w:iCs/>
          <w:color w:val="666666"/>
          <w:sz w:val="19"/>
          <w:szCs w:val="19"/>
        </w:rPr>
        <w:t xml:space="preserve">* Los 2 ERROR_TECNICO son HTTP 403 por restricción de plan (contrato de mantenimiento en org sin Plan Empresa+), no fallos de infraestructura.</w:t>
      </w:r>
    </w:p>
    <w:p>
      <w:pPr>
        <w:shd w:fill="1A5A96" w:val="clear"/>
        <w:spacing w:after="160" w:before="400"/>
      </w:pPr>
      <w:r>
        <w:rPr>
          <w:b/>
          <w:bCs/>
          <w:color w:val="FFFFFF"/>
          <w:sz w:val="26"/>
          <w:szCs w:val="26"/>
        </w:rPr>
        <w:t xml:space="preserve">2. COMPARATIVA v50 (ROTO) vs v51 (CORREGIDO)</w:t>
      </w:r>
    </w:p>
    <w:p>
      <w:pPr>
        <w:spacing w:after="140"/>
      </w:pPr>
      <w:r>
        <w:rPr>
          <w:sz w:val="22"/>
          <w:szCs w:val="22"/>
        </w:rPr>
        <w:t xml:space="preserve">La versión v51 corrige el bug crítico de v50, que devolvía partidas vacías en el 75% de los casos. El salto es radical:</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900"/>
        <w:gridCol w:w="1600"/>
        <w:gridCol w:w="1200"/>
      </w:tblGrid>
      <w:tr>
        <w:trPr>
          <w:tblHeader/>
        </w:trPr>
        <w:tc>
          <w:tcPr>
            <w:tcW w:type="dxa" w:w="28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Métrica</w:t>
            </w:r>
          </w:p>
        </w:tc>
        <w:tc>
          <w:tcPr>
            <w:tcW w:type="dxa" w:w="17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v50  (roto)</w:t>
            </w:r>
          </w:p>
        </w:tc>
        <w:tc>
          <w:tcPr>
            <w:tcW w:type="dxa" w:w="19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v51  (corregido)</w:t>
            </w:r>
          </w:p>
        </w:tc>
        <w:tc>
          <w:tcPr>
            <w:tcW w:type="dxa" w:w="16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Δ Cambio</w:t>
            </w:r>
          </w:p>
        </w:tc>
        <w:tc>
          <w:tcPr>
            <w:tcW w:type="dxa" w:w="12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Target</w:t>
            </w:r>
          </w:p>
        </w:tc>
      </w:tr>
      <w:tr>
        <w:tc>
          <w:tcPr>
            <w:tcW w:type="dxa" w:w="2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Tasa OK (presupuesto con partidas)</w:t>
            </w:r>
          </w:p>
        </w:tc>
        <w:tc>
          <w:tcPr>
            <w:tcW w:type="dxa" w:w="1700"/>
            <w:tcBorders>
              <w:top w:val="single" w:color="CCCCCC" w:sz="1"/>
              <w:left w:val="single" w:color="CCCCCC" w:sz="1"/>
              <w:bottom w:val="single" w:color="CCCCCC" w:sz="1"/>
              <w:right w:val="single" w:color="CCCCCC" w:sz="1"/>
            </w:tcBorders>
            <w:shd w:fill="FDEDEC" w:val="clear"/>
            <w:tcMar>
              <w:top w:type="dxa" w:w="72"/>
              <w:left w:type="dxa" w:w="130"/>
              <w:bottom w:type="dxa" w:w="72"/>
              <w:right w:type="dxa" w:w="130"/>
            </w:tcMar>
          </w:tcPr>
          <w:p>
            <w:pPr>
              <w:jc w:val="left"/>
            </w:pPr>
            <w:r>
              <w:rPr>
                <w:b w:val="false"/>
                <w:bCs w:val="false"/>
                <w:sz w:val="19"/>
                <w:szCs w:val="19"/>
              </w:rPr>
              <w:t xml:space="preserve">24%</w:t>
            </w:r>
          </w:p>
        </w:tc>
        <w:tc>
          <w:tcPr>
            <w:tcW w:type="dxa" w:w="19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9"/>
                <w:szCs w:val="19"/>
              </w:rPr>
              <w:t xml:space="preserve">89%</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+65 pp</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≥70% ✅</w:t>
            </w:r>
          </w:p>
        </w:tc>
      </w:tr>
      <w:tr>
        <w:tc>
          <w:tcPr>
            <w:tcW w:type="dxa" w:w="2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Respuestas VACÍO</w:t>
            </w:r>
          </w:p>
        </w:tc>
        <w:tc>
          <w:tcPr>
            <w:tcW w:type="dxa" w:w="1700"/>
            <w:tcBorders>
              <w:top w:val="single" w:color="CCCCCC" w:sz="1"/>
              <w:left w:val="single" w:color="CCCCCC" w:sz="1"/>
              <w:bottom w:val="single" w:color="CCCCCC" w:sz="1"/>
              <w:right w:val="single" w:color="CCCCCC" w:sz="1"/>
            </w:tcBorders>
            <w:shd w:fill="FDEDEC" w:val="clear"/>
            <w:tcMar>
              <w:top w:type="dxa" w:w="72"/>
              <w:left w:type="dxa" w:w="130"/>
              <w:bottom w:type="dxa" w:w="72"/>
              <w:right w:type="dxa" w:w="130"/>
            </w:tcMar>
          </w:tcPr>
          <w:p>
            <w:pPr>
              <w:jc w:val="left"/>
            </w:pPr>
            <w:r>
              <w:rPr>
                <w:b w:val="false"/>
                <w:bCs w:val="false"/>
                <w:sz w:val="19"/>
                <w:szCs w:val="19"/>
              </w:rPr>
              <w:t xml:space="preserve">75%</w:t>
            </w:r>
          </w:p>
        </w:tc>
        <w:tc>
          <w:tcPr>
            <w:tcW w:type="dxa" w:w="19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9"/>
                <w:szCs w:val="19"/>
              </w:rPr>
              <w:t xml:space="preserve">2%</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−73 pp</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&lt; 5% ✅</w:t>
            </w:r>
          </w:p>
        </w:tc>
      </w:tr>
      <w:tr>
        <w:tc>
          <w:tcPr>
            <w:tcW w:type="dxa" w:w="2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Coincidencia de oficio</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71%</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Nueva métrica</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≥80% ❌</w:t>
            </w:r>
          </w:p>
        </w:tc>
      </w:tr>
      <w:tr>
        <w:tc>
          <w:tcPr>
            <w:tcW w:type="dxa" w:w="2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Errores técnicos</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0,5%</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0,5%</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Sin cambio</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≤2% ✅</w:t>
            </w:r>
          </w:p>
        </w:tc>
      </w:tr>
      <w:tr>
        <w:tc>
          <w:tcPr>
            <w:tcW w:type="dxa" w:w="2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Latencia media</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20.322 ms</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21.979 ms</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+1.657 ms</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≤10.000 ms ❌</w:t>
            </w:r>
          </w:p>
        </w:tc>
      </w:tr>
    </w:tbl>
    <w:p>
      <w:pPr>
        <w:spacing w:after="0" w:before="120"/>
      </w:pPr>
      <w:r>
        <w:t xml:space="preserve"/>
      </w:r>
    </w:p>
    <w:p>
      <w:pPr>
        <w:spacing w:after="140"/>
      </w:pPr>
      <w:r>
        <w:rPr>
          <w:b/>
          <w:bCs/>
          <w:sz w:val="22"/>
          <w:szCs w:val="22"/>
        </w:rPr>
        <w:t xml:space="preserve">El cambio más importante: </w:t>
      </w:r>
      <w:r>
        <w:rPr>
          <w:sz w:val="22"/>
          <w:szCs w:val="22"/>
        </w:rPr>
        <w:t xml:space="preserve">el VACÍO pasa de 75% a 2%.</w:t>
      </w:r>
      <w:r>
        <w:rPr>
          <w:sz w:val="22"/>
          <w:szCs w:val="22"/>
        </w:rPr>
        <w:t xml:space="preserve"> En v50, tres de cada cuatro consultas habrían devuelto un presupuesto en blanco al instalador. En v51 ese escenario se reduce a 7 casos aislados en un único oficio con una causa técnica conocida.</w:t>
      </w:r>
    </w:p>
    <w:p>
      <w:pPr>
        <w:shd w:fill="1A5A96" w:val="clear"/>
        <w:spacing w:after="160" w:before="400"/>
      </w:pPr>
      <w:r>
        <w:rPr>
          <w:b/>
          <w:bCs/>
          <w:color w:val="FFFFFF"/>
          <w:sz w:val="26"/>
          <w:szCs w:val="26"/>
        </w:rPr>
        <w:t xml:space="preserve">3. QUÉ SIGNIFICA CADA CATEGORÍA DE RESULTADO</w:t>
      </w:r>
    </w:p>
    <w:p>
      <w:pPr>
        <w:spacing w:after="140"/>
      </w:pPr>
      <w:r>
        <w:rPr>
          <w:sz w:val="22"/>
          <w:szCs w:val="22"/>
        </w:rPr>
        <w:t xml:space="preserve">Cada una de las 400 consultas queda clasificada en una de seis categorías. A continuación, su significado en términos de experiencia real del instalador: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
        <w:gridCol w:w="500"/>
        <w:gridCol w:w="6360"/>
      </w:tblGrid>
      <w:tr>
        <w:trPr>
          <w:tblHeader/>
        </w:trPr>
        <w:tc>
          <w:tcPr>
            <w:tcW w:type="dxa" w:w="20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Categoría</w:t>
            </w:r>
          </w:p>
        </w:tc>
        <w:tc>
          <w:tcPr>
            <w:tcW w:type="dxa" w:w="5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Nº</w:t>
            </w:r>
          </w:p>
        </w:tc>
        <w:tc>
          <w:tcPr>
            <w:tcW w:type="dxa" w:w="5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w:t>
            </w:r>
          </w:p>
        </w:tc>
        <w:tc>
          <w:tcPr>
            <w:tcW w:type="dxa" w:w="636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Significado práctico para el instalador</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OK_MIXTO</w:t>
            </w:r>
          </w:p>
        </w:tc>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353</w:t>
            </w:r>
          </w:p>
        </w:tc>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88%</w:t>
            </w:r>
          </w:p>
        </w:tc>
        <w:tc>
          <w:tcPr>
            <w:tcW w:type="dxa" w:w="636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9"/>
                <w:szCs w:val="19"/>
              </w:rPr>
              <w:t xml:space="preserve">La IA devuelve partidas: parte encontradas en la Base Maestra con referencia, parte sugeridas por la IA sin precio (el instalador completa el precio). Comportamiento esperado y correcto en entorno de test sin catálogo.</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SOLO_SUGERIDAS</w:t>
            </w:r>
          </w:p>
        </w:tc>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33</w:t>
            </w:r>
          </w:p>
        </w:tc>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8%</w:t>
            </w:r>
          </w:p>
        </w:tc>
        <w:tc>
          <w:tcPr>
            <w:tcW w:type="dxa" w:w="636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9"/>
                <w:szCs w:val="19"/>
              </w:rPr>
              <w:t xml:space="preserve">La IA genera partidas estructuradas pero ninguna coincide con el catálogo (orgId nulo en test). En producción con usuario real y catálogo cargado, la mayoría pasaría a OK_MIXTO. Tasa real esperada &lt; 3%.</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VACÍO</w:t>
            </w:r>
          </w:p>
        </w:tc>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7</w:t>
            </w:r>
          </w:p>
        </w:tc>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2%</w:t>
            </w:r>
          </w:p>
        </w:tc>
        <w:tc>
          <w:tcPr>
            <w:tcW w:type="dxa" w:w="6360"/>
            <w:tcBorders>
              <w:top w:val="single" w:color="CCCCCC" w:sz="1"/>
              <w:left w:val="single" w:color="CCCCCC" w:sz="1"/>
              <w:bottom w:val="single" w:color="CCCCCC" w:sz="1"/>
              <w:right w:val="single" w:color="CCCCCC" w:sz="1"/>
            </w:tcBorders>
            <w:shd w:fill="FDEDEC" w:val="clear"/>
            <w:tcMar>
              <w:top w:type="dxa" w:w="72"/>
              <w:left w:type="dxa" w:w="130"/>
              <w:bottom w:type="dxa" w:w="72"/>
              <w:right w:type="dxa" w:w="130"/>
            </w:tcMar>
          </w:tcPr>
          <w:p>
            <w:pPr>
              <w:jc w:val="left"/>
            </w:pPr>
            <w:r>
              <w:rPr>
                <w:b w:val="false"/>
                <w:bCs w:val="false"/>
                <w:sz w:val="19"/>
                <w:szCs w:val="19"/>
              </w:rPr>
              <w:t xml:space="preserve">El motor no devolvió partidas. Todos concentrados en Reformas Integrales — causa técnica identificada: timeout por complejidad multi-oficio (latencia media: 45.623 ms). Ninguno bloqueó el lote.</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PRECIO_INVALIDO</w:t>
            </w:r>
          </w:p>
        </w:tc>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4</w:t>
            </w:r>
          </w:p>
        </w:tc>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1%</w:t>
            </w:r>
          </w:p>
        </w:tc>
        <w:tc>
          <w:tcPr>
            <w:tcW w:type="dxa" w:w="636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9"/>
                <w:szCs w:val="19"/>
              </w:rPr>
              <w:t xml:space="preserve">Partidas devueltas como 'catalogo' pero con precio 0. Son 4 casos de servicios especiales (apertura urgencia, llave maestra, estudio solar, gresite piscina) donde el enrichment no propaga el precio correctamente.</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ERROR_TECNICO</w:t>
            </w:r>
          </w:p>
        </w:tc>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2</w:t>
            </w:r>
          </w:p>
        </w:tc>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0,5%</w:t>
            </w:r>
          </w:p>
        </w:tc>
        <w:tc>
          <w:tcPr>
            <w:tcW w:type="dxa" w:w="6360"/>
            <w:tcBorders>
              <w:top w:val="single" w:color="CCCCCC" w:sz="1"/>
              <w:left w:val="single" w:color="CCCCCC" w:sz="1"/>
              <w:bottom w:val="single" w:color="CCCCCC" w:sz="1"/>
              <w:right w:val="single" w:color="CCCCCC" w:sz="1"/>
            </w:tcBorders>
            <w:shd w:fill="FDEDEC" w:val="clear"/>
            <w:tcMar>
              <w:top w:type="dxa" w:w="72"/>
              <w:left w:type="dxa" w:w="130"/>
              <w:bottom w:type="dxa" w:w="72"/>
              <w:right w:type="dxa" w:w="130"/>
            </w:tcMar>
          </w:tcPr>
          <w:p>
            <w:pPr>
              <w:jc w:val="left"/>
            </w:pPr>
            <w:r>
              <w:rPr>
                <w:b w:val="false"/>
                <w:bCs w:val="false"/>
                <w:sz w:val="19"/>
                <w:szCs w:val="19"/>
              </w:rPr>
              <w:t xml:space="preserve">HTTP 403 — restricción de plan en el entorno de test: el org de pruebas no tiene Plan Empresa+ activo, y las consultas de contrato de mantenimiento son rechazadas por la propia lógica de negocio.</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OK_CATALOGO</w:t>
            </w:r>
          </w:p>
        </w:tc>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1</w:t>
            </w:r>
          </w:p>
        </w:tc>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0,2%</w:t>
            </w:r>
          </w:p>
        </w:tc>
        <w:tc>
          <w:tcPr>
            <w:tcW w:type="dxa" w:w="636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9"/>
                <w:szCs w:val="19"/>
              </w:rPr>
              <w:t xml:space="preserve">Partida encontrada íntegramente en el catálogo global (Telecomunicaciones). Prácticamente imposible sin catálogo de empresa activo — resultado excepcional de la Base Maestra global.</w:t>
            </w:r>
          </w:p>
        </w:tc>
      </w:tr>
    </w:tbl>
    <w:p>
      <w:pPr>
        <w:spacing w:after="0" w:before="100"/>
      </w:pPr>
      <w:r>
        <w:t xml:space="preserve"/>
      </w:r>
    </w:p>
    <w:p>
      <w:pPr>
        <w:shd w:fill="FEF9E7" w:val="clear"/>
        <w:spacing w:after="160" w:before="80"/>
      </w:pPr>
      <w:r>
        <w:rPr>
          <w:i/>
          <w:iCs/>
          <w:color w:val="C8922A"/>
          <w:sz w:val="20"/>
          <w:szCs w:val="20"/>
        </w:rPr>
        <w:t xml:space="preserve">⚠  Los 2 ERROR_TECNICO NO son fallos del motor de IA ni de la infraestructura. Son HTTP 403 esperados: el script de test usó un org sin Plan Empresa+, y la función rechaza correctamente las peticiones de contratos de mantenimiento de plan inferior. En producción real, con un usuario con el plan correcto, estos 2 casos serían OK_MIXTO.</w:t>
      </w:r>
    </w:p>
    <w:p>
      <w:pPr>
        <w:shd w:fill="1A5A96" w:val="clear"/>
        <w:spacing w:after="160" w:before="400"/>
      </w:pPr>
      <w:r>
        <w:rPr>
          <w:b/>
          <w:bCs/>
          <w:color w:val="FFFFFF"/>
          <w:sz w:val="26"/>
          <w:szCs w:val="26"/>
        </w:rPr>
        <w:t xml:space="preserve">4. RESULTADOS POR OFICIO — LOS 20 OFICIOS PROBADOS</w:t>
      </w:r>
    </w:p>
    <w:p>
      <w:pPr>
        <w:spacing w:after="140"/>
      </w:pPr>
      <w:r>
        <w:rPr>
          <w:sz w:val="22"/>
          <w:szCs w:val="22"/>
        </w:rPr>
        <w:t xml:space="preserve">Se probaron 20 oficios con 20 peticiones cada uno. Las peticiones cubren los trabajos más habituales del sector en España: </w:t>
      </w:r>
      <w:r>
        <w:rPr>
          <w:b/>
          <w:bCs/>
          <w:sz w:val="22"/>
          <w:szCs w:val="22"/>
        </w:rPr>
        <w:t xml:space="preserve">instalaciones, reparaciones, sustituciones, mantenimientos y peticiones ambiguas o mal formuladas</w:t>
      </w:r>
      <w:r>
        <w:rPr>
          <w:sz w:val="22"/>
          <w:szCs w:val="22"/>
        </w:rPr>
        <w:t xml:space="preserve"> (para probar el fallback de la IA).</w:t>
      </w:r>
    </w:p>
    <w:p>
      <w:pPr>
        <w:spacing w:after="0" w:before="8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700"/>
        <w:gridCol w:w="780"/>
        <w:gridCol w:w="780"/>
        <w:gridCol w:w="780"/>
        <w:gridCol w:w="780"/>
        <w:gridCol w:w="900"/>
        <w:gridCol w:w="1000"/>
        <w:gridCol w:w="1080"/>
      </w:tblGrid>
      <w:tr>
        <w:trPr>
          <w:tblHeader/>
        </w:trPr>
        <w:tc>
          <w:tcPr>
            <w:tcW w:type="dxa" w:w="25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Oficio</w:t>
            </w:r>
          </w:p>
        </w:tc>
        <w:tc>
          <w:tcPr>
            <w:tcW w:type="dxa" w:w="7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Total</w:t>
            </w:r>
          </w:p>
        </w:tc>
        <w:tc>
          <w:tcPr>
            <w:tcW w:type="dxa" w:w="78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OK_MIX</w:t>
            </w:r>
          </w:p>
        </w:tc>
        <w:tc>
          <w:tcPr>
            <w:tcW w:type="dxa" w:w="78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SUGER</w:t>
            </w:r>
          </w:p>
        </w:tc>
        <w:tc>
          <w:tcPr>
            <w:tcW w:type="dxa" w:w="78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VACÍO</w:t>
            </w:r>
          </w:p>
        </w:tc>
        <w:tc>
          <w:tcPr>
            <w:tcW w:type="dxa" w:w="78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ERRORS</w:t>
            </w:r>
          </w:p>
        </w:tc>
        <w:tc>
          <w:tcPr>
            <w:tcW w:type="dxa" w:w="9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Tasa OK</w:t>
            </w:r>
          </w:p>
        </w:tc>
        <w:tc>
          <w:tcPr>
            <w:tcW w:type="dxa" w:w="10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Coincide oficio</w:t>
            </w:r>
          </w:p>
        </w:tc>
        <w:tc>
          <w:tcPr>
            <w:tcW w:type="dxa" w:w="108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Latencia media</w:t>
            </w:r>
          </w:p>
        </w:tc>
      </w:tr>
      <w:tr>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Albañilería</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3</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90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8"/>
                <w:szCs w:val="18"/>
              </w:rPr>
              <w:t xml:space="preserve">85%</w:t>
            </w:r>
          </w:p>
        </w:tc>
        <w:tc>
          <w:tcPr>
            <w:tcW w:type="dxa" w:w="10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80%</w:t>
            </w:r>
          </w:p>
        </w:tc>
        <w:tc>
          <w:tcPr>
            <w:tcW w:type="dxa" w:w="108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21.4s</w:t>
            </w:r>
          </w:p>
        </w:tc>
      </w:tr>
      <w:tr>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Carpintería</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9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100%</w:t>
            </w:r>
          </w:p>
        </w:tc>
        <w:tc>
          <w:tcPr>
            <w:tcW w:type="dxa" w:w="10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85%</w:t>
            </w:r>
          </w:p>
        </w:tc>
        <w:tc>
          <w:tcPr>
            <w:tcW w:type="dxa" w:w="108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20.3s</w:t>
            </w:r>
          </w:p>
        </w:tc>
      </w:tr>
      <w:tr>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Cerrajería</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1</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shd w:fill="FDEDEC" w:val="clear"/>
            <w:tcMar>
              <w:top w:type="dxa" w:w="72"/>
              <w:left w:type="dxa" w:w="130"/>
              <w:bottom w:type="dxa" w:w="72"/>
              <w:right w:type="dxa" w:w="130"/>
            </w:tcMar>
          </w:tcPr>
          <w:p>
            <w:pPr>
              <w:jc w:val="left"/>
            </w:pPr>
            <w:r>
              <w:rPr>
                <w:b w:val="false"/>
                <w:bCs w:val="false"/>
                <w:sz w:val="18"/>
                <w:szCs w:val="18"/>
              </w:rPr>
              <w:t xml:space="preserve">2</w:t>
            </w:r>
          </w:p>
        </w:tc>
        <w:tc>
          <w:tcPr>
            <w:tcW w:type="dxa" w:w="90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8"/>
                <w:szCs w:val="18"/>
              </w:rPr>
              <w:t xml:space="preserve">85%</w:t>
            </w:r>
          </w:p>
        </w:tc>
        <w:tc>
          <w:tcPr>
            <w:tcW w:type="dxa" w:w="10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80%</w:t>
            </w:r>
          </w:p>
        </w:tc>
        <w:tc>
          <w:tcPr>
            <w:tcW w:type="dxa" w:w="108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16.5s</w:t>
            </w:r>
          </w:p>
        </w:tc>
      </w:tr>
      <w:tr>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Climatización</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9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90%</w:t>
            </w:r>
          </w:p>
        </w:tc>
        <w:tc>
          <w:tcPr>
            <w:tcW w:type="dxa" w:w="10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85%</w:t>
            </w:r>
          </w:p>
        </w:tc>
        <w:tc>
          <w:tcPr>
            <w:tcW w:type="dxa" w:w="108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8"/>
                <w:szCs w:val="18"/>
              </w:rPr>
              <w:t xml:space="preserve">24.0s</w:t>
            </w:r>
          </w:p>
        </w:tc>
      </w:tr>
      <w:tr>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Contra Incendios</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3</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90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8"/>
                <w:szCs w:val="18"/>
              </w:rPr>
              <w:t xml:space="preserve">85%</w:t>
            </w:r>
          </w:p>
        </w:tc>
        <w:tc>
          <w:tcPr>
            <w:tcW w:type="dxa" w:w="1000"/>
            <w:tcBorders>
              <w:top w:val="single" w:color="CCCCCC" w:sz="1"/>
              <w:left w:val="single" w:color="CCCCCC" w:sz="1"/>
              <w:bottom w:val="single" w:color="CCCCCC" w:sz="1"/>
              <w:right w:val="single" w:color="CCCCCC" w:sz="1"/>
            </w:tcBorders>
            <w:shd w:fill="FDEDEC" w:val="clear"/>
            <w:tcMar>
              <w:top w:type="dxa" w:w="72"/>
              <w:left w:type="dxa" w:w="130"/>
              <w:bottom w:type="dxa" w:w="72"/>
              <w:right w:type="dxa" w:w="130"/>
            </w:tcMar>
          </w:tcPr>
          <w:p>
            <w:pPr>
              <w:jc w:val="left"/>
            </w:pPr>
            <w:r>
              <w:rPr>
                <w:b w:val="false"/>
                <w:bCs w:val="false"/>
                <w:sz w:val="18"/>
                <w:szCs w:val="18"/>
              </w:rPr>
              <w:t xml:space="preserve">50%</w:t>
            </w:r>
          </w:p>
        </w:tc>
        <w:tc>
          <w:tcPr>
            <w:tcW w:type="dxa" w:w="108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8"/>
                <w:szCs w:val="18"/>
              </w:rPr>
              <w:t xml:space="preserve">25.5s</w:t>
            </w:r>
          </w:p>
        </w:tc>
      </w:tr>
      <w:tr>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Cristalería</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9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100%</w:t>
            </w:r>
          </w:p>
        </w:tc>
        <w:tc>
          <w:tcPr>
            <w:tcW w:type="dxa" w:w="10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95%</w:t>
            </w:r>
          </w:p>
        </w:tc>
        <w:tc>
          <w:tcPr>
            <w:tcW w:type="dxa" w:w="108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18.1s</w:t>
            </w:r>
          </w:p>
        </w:tc>
      </w:tr>
      <w:tr>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Electricidad</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1</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9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95%</w:t>
            </w:r>
          </w:p>
        </w:tc>
        <w:tc>
          <w:tcPr>
            <w:tcW w:type="dxa" w:w="10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80%</w:t>
            </w:r>
          </w:p>
        </w:tc>
        <w:tc>
          <w:tcPr>
            <w:tcW w:type="dxa" w:w="108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19.7s</w:t>
            </w:r>
          </w:p>
        </w:tc>
      </w:tr>
      <w:tr>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Energía Solar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shd w:fill="FDEDEC" w:val="clear"/>
            <w:tcMar>
              <w:top w:type="dxa" w:w="72"/>
              <w:left w:type="dxa" w:w="130"/>
              <w:bottom w:type="dxa" w:w="72"/>
              <w:right w:type="dxa" w:w="130"/>
            </w:tcMar>
          </w:tcPr>
          <w:p>
            <w:pPr>
              <w:jc w:val="left"/>
            </w:pPr>
            <w:r>
              <w:rPr>
                <w:b w:val="false"/>
                <w:bCs w:val="false"/>
                <w:sz w:val="18"/>
                <w:szCs w:val="18"/>
              </w:rPr>
              <w:t xml:space="preserve">1</w:t>
            </w:r>
          </w:p>
        </w:tc>
        <w:tc>
          <w:tcPr>
            <w:tcW w:type="dxa" w:w="9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95%</w:t>
            </w:r>
          </w:p>
        </w:tc>
        <w:tc>
          <w:tcPr>
            <w:tcW w:type="dxa" w:w="10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100%</w:t>
            </w:r>
          </w:p>
        </w:tc>
        <w:tc>
          <w:tcPr>
            <w:tcW w:type="dxa" w:w="108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8"/>
                <w:szCs w:val="18"/>
              </w:rPr>
              <w:t xml:space="preserve">28.4s</w:t>
            </w:r>
          </w:p>
        </w:tc>
      </w:tr>
      <w:tr>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Fachadas</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3</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90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8"/>
                <w:szCs w:val="18"/>
              </w:rPr>
              <w:t xml:space="preserve">85%</w:t>
            </w:r>
          </w:p>
        </w:tc>
        <w:tc>
          <w:tcPr>
            <w:tcW w:type="dxa" w:w="1000"/>
            <w:tcBorders>
              <w:top w:val="single" w:color="CCCCCC" w:sz="1"/>
              <w:left w:val="single" w:color="CCCCCC" w:sz="1"/>
              <w:bottom w:val="single" w:color="CCCCCC" w:sz="1"/>
              <w:right w:val="single" w:color="CCCCCC" w:sz="1"/>
            </w:tcBorders>
            <w:shd w:fill="FDEDEC" w:val="clear"/>
            <w:tcMar>
              <w:top w:type="dxa" w:w="72"/>
              <w:left w:type="dxa" w:w="130"/>
              <w:bottom w:type="dxa" w:w="72"/>
              <w:right w:type="dxa" w:w="130"/>
            </w:tcMar>
          </w:tcPr>
          <w:p>
            <w:pPr>
              <w:jc w:val="left"/>
            </w:pPr>
            <w:r>
              <w:rPr>
                <w:b w:val="false"/>
                <w:bCs w:val="false"/>
                <w:sz w:val="18"/>
                <w:szCs w:val="18"/>
              </w:rPr>
              <w:t xml:space="preserve">40%</w:t>
            </w:r>
          </w:p>
        </w:tc>
        <w:tc>
          <w:tcPr>
            <w:tcW w:type="dxa" w:w="108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8"/>
                <w:szCs w:val="18"/>
              </w:rPr>
              <w:t xml:space="preserve">23.9s</w:t>
            </w:r>
          </w:p>
        </w:tc>
      </w:tr>
      <w:tr>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Fontanería</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1</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9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95%</w:t>
            </w:r>
          </w:p>
        </w:tc>
        <w:tc>
          <w:tcPr>
            <w:tcW w:type="dxa" w:w="10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85%</w:t>
            </w:r>
          </w:p>
        </w:tc>
        <w:tc>
          <w:tcPr>
            <w:tcW w:type="dxa" w:w="108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20.7s</w:t>
            </w:r>
          </w:p>
        </w:tc>
      </w:tr>
      <w:tr>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Impermeabilización</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5</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900"/>
            <w:tcBorders>
              <w:top w:val="single" w:color="CCCCCC" w:sz="1"/>
              <w:left w:val="single" w:color="CCCCCC" w:sz="1"/>
              <w:bottom w:val="single" w:color="CCCCCC" w:sz="1"/>
              <w:right w:val="single" w:color="CCCCCC" w:sz="1"/>
            </w:tcBorders>
            <w:shd w:fill="FDEDEC" w:val="clear"/>
            <w:tcMar>
              <w:top w:type="dxa" w:w="72"/>
              <w:left w:type="dxa" w:w="130"/>
              <w:bottom w:type="dxa" w:w="72"/>
              <w:right w:type="dxa" w:w="130"/>
            </w:tcMar>
          </w:tcPr>
          <w:p>
            <w:pPr>
              <w:jc w:val="left"/>
            </w:pPr>
            <w:r>
              <w:rPr>
                <w:b w:val="false"/>
                <w:bCs w:val="false"/>
                <w:sz w:val="18"/>
                <w:szCs w:val="18"/>
              </w:rPr>
              <w:t xml:space="preserve">75%</w:t>
            </w:r>
          </w:p>
        </w:tc>
        <w:tc>
          <w:tcPr>
            <w:tcW w:type="dxa" w:w="100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8"/>
                <w:szCs w:val="18"/>
              </w:rPr>
              <w:t xml:space="preserve">60%</w:t>
            </w:r>
          </w:p>
        </w:tc>
        <w:tc>
          <w:tcPr>
            <w:tcW w:type="dxa" w:w="108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21.5s</w:t>
            </w:r>
          </w:p>
        </w:tc>
      </w:tr>
      <w:tr>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Jardinería</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9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90%</w:t>
            </w:r>
          </w:p>
        </w:tc>
        <w:tc>
          <w:tcPr>
            <w:tcW w:type="dxa" w:w="10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95%</w:t>
            </w:r>
          </w:p>
        </w:tc>
        <w:tc>
          <w:tcPr>
            <w:tcW w:type="dxa" w:w="108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19.6s</w:t>
            </w:r>
          </w:p>
        </w:tc>
      </w:tr>
      <w:tr>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Mant. General</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90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8"/>
                <w:szCs w:val="18"/>
              </w:rPr>
              <w:t xml:space="preserve">80%</w:t>
            </w:r>
          </w:p>
        </w:tc>
        <w:tc>
          <w:tcPr>
            <w:tcW w:type="dxa" w:w="1000"/>
            <w:tcBorders>
              <w:top w:val="single" w:color="CCCCCC" w:sz="1"/>
              <w:left w:val="single" w:color="CCCCCC" w:sz="1"/>
              <w:bottom w:val="single" w:color="CCCCCC" w:sz="1"/>
              <w:right w:val="single" w:color="CCCCCC" w:sz="1"/>
            </w:tcBorders>
            <w:shd w:fill="FDEDEC" w:val="clear"/>
            <w:tcMar>
              <w:top w:type="dxa" w:w="72"/>
              <w:left w:type="dxa" w:w="130"/>
              <w:bottom w:type="dxa" w:w="72"/>
              <w:right w:type="dxa" w:w="130"/>
            </w:tcMar>
          </w:tcPr>
          <w:p>
            <w:pPr>
              <w:jc w:val="left"/>
            </w:pPr>
            <w:r>
              <w:rPr>
                <w:b w:val="false"/>
                <w:bCs w:val="false"/>
                <w:sz w:val="18"/>
                <w:szCs w:val="18"/>
              </w:rPr>
              <w:t xml:space="preserve">5%</w:t>
            </w:r>
          </w:p>
        </w:tc>
        <w:tc>
          <w:tcPr>
            <w:tcW w:type="dxa" w:w="108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15.0s</w:t>
            </w:r>
          </w:p>
        </w:tc>
      </w:tr>
      <w:tr>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Persianas</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1</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9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95%</w:t>
            </w:r>
          </w:p>
        </w:tc>
        <w:tc>
          <w:tcPr>
            <w:tcW w:type="dxa" w:w="100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8"/>
                <w:szCs w:val="18"/>
              </w:rPr>
              <w:t xml:space="preserve">70%</w:t>
            </w:r>
          </w:p>
        </w:tc>
        <w:tc>
          <w:tcPr>
            <w:tcW w:type="dxa" w:w="108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18.0s</w:t>
            </w:r>
          </w:p>
        </w:tc>
      </w:tr>
      <w:tr>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Pintura</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9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90%</w:t>
            </w:r>
          </w:p>
        </w:tc>
        <w:tc>
          <w:tcPr>
            <w:tcW w:type="dxa" w:w="10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85%</w:t>
            </w:r>
          </w:p>
        </w:tc>
        <w:tc>
          <w:tcPr>
            <w:tcW w:type="dxa" w:w="108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16.2s</w:t>
            </w:r>
          </w:p>
        </w:tc>
      </w:tr>
      <w:tr>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Pladur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1</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9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95%</w:t>
            </w:r>
          </w:p>
        </w:tc>
        <w:tc>
          <w:tcPr>
            <w:tcW w:type="dxa" w:w="10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100%</w:t>
            </w:r>
          </w:p>
        </w:tc>
        <w:tc>
          <w:tcPr>
            <w:tcW w:type="dxa" w:w="108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8"/>
                <w:szCs w:val="18"/>
              </w:rPr>
              <w:t xml:space="preserve">22.7s</w:t>
            </w:r>
          </w:p>
        </w:tc>
      </w:tr>
      <w:tr>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Reformas Integrales</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7</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900"/>
            <w:tcBorders>
              <w:top w:val="single" w:color="CCCCCC" w:sz="1"/>
              <w:left w:val="single" w:color="CCCCCC" w:sz="1"/>
              <w:bottom w:val="single" w:color="CCCCCC" w:sz="1"/>
              <w:right w:val="single" w:color="CCCCCC" w:sz="1"/>
            </w:tcBorders>
            <w:shd w:fill="FDEDEC" w:val="clear"/>
            <w:tcMar>
              <w:top w:type="dxa" w:w="72"/>
              <w:left w:type="dxa" w:w="130"/>
              <w:bottom w:type="dxa" w:w="72"/>
              <w:right w:type="dxa" w:w="130"/>
            </w:tcMar>
          </w:tcPr>
          <w:p>
            <w:pPr>
              <w:jc w:val="left"/>
            </w:pPr>
            <w:r>
              <w:rPr>
                <w:b w:val="false"/>
                <w:bCs w:val="false"/>
                <w:sz w:val="18"/>
                <w:szCs w:val="18"/>
              </w:rPr>
              <w:t xml:space="preserve">65%</w:t>
            </w:r>
          </w:p>
        </w:tc>
        <w:tc>
          <w:tcPr>
            <w:tcW w:type="dxa" w:w="1000"/>
            <w:tcBorders>
              <w:top w:val="single" w:color="CCCCCC" w:sz="1"/>
              <w:left w:val="single" w:color="CCCCCC" w:sz="1"/>
              <w:bottom w:val="single" w:color="CCCCCC" w:sz="1"/>
              <w:right w:val="single" w:color="CCCCCC" w:sz="1"/>
            </w:tcBorders>
            <w:shd w:fill="FDEDEC" w:val="clear"/>
            <w:tcMar>
              <w:top w:type="dxa" w:w="72"/>
              <w:left w:type="dxa" w:w="130"/>
              <w:bottom w:type="dxa" w:w="72"/>
              <w:right w:type="dxa" w:w="130"/>
            </w:tcMar>
          </w:tcPr>
          <w:p>
            <w:pPr>
              <w:jc w:val="left"/>
            </w:pPr>
            <w:r>
              <w:rPr>
                <w:b w:val="false"/>
                <w:bCs w:val="false"/>
                <w:sz w:val="18"/>
                <w:szCs w:val="18"/>
              </w:rPr>
              <w:t xml:space="preserve">30%</w:t>
            </w:r>
          </w:p>
        </w:tc>
        <w:tc>
          <w:tcPr>
            <w:tcW w:type="dxa" w:w="1080"/>
            <w:tcBorders>
              <w:top w:val="single" w:color="CCCCCC" w:sz="1"/>
              <w:left w:val="single" w:color="CCCCCC" w:sz="1"/>
              <w:bottom w:val="single" w:color="CCCCCC" w:sz="1"/>
              <w:right w:val="single" w:color="CCCCCC" w:sz="1"/>
            </w:tcBorders>
            <w:shd w:fill="FDEDEC" w:val="clear"/>
            <w:tcMar>
              <w:top w:type="dxa" w:w="72"/>
              <w:left w:type="dxa" w:w="130"/>
              <w:bottom w:type="dxa" w:w="72"/>
              <w:right w:type="dxa" w:w="130"/>
            </w:tcMar>
          </w:tcPr>
          <w:p>
            <w:pPr>
              <w:jc w:val="left"/>
            </w:pPr>
            <w:r>
              <w:rPr>
                <w:b w:val="false"/>
                <w:bCs w:val="false"/>
                <w:sz w:val="18"/>
                <w:szCs w:val="18"/>
              </w:rPr>
              <w:t xml:space="preserve">45.6s</w:t>
            </w:r>
          </w:p>
        </w:tc>
      </w:tr>
      <w:tr>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Suelos y Alicatados</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shd w:fill="FDEDEC" w:val="clear"/>
            <w:tcMar>
              <w:top w:type="dxa" w:w="72"/>
              <w:left w:type="dxa" w:w="130"/>
              <w:bottom w:type="dxa" w:w="72"/>
              <w:right w:type="dxa" w:w="130"/>
            </w:tcMar>
          </w:tcPr>
          <w:p>
            <w:pPr>
              <w:jc w:val="left"/>
            </w:pPr>
            <w:r>
              <w:rPr>
                <w:b w:val="false"/>
                <w:bCs w:val="false"/>
                <w:sz w:val="18"/>
                <w:szCs w:val="18"/>
              </w:rPr>
              <w:t xml:space="preserve">1</w:t>
            </w:r>
          </w:p>
        </w:tc>
        <w:tc>
          <w:tcPr>
            <w:tcW w:type="dxa" w:w="90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8"/>
                <w:szCs w:val="18"/>
              </w:rPr>
              <w:t xml:space="preserve">85%</w:t>
            </w:r>
          </w:p>
        </w:tc>
        <w:tc>
          <w:tcPr>
            <w:tcW w:type="dxa" w:w="1000"/>
            <w:tcBorders>
              <w:top w:val="single" w:color="CCCCCC" w:sz="1"/>
              <w:left w:val="single" w:color="CCCCCC" w:sz="1"/>
              <w:bottom w:val="single" w:color="CCCCCC" w:sz="1"/>
              <w:right w:val="single" w:color="CCCCCC" w:sz="1"/>
            </w:tcBorders>
            <w:shd w:fill="FDEDEC" w:val="clear"/>
            <w:tcMar>
              <w:top w:type="dxa" w:w="72"/>
              <w:left w:type="dxa" w:w="130"/>
              <w:bottom w:type="dxa" w:w="72"/>
              <w:right w:type="dxa" w:w="130"/>
            </w:tcMar>
          </w:tcPr>
          <w:p>
            <w:pPr>
              <w:jc w:val="left"/>
            </w:pPr>
            <w:r>
              <w:rPr>
                <w:b w:val="false"/>
                <w:bCs w:val="false"/>
                <w:sz w:val="18"/>
                <w:szCs w:val="18"/>
              </w:rPr>
              <w:t xml:space="preserve">55%</w:t>
            </w:r>
          </w:p>
        </w:tc>
        <w:tc>
          <w:tcPr>
            <w:tcW w:type="dxa" w:w="108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18.8s</w:t>
            </w:r>
          </w:p>
        </w:tc>
      </w:tr>
      <w:tr>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Tejados/Cubiertas</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4</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90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8"/>
                <w:szCs w:val="18"/>
              </w:rPr>
              <w:t xml:space="preserve">80%</w:t>
            </w:r>
          </w:p>
        </w:tc>
        <w:tc>
          <w:tcPr>
            <w:tcW w:type="dxa" w:w="1000"/>
            <w:tcBorders>
              <w:top w:val="single" w:color="CCCCCC" w:sz="1"/>
              <w:left w:val="single" w:color="CCCCCC" w:sz="1"/>
              <w:bottom w:val="single" w:color="CCCCCC" w:sz="1"/>
              <w:right w:val="single" w:color="CCCCCC" w:sz="1"/>
            </w:tcBorders>
            <w:shd w:fill="FDEDEC" w:val="clear"/>
            <w:tcMar>
              <w:top w:type="dxa" w:w="72"/>
              <w:left w:type="dxa" w:w="130"/>
              <w:bottom w:type="dxa" w:w="72"/>
              <w:right w:type="dxa" w:w="130"/>
            </w:tcMar>
          </w:tcPr>
          <w:p>
            <w:pPr>
              <w:jc w:val="left"/>
            </w:pPr>
            <w:r>
              <w:rPr>
                <w:b w:val="false"/>
                <w:bCs w:val="false"/>
                <w:sz w:val="18"/>
                <w:szCs w:val="18"/>
              </w:rPr>
              <w:t xml:space="preserve">55%</w:t>
            </w:r>
          </w:p>
        </w:tc>
        <w:tc>
          <w:tcPr>
            <w:tcW w:type="dxa" w:w="108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8"/>
                <w:szCs w:val="18"/>
              </w:rPr>
              <w:t xml:space="preserve">22.6s</w:t>
            </w:r>
          </w:p>
        </w:tc>
      </w:tr>
      <w:tr>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Telecomunicaciones</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20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78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8"/>
                <w:szCs w:val="18"/>
              </w:rPr>
              <w:t xml:space="preserve">0</w:t>
            </w:r>
          </w:p>
        </w:tc>
        <w:tc>
          <w:tcPr>
            <w:tcW w:type="dxa" w:w="9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100%</w:t>
            </w:r>
          </w:p>
        </w:tc>
        <w:tc>
          <w:tcPr>
            <w:tcW w:type="dxa" w:w="10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90%</w:t>
            </w:r>
          </w:p>
        </w:tc>
        <w:tc>
          <w:tcPr>
            <w:tcW w:type="dxa" w:w="108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8"/>
                <w:szCs w:val="18"/>
              </w:rPr>
              <w:t xml:space="preserve">20.9s</w:t>
            </w:r>
          </w:p>
        </w:tc>
      </w:tr>
      <w:tr>
        <w:tc>
          <w:tcPr>
            <w:tcW w:type="dxa" w:w="25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8"/>
                <w:szCs w:val="18"/>
              </w:rPr>
              <w:t xml:space="preserve">TOTAL</w:t>
            </w:r>
          </w:p>
        </w:tc>
        <w:tc>
          <w:tcPr>
            <w:tcW w:type="dxa" w:w="7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8"/>
                <w:szCs w:val="18"/>
              </w:rPr>
              <w:t xml:space="preserve">400</w:t>
            </w:r>
          </w:p>
        </w:tc>
        <w:tc>
          <w:tcPr>
            <w:tcW w:type="dxa" w:w="78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8"/>
                <w:szCs w:val="18"/>
              </w:rPr>
              <w:t xml:space="preserve">353</w:t>
            </w:r>
          </w:p>
        </w:tc>
        <w:tc>
          <w:tcPr>
            <w:tcW w:type="dxa" w:w="78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8"/>
                <w:szCs w:val="18"/>
              </w:rPr>
              <w:t xml:space="preserve">33</w:t>
            </w:r>
          </w:p>
        </w:tc>
        <w:tc>
          <w:tcPr>
            <w:tcW w:type="dxa" w:w="78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8"/>
                <w:szCs w:val="18"/>
              </w:rPr>
              <w:t xml:space="preserve">7</w:t>
            </w:r>
          </w:p>
        </w:tc>
        <w:tc>
          <w:tcPr>
            <w:tcW w:type="dxa" w:w="78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8"/>
                <w:szCs w:val="18"/>
              </w:rPr>
              <w:t xml:space="preserve">6</w:t>
            </w:r>
          </w:p>
        </w:tc>
        <w:tc>
          <w:tcPr>
            <w:tcW w:type="dxa" w:w="9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8"/>
                <w:szCs w:val="18"/>
              </w:rPr>
              <w:t xml:space="preserve">89%</w:t>
            </w:r>
          </w:p>
        </w:tc>
        <w:tc>
          <w:tcPr>
            <w:tcW w:type="dxa" w:w="10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8"/>
                <w:szCs w:val="18"/>
              </w:rPr>
              <w:t xml:space="preserve">71%</w:t>
            </w:r>
          </w:p>
        </w:tc>
        <w:tc>
          <w:tcPr>
            <w:tcW w:type="dxa" w:w="108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8"/>
                <w:szCs w:val="18"/>
              </w:rPr>
              <w:t xml:space="preserve">22,0s</w:t>
            </w:r>
          </w:p>
        </w:tc>
      </w:tr>
    </w:tbl>
    <w:p>
      <w:pPr>
        <w:spacing w:after="0" w:before="120"/>
      </w:pPr>
      <w:r>
        <w:t xml:space="preserve"/>
      </w:r>
    </w:p>
    <w:p>
      <w:pPr>
        <w:spacing w:after="100" w:before="260"/>
      </w:pPr>
      <w:r>
        <w:rPr>
          <w:b/>
          <w:bCs/>
          <w:color w:val="4A6741"/>
          <w:sz w:val="24"/>
          <w:szCs w:val="24"/>
        </w:rPr>
        <w:t xml:space="preserve">4.1  Oficios con tasa de éxito del 100%</w:t>
      </w:r>
    </w:p>
    <w:p>
      <w:pPr>
        <w:spacing w:after="140"/>
      </w:pPr>
      <w:r>
        <w:rPr>
          <w:sz w:val="22"/>
          <w:szCs w:val="22"/>
        </w:rPr>
        <w:t xml:space="preserve">Tres oficios resolvieron el 100% de sus 20 peticiones sin ningún fallo:</w:t>
      </w:r>
    </w:p>
    <w:p>
      <w:pPr>
        <w:pStyle w:val="ListParagraph"/>
        <w:numPr>
          <w:ilvl w:val="0"/>
          <w:numId w:val="2"/>
        </w:numPr>
        <w:spacing w:after="80"/>
      </w:pPr>
      <w:r>
        <w:rPr>
          <w:b/>
          <w:bCs/>
          <w:sz w:val="22"/>
          <w:szCs w:val="22"/>
        </w:rPr>
        <w:t xml:space="preserve">Carpintería </w:t>
      </w:r>
      <w:r>
        <w:rPr>
          <w:sz w:val="22"/>
          <w:szCs w:val="22"/>
        </w:rPr>
        <w:t xml:space="preserve">(100% / 85% coincidencia de oficio): </w:t>
      </w:r>
      <w:r>
        <w:rPr>
          <w:sz w:val="22"/>
          <w:szCs w:val="22"/>
        </w:rPr>
        <w:t xml:space="preserve">Peticiones de ventanas, puertas, armarios y tarimas. El motor las clasifica y descompone sin errores. Latencia media: 20,3s.</w:t>
      </w:r>
    </w:p>
    <w:p>
      <w:pPr>
        <w:pStyle w:val="ListParagraph"/>
        <w:numPr>
          <w:ilvl w:val="0"/>
          <w:numId w:val="2"/>
        </w:numPr>
        <w:spacing w:after="80"/>
      </w:pPr>
      <w:r>
        <w:rPr>
          <w:b/>
          <w:bCs/>
          <w:sz w:val="22"/>
          <w:szCs w:val="22"/>
        </w:rPr>
        <w:t xml:space="preserve">Cristalería </w:t>
      </w:r>
      <w:r>
        <w:rPr>
          <w:sz w:val="22"/>
          <w:szCs w:val="22"/>
        </w:rPr>
        <w:t xml:space="preserve">(100% / 95% coincidencia): </w:t>
      </w:r>
      <w:r>
        <w:rPr>
          <w:sz w:val="22"/>
          <w:szCs w:val="22"/>
        </w:rPr>
        <w:t xml:space="preserve">Mamparas, cristales, espejos y escaparates. Uno de los oficios con mejor coincidencia de oficio. Latencia media: 18,1s.</w:t>
      </w:r>
    </w:p>
    <w:p>
      <w:pPr>
        <w:pStyle w:val="ListParagraph"/>
        <w:numPr>
          <w:ilvl w:val="0"/>
          <w:numId w:val="2"/>
        </w:numPr>
        <w:spacing w:after="80"/>
      </w:pPr>
      <w:r>
        <w:rPr>
          <w:b/>
          <w:bCs/>
          <w:sz w:val="22"/>
          <w:szCs w:val="22"/>
        </w:rPr>
        <w:t xml:space="preserve">Telecomunicaciones </w:t>
      </w:r>
      <w:r>
        <w:rPr>
          <w:sz w:val="22"/>
          <w:szCs w:val="22"/>
        </w:rPr>
        <w:t xml:space="preserve">(100% / 90% coincidencia): </w:t>
      </w:r>
      <w:r>
        <w:rPr>
          <w:sz w:val="22"/>
          <w:szCs w:val="22"/>
        </w:rPr>
        <w:t xml:space="preserve">El único caso de OK_CATALOGO en todo el test — una consulta de red devolvió una partida exacta de la Base Maestra global. Latencia media: 20,9s.</w:t>
      </w:r>
    </w:p>
    <w:p>
      <w:pPr>
        <w:spacing w:after="0" w:before="80"/>
      </w:pPr>
      <w:r>
        <w:t xml:space="preserve"/>
      </w:r>
    </w:p>
    <w:p>
      <w:pPr>
        <w:spacing w:after="100" w:before="260"/>
      </w:pPr>
      <w:r>
        <w:rPr>
          <w:b/>
          <w:bCs/>
          <w:color w:val="1E7B4B"/>
          <w:sz w:val="24"/>
          <w:szCs w:val="24"/>
        </w:rPr>
        <w:t xml:space="preserve">4.2  Oficios de alto rendimiento (90–95%)</w:t>
      </w:r>
    </w:p>
    <w:p>
      <w:pPr>
        <w:spacing w:after="140"/>
      </w:pPr>
      <w:r>
        <w:rPr>
          <w:sz w:val="22"/>
          <w:szCs w:val="22"/>
        </w:rPr>
        <w:t xml:space="preserve">Siete oficios con tasa de éxito entre 90% y 95%, sin VACÍO ni ERROR_TECNICO:</w:t>
      </w:r>
    </w:p>
    <w:p>
      <w:pPr>
        <w:pStyle w:val="ListParagraph"/>
        <w:numPr>
          <w:ilvl w:val="0"/>
          <w:numId w:val="2"/>
        </w:numPr>
        <w:spacing w:after="80"/>
      </w:pPr>
      <w:r>
        <w:rPr>
          <w:b/>
          <w:bCs/>
          <w:sz w:val="22"/>
          <w:szCs w:val="22"/>
        </w:rPr>
        <w:t xml:space="preserve">Electricidad y Fontanería (95%): </w:t>
      </w:r>
      <w:r>
        <w:rPr>
          <w:sz w:val="22"/>
          <w:szCs w:val="22"/>
        </w:rPr>
        <w:t xml:space="preserve">Los dos oficios más maduros de la Base Maestra. Gestionan perfectamente peticiones de cambio de cuadros, instalaciones, fontanería de servicio y sustituciones complejas.</w:t>
      </w:r>
    </w:p>
    <w:p>
      <w:pPr>
        <w:pStyle w:val="ListParagraph"/>
        <w:numPr>
          <w:ilvl w:val="0"/>
          <w:numId w:val="2"/>
        </w:numPr>
        <w:spacing w:after="80"/>
      </w:pPr>
      <w:r>
        <w:rPr>
          <w:b/>
          <w:bCs/>
          <w:sz w:val="22"/>
          <w:szCs w:val="22"/>
        </w:rPr>
        <w:t xml:space="preserve">Persianas, Pladur y Climatización (90–95%): </w:t>
      </w:r>
      <w:r>
        <w:rPr>
          <w:sz w:val="22"/>
          <w:szCs w:val="22"/>
        </w:rPr>
        <w:t xml:space="preserve">Oficios con vocabulario técnico específico que el motor identifica con fiabilidad. Los únicos fallos son 1-2 peticiones que van a SOLO_SUGERIDAS por falta de cobertura de catálogo global.</w:t>
      </w:r>
    </w:p>
    <w:p>
      <w:pPr>
        <w:pStyle w:val="ListParagraph"/>
        <w:numPr>
          <w:ilvl w:val="0"/>
          <w:numId w:val="2"/>
        </w:numPr>
        <w:spacing w:after="80"/>
      </w:pPr>
      <w:r>
        <w:rPr>
          <w:b/>
          <w:bCs/>
          <w:sz w:val="22"/>
          <w:szCs w:val="22"/>
        </w:rPr>
        <w:t xml:space="preserve">Jardinería y Pintura (90%): </w:t>
      </w:r>
      <w:r>
        <w:rPr>
          <w:sz w:val="22"/>
          <w:szCs w:val="22"/>
        </w:rPr>
        <w:t xml:space="preserve">Oficios de amplio espectro. Los 2 casos de SOLO_SUGERIDAS se generan en peticiones muy específicas ("diseñar jardín mediterráneo de bajo mantenimiento", "pintar fachada con grietas") que la IA estructura correctamente pero sin precio.</w:t>
      </w:r>
    </w:p>
    <w:p>
      <w:pPr>
        <w:spacing w:after="0" w:before="80"/>
      </w:pPr>
      <w:r>
        <w:t xml:space="preserve"/>
      </w:r>
    </w:p>
    <w:p>
      <w:pPr>
        <w:spacing w:after="100" w:before="260"/>
      </w:pPr>
      <w:r>
        <w:rPr>
          <w:b/>
          <w:bCs/>
          <w:color w:val="1C2535"/>
          <w:sz w:val="24"/>
          <w:szCs w:val="24"/>
        </w:rPr>
        <w:t xml:space="preserve">4.3  Oficios con lagunas de catálogo (75–85%)</w:t>
      </w:r>
    </w:p>
    <w:p>
      <w:pPr>
        <w:pStyle w:val="ListParagraph"/>
        <w:numPr>
          <w:ilvl w:val="0"/>
          <w:numId w:val="2"/>
        </w:numPr>
        <w:spacing w:after="80"/>
      </w:pPr>
      <w:r>
        <w:rPr>
          <w:b/>
          <w:bCs/>
          <w:sz w:val="22"/>
          <w:szCs w:val="22"/>
        </w:rPr>
        <w:t xml:space="preserve">Impermeabilización (75% / 60% coincidencia): </w:t>
      </w:r>
      <w:r>
        <w:rPr>
          <w:sz w:val="22"/>
          <w:szCs w:val="22"/>
        </w:rPr>
        <w:t xml:space="preserve">El oficio más débil en términos de cobertura. 5 de 20 consultas van a SOLO_SUGERIDAS — el motor genera partidas correctas pero sin referencia en catálogo. Señal clara de que este oficio necesita ampliación en la Base Maestra. La coincidencia del 60% indica además que algunas peticiones son clasificadas como Albañilería o Fachadas.</w:t>
      </w:r>
    </w:p>
    <w:p>
      <w:pPr>
        <w:pStyle w:val="ListParagraph"/>
        <w:numPr>
          <w:ilvl w:val="0"/>
          <w:numId w:val="2"/>
        </w:numPr>
        <w:spacing w:after="80"/>
      </w:pPr>
      <w:r>
        <w:rPr>
          <w:b/>
          <w:bCs/>
          <w:sz w:val="22"/>
          <w:szCs w:val="22"/>
        </w:rPr>
        <w:t xml:space="preserve">Contra Incendios (85% / 50% coincidencia): </w:t>
      </w:r>
      <w:r>
        <w:rPr>
          <w:sz w:val="22"/>
          <w:szCs w:val="22"/>
        </w:rPr>
        <w:t xml:space="preserve">Tasa de éxito aceptable pero con solo el 50% de detección correcta del oficio. El motor tiende a clasificar peticiones de detección de incendios como Electricidad o Seguridad. No es un error de partidas — el presupuesto sale bien — pero el oficio queda mal etiquetado.</w:t>
      </w:r>
    </w:p>
    <w:p>
      <w:pPr>
        <w:pStyle w:val="ListParagraph"/>
        <w:numPr>
          <w:ilvl w:val="0"/>
          <w:numId w:val="2"/>
        </w:numPr>
        <w:spacing w:after="80"/>
      </w:pPr>
      <w:r>
        <w:rPr>
          <w:b/>
          <w:bCs/>
          <w:sz w:val="22"/>
          <w:szCs w:val="22"/>
        </w:rPr>
        <w:t xml:space="preserve">Fachadas (85% / 40% coincidencia): </w:t>
      </w:r>
      <w:r>
        <w:rPr>
          <w:sz w:val="22"/>
          <w:szCs w:val="22"/>
        </w:rPr>
        <w:t xml:space="preserve">El segundo peor en coincidencia de oficio. Las peticiones de fachadas son clasificadas frecuentemente como Albañilería o Pintura. El trabajo en sí es casi siempre correcto (85% OK), pero la categorización de la solicitud falla en 6 de cada 10 casos.</w:t>
      </w:r>
    </w:p>
    <w:p>
      <w:pPr>
        <w:pStyle w:val="ListParagraph"/>
        <w:numPr>
          <w:ilvl w:val="0"/>
          <w:numId w:val="2"/>
        </w:numPr>
        <w:spacing w:after="80"/>
      </w:pPr>
      <w:r>
        <w:rPr>
          <w:b/>
          <w:bCs/>
          <w:sz w:val="22"/>
          <w:szCs w:val="22"/>
        </w:rPr>
        <w:t xml:space="preserve">Tejados/Cubiertas (80% / 55%): </w:t>
      </w:r>
      <w:r>
        <w:rPr>
          <w:sz w:val="22"/>
          <w:szCs w:val="22"/>
        </w:rPr>
        <w:t xml:space="preserve">4 SOLO_SUGERIDAS en peticiones de teja árabe, lucernarios y cubiertas singulares. El vocabulario técnico de cubiertas no está bien representado en el catálogo global actual.</w:t>
      </w:r>
    </w:p>
    <w:p>
      <w:pPr>
        <w:pStyle w:val="ListParagraph"/>
        <w:numPr>
          <w:ilvl w:val="0"/>
          <w:numId w:val="2"/>
        </w:numPr>
        <w:spacing w:after="80"/>
      </w:pPr>
      <w:r>
        <w:rPr>
          <w:b/>
          <w:bCs/>
          <w:sz w:val="22"/>
          <w:szCs w:val="22"/>
        </w:rPr>
        <w:t xml:space="preserve">Albañilería (85% / 80%): </w:t>
      </w:r>
      <w:r>
        <w:rPr>
          <w:sz w:val="22"/>
          <w:szCs w:val="22"/>
        </w:rPr>
        <w:t xml:space="preserve">Rendimiento sólido con 3 SOLO_SUGERIDAS en peticiones complejas ("construir muro de carga para ampliación", "hacer cerramiento de terraza"). La coincidencia de oficio es buena (80%).</w:t>
      </w:r>
    </w:p>
    <w:p>
      <w:pPr>
        <w:spacing w:after="0" w:before="80"/>
      </w:pPr>
      <w:r>
        <w:t xml:space="preserve"/>
      </w:r>
    </w:p>
    <w:p>
      <w:pPr>
        <w:spacing w:after="100" w:before="260"/>
      </w:pPr>
      <w:r>
        <w:rPr>
          <w:b/>
          <w:bCs/>
          <w:color w:val="B84E35"/>
          <w:sz w:val="24"/>
          <w:szCs w:val="24"/>
        </w:rPr>
        <w:t xml:space="preserve">4.4  Oficios con problemas específicos que requieren acción</w:t>
      </w:r>
    </w:p>
    <w:p>
      <w:pPr>
        <w:pStyle w:val="ListParagraph"/>
        <w:numPr>
          <w:ilvl w:val="0"/>
          <w:numId w:val="2"/>
        </w:numPr>
        <w:spacing w:after="80"/>
      </w:pPr>
      <w:r>
        <w:rPr>
          <w:b/>
          <w:bCs/>
          <w:color w:val="B84E35"/>
          <w:sz w:val="22"/>
          <w:szCs w:val="22"/>
        </w:rPr>
        <w:t xml:space="preserve">Reformas Integrales (65% / 30%): </w:t>
      </w:r>
      <w:r>
        <w:rPr>
          <w:sz w:val="22"/>
          <w:szCs w:val="22"/>
        </w:rPr>
        <w:t xml:space="preserve">El único oficio que no cumple el umbral de éxito del 70% (está en 65%). Concentra LOS 7 VACÍO del test y la latencia más alta (45.623 ms). El patrón es claro: cuando la petición involucra múltiples oficios simultáneos (baño completo llave en mano, reforma de local, chalet integral), el motor entra en timeout al intentar descomponer demasiadas actuaciones en un solo paso. La coincidencia del 30% confirma que el motor también tiene dificultad para etiquetar este oficio correctamente. </w:t>
      </w:r>
      <w:r>
        <w:rPr>
          <w:b/>
          <w:bCs/>
          <w:color w:val="B84E35"/>
          <w:sz w:val="22"/>
          <w:szCs w:val="22"/>
        </w:rPr>
        <w:t xml:space="preserve">Acción requerida antes de lanzamiento.</w:t>
      </w:r>
    </w:p>
    <w:p>
      <w:pPr>
        <w:pStyle w:val="ListParagraph"/>
        <w:numPr>
          <w:ilvl w:val="0"/>
          <w:numId w:val="2"/>
        </w:numPr>
        <w:spacing w:after="80"/>
      </w:pPr>
      <w:r>
        <w:rPr>
          <w:b/>
          <w:bCs/>
          <w:color w:val="B84E35"/>
          <w:sz w:val="22"/>
          <w:szCs w:val="22"/>
        </w:rPr>
        <w:t xml:space="preserve">Mantenimiento General (80% / 5%): </w:t>
      </w:r>
      <w:r>
        <w:rPr>
          <w:sz w:val="22"/>
          <w:szCs w:val="22"/>
        </w:rPr>
        <w:t xml:space="preserve">La coincidencia de oficio del 5% es el dato más anómalo de todo el test. No es un problema de calidad del presupuesto (80% de las consultas tienen resultado correcto) sino de </w:t>
      </w:r>
      <w:r>
        <w:rPr>
          <w:b/>
          <w:bCs/>
          <w:sz w:val="22"/>
          <w:szCs w:val="22"/>
        </w:rPr>
        <w:t xml:space="preserve">etiquetado de oficio</w:t>
      </w:r>
      <w:r>
        <w:rPr>
          <w:sz w:val="22"/>
          <w:szCs w:val="22"/>
        </w:rPr>
        <w:t xml:space="preserve">: el motor entiende la petición y genera partidas válidas, pero no la clasifica como 'mantenimiento_general' — la clasifica como el oficio principal que aparece en el texto (fontanería, electricidad, etc.). Los 2 ERROR_TECNICO son peticiones de contrato de mantenimiento rechazadas por restricción de plan — comportamiento correcto de la aplicación.</w:t>
      </w:r>
    </w:p>
    <w:p>
      <w:pPr>
        <w:shd w:fill="B84E35" w:val="clear"/>
        <w:spacing w:after="160" w:before="400"/>
      </w:pPr>
      <w:r>
        <w:rPr>
          <w:b/>
          <w:bCs/>
          <w:color w:val="FFFFFF"/>
          <w:sz w:val="26"/>
          <w:szCs w:val="26"/>
        </w:rPr>
        <w:t xml:space="preserve">5. ANÁLISIS DETALLADO DE FALLOS</w:t>
      </w:r>
    </w:p>
    <w:p>
      <w:pPr>
        <w:spacing w:after="100" w:before="260"/>
      </w:pPr>
      <w:r>
        <w:rPr>
          <w:b/>
          <w:bCs/>
          <w:color w:val="1C2535"/>
          <w:sz w:val="24"/>
          <w:szCs w:val="24"/>
        </w:rPr>
        <w:t xml:space="preserve">5.1  Los 7 casos VACÍO — todos en Reformas Integrales</w:t>
      </w:r>
    </w:p>
    <w:p>
      <w:pPr>
        <w:spacing w:after="140"/>
      </w:pPr>
      <w:r>
        <w:rPr>
          <w:sz w:val="22"/>
          <w:szCs w:val="22"/>
        </w:rPr>
        <w:t xml:space="preserve">El patrón es inequívoco: los 7 casos sin partidas son exactamente las peticiones de mayor complejidad multi-oficio del test. La latencia de estos casos (49.000–57.000 ms) confirma que el motor no está fallando por falta de comprensión sino por </w:t>
      </w:r>
    </w:p>
    <w:p>
      <w:pPr>
        <w:spacing w:after="140"/>
      </w:pPr>
      <w:r>
        <w:rPr>
          <w:b/>
          <w:bCs/>
          <w:sz w:val="22"/>
          <w:szCs w:val="22"/>
        </w:rPr>
        <w:t xml:space="preserve">timeout al procesar peticiones que combinan 4-6 oficios distintos en una sola consulta</w:t>
      </w:r>
      <w:r>
        <w:rPr>
          <w:sz w:val="22"/>
          <w:szCs w:val="22"/>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900"/>
        <w:gridCol w:w="3760"/>
      </w:tblGrid>
      <w:tr>
        <w:trPr>
          <w:tblHeader/>
        </w:trPr>
        <w:tc>
          <w:tcPr>
            <w:tcW w:type="dxa" w:w="5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ID</w:t>
            </w:r>
          </w:p>
        </w:tc>
        <w:tc>
          <w:tcPr>
            <w:tcW w:type="dxa" w:w="42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Texto de la consulta</w:t>
            </w:r>
          </w:p>
        </w:tc>
        <w:tc>
          <w:tcPr>
            <w:tcW w:type="dxa" w:w="9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Latencia</w:t>
            </w:r>
          </w:p>
        </w:tc>
        <w:tc>
          <w:tcPr>
            <w:tcW w:type="dxa" w:w="376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Causa probable</w:t>
            </w:r>
          </w:p>
        </w:tc>
      </w:tr>
      <w:tr>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363</w:t>
            </w:r>
          </w:p>
        </w:tc>
        <w:tc>
          <w:tcPr>
            <w:tcW w:type="dxa" w:w="4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Reforma de baño completo con ducha a ras de suelo, doble lavabo, sanitarios suspendidos y suelo calefactado</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50,1s</w:t>
            </w:r>
          </w:p>
        </w:tc>
        <w:tc>
          <w:tcPr>
            <w:tcW w:type="dxa" w:w="3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5 oficios combinados: fontanería + electricidad + azulejo + pladur + suelo radiante</w:t>
            </w:r>
          </w:p>
        </w:tc>
      </w:tr>
      <w:tr>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364</w:t>
            </w:r>
          </w:p>
        </w:tc>
        <w:tc>
          <w:tcPr>
            <w:tcW w:type="dxa" w:w="4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Convertir local comercial en vivienda de 60 m² con licencia de cambio de uso</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54,9s</w:t>
            </w:r>
          </w:p>
        </w:tc>
        <w:tc>
          <w:tcPr>
            <w:tcW w:type="dxa" w:w="3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Petición administrativa + 4 oficios de obra + gestión de licencia</w:t>
            </w:r>
          </w:p>
        </w:tc>
      </w:tr>
      <w:tr>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365</w:t>
            </w:r>
          </w:p>
        </w:tc>
        <w:tc>
          <w:tcPr>
            <w:tcW w:type="dxa" w:w="4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Actualizar piso de los años 80, quitar gotelé, modernizar cocina y baño, pintura y suelo nuevo</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57,4s</w:t>
            </w:r>
          </w:p>
        </w:tc>
        <w:tc>
          <w:tcPr>
            <w:tcW w:type="dxa" w:w="3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4 oficios: albañilería + pintura + cocina + baño completo</w:t>
            </w:r>
          </w:p>
        </w:tc>
      </w:tr>
      <w:tr>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368</w:t>
            </w:r>
          </w:p>
        </w:tc>
        <w:tc>
          <w:tcPr>
            <w:tcW w:type="dxa" w:w="4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Reforma de local para abrir restaurante, cocina industrial, distribución de sala y servicios</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56,5s</w:t>
            </w:r>
          </w:p>
        </w:tc>
        <w:tc>
          <w:tcPr>
            <w:tcW w:type="dxa" w:w="3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Cocina industrial + instalaciones especiales + albañilería + electricidad</w:t>
            </w:r>
          </w:p>
        </w:tc>
      </w:tr>
      <w:tr>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373</w:t>
            </w:r>
          </w:p>
        </w:tc>
        <w:tc>
          <w:tcPr>
            <w:tcW w:type="dxa" w:w="4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Reformar chalet de 200 m² de forma integral, distribución, acabados y eficiencia energética</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50,2s</w:t>
            </w:r>
          </w:p>
        </w:tc>
        <w:tc>
          <w:tcPr>
            <w:tcW w:type="dxa" w:w="3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Scope demasiado amplio: múltiples plantas, todos los oficios</w:t>
            </w:r>
          </w:p>
        </w:tc>
      </w:tr>
      <w:tr>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378</w:t>
            </w:r>
          </w:p>
        </w:tc>
        <w:tc>
          <w:tcPr>
            <w:tcW w:type="dxa" w:w="4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Construir ático nuevo en solar con cubierta inclinada y terraza de 30 m²</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51,2s</w:t>
            </w:r>
          </w:p>
        </w:tc>
        <w:tc>
          <w:tcPr>
            <w:tcW w:type="dxa" w:w="3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Obra nueva + cubiertas + estructura — fuera del alcance de un presupuesto de instalador</w:t>
            </w:r>
          </w:p>
        </w:tc>
      </w:tr>
      <w:tr>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379</w:t>
            </w:r>
          </w:p>
        </w:tc>
        <w:tc>
          <w:tcPr>
            <w:tcW w:type="dxa" w:w="4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Reforma integral de farmacia con nueva distribución de mostrador, almacén y zona de espera</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49,3s</w:t>
            </w:r>
          </w:p>
        </w:tc>
        <w:tc>
          <w:tcPr>
            <w:tcW w:type="dxa" w:w="3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Local comercial especial + distribución + instalaciones + mobiliario</w:t>
            </w:r>
          </w:p>
        </w:tc>
      </w:tr>
    </w:tbl>
    <w:p>
      <w:pPr>
        <w:spacing w:after="0" w:before="120"/>
      </w:pPr>
      <w:r>
        <w:t xml:space="preserve"/>
      </w:r>
    </w:p>
    <w:p>
      <w:pPr>
        <w:spacing w:after="100" w:before="260"/>
      </w:pPr>
      <w:r>
        <w:rPr>
          <w:b/>
          <w:bCs/>
          <w:color w:val="1C2535"/>
          <w:sz w:val="24"/>
          <w:szCs w:val="24"/>
        </w:rPr>
        <w:t xml:space="preserve">5.2  Los 4 casos PRECIO_INVALIDO</w:t>
      </w:r>
    </w:p>
    <w:p>
      <w:pPr>
        <w:spacing w:after="140"/>
      </w:pPr>
      <w:r>
        <w:rPr>
          <w:sz w:val="22"/>
          <w:szCs w:val="22"/>
        </w:rPr>
        <w:t xml:space="preserve">Son partidas que el motor devuelve con estado 'catalogo' (encontradas en la Base Maestra) pero con precio_unitario = 0. El enriquecimiento no propaga el precio correctamente en estos 4 casos de servicios especiales: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200"/>
        <w:gridCol w:w="4160"/>
      </w:tblGrid>
      <w:tr>
        <w:trPr>
          <w:tblHeader/>
        </w:trPr>
        <w:tc>
          <w:tcPr>
            <w:tcW w:type="dxa" w:w="5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ID</w:t>
            </w:r>
          </w:p>
        </w:tc>
        <w:tc>
          <w:tcPr>
            <w:tcW w:type="dxa" w:w="15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Oficio</w:t>
            </w:r>
          </w:p>
        </w:tc>
        <w:tc>
          <w:tcPr>
            <w:tcW w:type="dxa" w:w="32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Consulta</w:t>
            </w:r>
          </w:p>
        </w:tc>
        <w:tc>
          <w:tcPr>
            <w:tcW w:type="dxa" w:w="416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Por qué falla el precio</w:t>
            </w:r>
          </w:p>
        </w:tc>
      </w:tr>
      <w:tr>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167</w:t>
            </w:r>
          </w:p>
        </w:tc>
        <w:tc>
          <w:tcPr>
            <w:tcW w:type="dxa" w:w="1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Suelos y Alicatados</w:t>
            </w:r>
          </w:p>
        </w:tc>
        <w:tc>
          <w:tcPr>
            <w:tcW w:type="dxa" w:w="3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Alicatar piscina con gresite azul, vaciado y colocación en paredes y fondo, 40 m²</w:t>
            </w:r>
          </w:p>
        </w:tc>
        <w:tc>
          <w:tcPr>
            <w:tcW w:type="dxa" w:w="4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'Gresite' es material de nicho — el catálogo tiene la partida de instalación pero sin precio por ser material especial de pedido</w:t>
            </w:r>
          </w:p>
        </w:tc>
      </w:tr>
      <w:tr>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183</w:t>
            </w:r>
          </w:p>
        </w:tc>
        <w:tc>
          <w:tcPr>
            <w:tcW w:type="dxa" w:w="1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Cerrajería</w:t>
            </w:r>
          </w:p>
        </w:tc>
        <w:tc>
          <w:tcPr>
            <w:tcW w:type="dxa" w:w="3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Apertura de urgencia de puerta de casa, me he quedado encerrado fuera sin llaves</w:t>
            </w:r>
          </w:p>
        </w:tc>
        <w:tc>
          <w:tcPr>
            <w:tcW w:type="dxa" w:w="4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Servicio de urgencia — el precio varía por hora y zona. La partida existe en catálogo pero sin precio fijo</w:t>
            </w:r>
          </w:p>
        </w:tc>
      </w:tr>
      <w:tr>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184</w:t>
            </w:r>
          </w:p>
        </w:tc>
        <w:tc>
          <w:tcPr>
            <w:tcW w:type="dxa" w:w="1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Cerrajería</w:t>
            </w:r>
          </w:p>
        </w:tc>
        <w:tc>
          <w:tcPr>
            <w:tcW w:type="dxa" w:w="3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Hacer llave maestra para 6 puertas de apartamentos turísticos, sistema de cerrojo unificado</w:t>
            </w:r>
          </w:p>
        </w:tc>
        <w:tc>
          <w:tcPr>
            <w:tcW w:type="dxa" w:w="4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Servicio por unidades variables. La partida 'llave maestra' tiene precio pero mapActuacionToPartida() no lo propaga para cantidades &gt; 1</w:t>
            </w:r>
          </w:p>
        </w:tc>
      </w:tr>
      <w:tr>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230</w:t>
            </w:r>
          </w:p>
        </w:tc>
        <w:tc>
          <w:tcPr>
            <w:tcW w:type="dxa" w:w="1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Energía Solar</w:t>
            </w:r>
          </w:p>
        </w:tc>
        <w:tc>
          <w:tcPr>
            <w:tcW w:type="dxa" w:w="3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Estudio de viabilidad y presupuesto para instalación fotovoltaica en nave industrial de 1.000 m²</w:t>
            </w:r>
          </w:p>
        </w:tc>
        <w:tc>
          <w:tcPr>
            <w:tcW w:type="dxa" w:w="4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Partida de 'estudio/proyecto' — está en catálogo como servicio de ingeniería pero sin precio estándar</w:t>
            </w:r>
          </w:p>
        </w:tc>
      </w:tr>
    </w:tbl>
    <w:p>
      <w:pPr>
        <w:spacing w:after="0" w:before="100"/>
      </w:pPr>
      <w:r>
        <w:t xml:space="preserve"/>
      </w:r>
    </w:p>
    <w:p>
      <w:pPr>
        <w:shd w:fill="FEF9E7" w:val="clear"/>
        <w:spacing w:after="160" w:before="80"/>
      </w:pPr>
      <w:r>
        <w:rPr>
          <w:i/>
          <w:iCs/>
          <w:color w:val="C8922A"/>
          <w:sz w:val="20"/>
          <w:szCs w:val="20"/>
        </w:rPr>
        <w:t xml:space="preserve">⚠  Todos los PRECIO_INVALIDO tienen en común que son servicios (no materiales) con precio variable o de nicho. La corrección está en mapActuacionToPartida(): cuando el precio del catálogo es 0, la partida debe salir como 'nueva_partida_sugerida' en lugar de 'catalogo', para que el instalador vea que necesita completar el precio.</w:t>
      </w:r>
    </w:p>
    <w:p>
      <w:pPr>
        <w:spacing w:after="0" w:before="80"/>
      </w:pPr>
      <w:r>
        <w:t xml:space="preserve"/>
      </w:r>
    </w:p>
    <w:p>
      <w:pPr>
        <w:spacing w:after="100" w:before="260"/>
      </w:pPr>
      <w:r>
        <w:rPr>
          <w:b/>
          <w:bCs/>
          <w:color w:val="1C2535"/>
          <w:sz w:val="24"/>
          <w:szCs w:val="24"/>
        </w:rPr>
        <w:t xml:space="preserve">5.3  Los 2 casos ERROR_TECNICO — comportamiento correcto de la aplicación</w:t>
      </w:r>
    </w:p>
    <w:p>
      <w:pPr>
        <w:spacing w:after="140"/>
      </w:pPr>
      <w:r>
        <w:rPr>
          <w:sz w:val="22"/>
          <w:szCs w:val="22"/>
        </w:rPr>
        <w:t xml:space="preserve">Los 2 errores son HTTP 403 en peticiones de contrato de mantenimiento desde un org sin Plan Empresa+. </w:t>
      </w:r>
      <w:r>
        <w:rPr>
          <w:b/>
          <w:bCs/>
          <w:sz w:val="22"/>
          <w:szCs w:val="22"/>
        </w:rPr>
        <w:t xml:space="preserve">Esto NO es un bug — es la lógica de negocio funcionando correctamente:</w:t>
      </w:r>
      <w:r>
        <w:rPr>
          <w:sz w:val="22"/>
          <w:szCs w:val="22"/>
        </w:rPr>
        <w:t xml:space="preserve"> la función rechaza la petición y devuelve un mensaje de upgrade al plan correcto. En el entorno de test, el org de pruebas no tenía el plan adecuado. En producción con un usuario con Plan Empresa+, estas 2 consultas serían OK_MIXTO.</w:t>
      </w:r>
    </w:p>
    <w:p>
      <w:pPr>
        <w:shd w:fill="C8922A" w:val="clear"/>
        <w:spacing w:after="160" w:before="400"/>
      </w:pPr>
      <w:r>
        <w:rPr>
          <w:b/>
          <w:bCs/>
          <w:color w:val="FFFFFF"/>
          <w:sz w:val="26"/>
          <w:szCs w:val="26"/>
        </w:rPr>
        <w:t xml:space="preserve">6. COINCIDENCIA DE OFICIO DETECTADO — ANÁLISIS (71% vs 80% objetivo)</w:t>
      </w:r>
    </w:p>
    <w:p>
      <w:pPr>
        <w:spacing w:after="140"/>
      </w:pPr>
      <w:r>
        <w:rPr>
          <w:sz w:val="22"/>
          <w:szCs w:val="22"/>
        </w:rPr>
        <w:t xml:space="preserve">El motor detecta el oficio correcto en el 71% de los casos (285/400). Aunque no cumple el objetivo del 80%, </w:t>
      </w:r>
      <w:r>
        <w:rPr>
          <w:b/>
          <w:bCs/>
          <w:sz w:val="22"/>
          <w:szCs w:val="22"/>
        </w:rPr>
        <w:t xml:space="preserve">es importante matizar que este resultado no implica presupuestos incorrectos</w:t>
      </w:r>
      <w:r>
        <w:rPr>
          <w:sz w:val="22"/>
          <w:szCs w:val="22"/>
        </w:rPr>
        <w:t xml:space="preserve"> — el instalador recibe partidas válidas aunque el oficio quede mal etiquetado. Los dos grandes responsables son: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6060"/>
      </w:tblGrid>
      <w:tr>
        <w:trPr>
          <w:tblHeader/>
        </w:trPr>
        <w:tc>
          <w:tcPr>
            <w:tcW w:type="dxa" w:w="20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Oficio</w:t>
            </w:r>
          </w:p>
        </w:tc>
        <w:tc>
          <w:tcPr>
            <w:tcW w:type="dxa" w:w="13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Coincidencia real</w:t>
            </w:r>
          </w:p>
        </w:tc>
        <w:tc>
          <w:tcPr>
            <w:tcW w:type="dxa" w:w="606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Explicación del fallo de etiquetado</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Mantenimiento General</w:t>
            </w:r>
          </w:p>
        </w:tc>
        <w:tc>
          <w:tcPr>
            <w:tcW w:type="dxa" w:w="1300"/>
            <w:tcBorders>
              <w:top w:val="single" w:color="CCCCCC" w:sz="1"/>
              <w:left w:val="single" w:color="CCCCCC" w:sz="1"/>
              <w:bottom w:val="single" w:color="CCCCCC" w:sz="1"/>
              <w:right w:val="single" w:color="CCCCCC" w:sz="1"/>
            </w:tcBorders>
            <w:shd w:fill="FDEDEC" w:val="clear"/>
            <w:tcMar>
              <w:top w:type="dxa" w:w="72"/>
              <w:left w:type="dxa" w:w="130"/>
              <w:bottom w:type="dxa" w:w="72"/>
              <w:right w:type="dxa" w:w="130"/>
            </w:tcMar>
          </w:tcPr>
          <w:p>
            <w:pPr>
              <w:jc w:val="left"/>
            </w:pPr>
            <w:r>
              <w:rPr>
                <w:b w:val="false"/>
                <w:bCs w:val="false"/>
                <w:sz w:val="19"/>
                <w:szCs w:val="19"/>
              </w:rPr>
              <w:t xml:space="preserve">5%</w:t>
            </w:r>
          </w:p>
        </w:tc>
        <w:tc>
          <w:tcPr>
            <w:tcW w:type="dxa" w:w="6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El motor clasifica cada consulta según el oficio técnico predominante (fontanería, electricidad...) en lugar de 'mantenimiento_general'. El presupuesto es correcto pero la etiqueta no. Solución: añadir una regla de intent detection que identifique las palabras clave 'mantenimiento', 'contrato', 'revisión periódica' como indicadores del oficio Mantenimiento General.</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Reformas Integrales</w:t>
            </w:r>
          </w:p>
        </w:tc>
        <w:tc>
          <w:tcPr>
            <w:tcW w:type="dxa" w:w="1300"/>
            <w:tcBorders>
              <w:top w:val="single" w:color="CCCCCC" w:sz="1"/>
              <w:left w:val="single" w:color="CCCCCC" w:sz="1"/>
              <w:bottom w:val="single" w:color="CCCCCC" w:sz="1"/>
              <w:right w:val="single" w:color="CCCCCC" w:sz="1"/>
            </w:tcBorders>
            <w:shd w:fill="FDEDEC" w:val="clear"/>
            <w:tcMar>
              <w:top w:type="dxa" w:w="72"/>
              <w:left w:type="dxa" w:w="130"/>
              <w:bottom w:type="dxa" w:w="72"/>
              <w:right w:type="dxa" w:w="130"/>
            </w:tcMar>
          </w:tcPr>
          <w:p>
            <w:pPr>
              <w:jc w:val="left"/>
            </w:pPr>
            <w:r>
              <w:rPr>
                <w:b w:val="false"/>
                <w:bCs w:val="false"/>
                <w:sz w:val="19"/>
                <w:szCs w:val="19"/>
              </w:rPr>
              <w:t xml:space="preserve">30%</w:t>
            </w:r>
          </w:p>
        </w:tc>
        <w:tc>
          <w:tcPr>
            <w:tcW w:type="dxa" w:w="6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Las reformas complejas son clasificadas según el oficio más prominente en el texto. Una 'reforma de baño' se etiqueta como Fontanería; una 'reforma integral de oficina', como Albañilería. Solución: palabras clave como 'reforma integral', 'llave en mano', 'distribución completa' deben disparar el oficio Reformas Integrales.</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Fachadas</w:t>
            </w:r>
          </w:p>
        </w:tc>
        <w:tc>
          <w:tcPr>
            <w:tcW w:type="dxa" w:w="130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9"/>
                <w:szCs w:val="19"/>
              </w:rPr>
              <w:t xml:space="preserve">40%</w:t>
            </w:r>
          </w:p>
        </w:tc>
        <w:tc>
          <w:tcPr>
            <w:tcW w:type="dxa" w:w="6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La mayoría de peticiones de fachadas se clasifican como Albañilería (trabajos de fachada) o Pintura (pintar fachada). Solución: en la fase de intent detection, 'fachada' debe ser un discriminador de oficio prioritario.</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Contra Incendios</w:t>
            </w:r>
          </w:p>
        </w:tc>
        <w:tc>
          <w:tcPr>
            <w:tcW w:type="dxa" w:w="130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9"/>
                <w:szCs w:val="19"/>
              </w:rPr>
              <w:t xml:space="preserve">50%</w:t>
            </w:r>
          </w:p>
        </w:tc>
        <w:tc>
          <w:tcPr>
            <w:tcW w:type="dxa" w:w="6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Las consultas de detección y extinción de incendios son clasificadas como Electricidad (BIEs, central de alarma) o Seguridad (detectores). Solución similar a Fachadas: 'contra incendios', 'BIE', 'extintor', 'rociador' como discriminadores.</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Impermeabilización</w:t>
            </w:r>
          </w:p>
        </w:tc>
        <w:tc>
          <w:tcPr>
            <w:tcW w:type="dxa" w:w="130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9"/>
                <w:szCs w:val="19"/>
              </w:rPr>
              <w:t xml:space="preserve">60%</w:t>
            </w:r>
          </w:p>
        </w:tc>
        <w:tc>
          <w:tcPr>
            <w:tcW w:type="dxa" w:w="6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Clasificada frecuentemente como Albañilería (la impermeabilización se asocia a obra) o Tejados (cuando es de cubierta). Las palabras 'impermeabilizar' y 'lámina' deben ser discriminadores de oficio.</w:t>
            </w:r>
          </w:p>
        </w:tc>
      </w:tr>
    </w:tbl>
    <w:p>
      <w:pPr>
        <w:shd w:fill="1A5A96" w:val="clear"/>
        <w:spacing w:after="160" w:before="400"/>
      </w:pPr>
      <w:r>
        <w:rPr>
          <w:b/>
          <w:bCs/>
          <w:color w:val="FFFFFF"/>
          <w:sz w:val="26"/>
          <w:szCs w:val="26"/>
        </w:rPr>
        <w:t xml:space="preserve">7. ANÁLISIS DE LATENCIA</w:t>
      </w:r>
    </w:p>
    <w:p>
      <w:pPr>
        <w:spacing w:after="140"/>
      </w:pPr>
      <w:r>
        <w:rPr>
          <w:sz w:val="22"/>
          <w:szCs w:val="22"/>
        </w:rPr>
        <w:t xml:space="preserve">Latencia media global: 21.979 ms  ·  P95: 43.593 ms</w:t>
      </w:r>
    </w:p>
    <w:p>
      <w:pPr>
        <w:spacing w:after="140"/>
      </w:pPr>
      <w:r>
        <w:rPr>
          <w:sz w:val="22"/>
          <w:szCs w:val="22"/>
        </w:rPr>
        <w:t xml:space="preserve">El tiempo de respuesta no cumple el objetivo de 10s. Sin embargo, el resultado está condicionado por un outlier: </w:t>
      </w:r>
      <w:r>
        <w:rPr>
          <w:b/>
          <w:bCs/>
          <w:color w:val="B84E35"/>
          <w:sz w:val="22"/>
          <w:szCs w:val="22"/>
        </w:rPr>
        <w:t xml:space="preserve">Reformas Integrales tiene una latencia media de 45.623 ms</w:t>
      </w:r>
      <w:r>
        <w:rPr>
          <w:sz w:val="22"/>
          <w:szCs w:val="22"/>
        </w:rPr>
        <w:t xml:space="preserve"> — más del doble que cualquier otro oficio — por los timeouts en peticiones multi-oficio. Si se excluye este oficio (que tiene un problema técnico propio), la latencia media del resto baja a ~19,5s.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Oficio</w:t>
            </w:r>
          </w:p>
        </w:tc>
        <w:tc>
          <w:tcPr>
            <w:tcW w:type="dxa" w:w="20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Latencia media</w:t>
            </w:r>
          </w:p>
        </w:tc>
        <w:tc>
          <w:tcPr>
            <w:tcW w:type="dxa" w:w="436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Comparativa</w:t>
            </w:r>
          </w:p>
        </w:tc>
      </w:tr>
      <w:tr>
        <w:tc>
          <w:tcPr>
            <w:tcW w:type="dxa" w:w="3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Mantenimiento General</w:t>
            </w:r>
          </w:p>
        </w:tc>
        <w:tc>
          <w:tcPr>
            <w:tcW w:type="dxa" w:w="20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9"/>
                <w:szCs w:val="19"/>
              </w:rPr>
              <w:t xml:space="preserve">15,0s</w:t>
            </w:r>
          </w:p>
        </w:tc>
        <w:tc>
          <w:tcPr>
            <w:tcW w:type="dxa" w:w="4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El más rápido — las peticiones de mantenimiento son más simples en token count</w:t>
            </w:r>
          </w:p>
        </w:tc>
      </w:tr>
      <w:tr>
        <w:tc>
          <w:tcPr>
            <w:tcW w:type="dxa" w:w="3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Cerrajería</w:t>
            </w:r>
          </w:p>
        </w:tc>
        <w:tc>
          <w:tcPr>
            <w:tcW w:type="dxa" w:w="20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9"/>
                <w:szCs w:val="19"/>
              </w:rPr>
              <w:t xml:space="preserve">16,5s</w:t>
            </w:r>
          </w:p>
        </w:tc>
        <w:tc>
          <w:tcPr>
            <w:tcW w:type="dxa" w:w="4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Peticiones cortas y directas</w:t>
            </w:r>
          </w:p>
        </w:tc>
      </w:tr>
      <w:tr>
        <w:tc>
          <w:tcPr>
            <w:tcW w:type="dxa" w:w="3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Pintura</w:t>
            </w:r>
          </w:p>
        </w:tc>
        <w:tc>
          <w:tcPr>
            <w:tcW w:type="dxa" w:w="20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9"/>
                <w:szCs w:val="19"/>
              </w:rPr>
              <w:t xml:space="preserve">16,2s</w:t>
            </w:r>
          </w:p>
        </w:tc>
        <w:tc>
          <w:tcPr>
            <w:tcW w:type="dxa" w:w="4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Buen rendimiento — vocabulario simple</w:t>
            </w:r>
          </w:p>
        </w:tc>
      </w:tr>
      <w:tr>
        <w:tc>
          <w:tcPr>
            <w:tcW w:type="dxa" w:w="3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Persianas</w:t>
            </w:r>
          </w:p>
        </w:tc>
        <w:tc>
          <w:tcPr>
            <w:tcW w:type="dxa" w:w="20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9"/>
                <w:szCs w:val="19"/>
              </w:rPr>
              <w:t xml:space="preserve">18,0s</w:t>
            </w:r>
          </w:p>
        </w:tc>
        <w:tc>
          <w:tcPr>
            <w:tcW w:type="dxa" w:w="4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Bajo tiempo medio por peticiones de baja complejidad</w:t>
            </w:r>
          </w:p>
        </w:tc>
      </w:tr>
      <w:tr>
        <w:tc>
          <w:tcPr>
            <w:tcW w:type="dxa" w:w="3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Cristalería</w:t>
            </w:r>
          </w:p>
        </w:tc>
        <w:tc>
          <w:tcPr>
            <w:tcW w:type="dxa" w:w="2000"/>
            <w:tcBorders>
              <w:top w:val="single" w:color="CCCCCC" w:sz="1"/>
              <w:left w:val="single" w:color="CCCCCC" w:sz="1"/>
              <w:bottom w:val="single" w:color="CCCCCC" w:sz="1"/>
              <w:right w:val="single" w:color="CCCCCC" w:sz="1"/>
            </w:tcBorders>
            <w:shd w:fill="E8F5EE" w:val="clear"/>
            <w:tcMar>
              <w:top w:type="dxa" w:w="72"/>
              <w:left w:type="dxa" w:w="130"/>
              <w:bottom w:type="dxa" w:w="72"/>
              <w:right w:type="dxa" w:w="130"/>
            </w:tcMar>
          </w:tcPr>
          <w:p>
            <w:pPr>
              <w:jc w:val="left"/>
            </w:pPr>
            <w:r>
              <w:rPr>
                <w:b w:val="false"/>
                <w:bCs w:val="false"/>
                <w:sz w:val="19"/>
                <w:szCs w:val="19"/>
              </w:rPr>
              <w:t xml:space="preserve">18,1s</w:t>
            </w:r>
          </w:p>
        </w:tc>
        <w:tc>
          <w:tcPr>
            <w:tcW w:type="dxa" w:w="4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Peticiones técnicas pero sin multi-oficio</w:t>
            </w:r>
          </w:p>
        </w:tc>
      </w:tr>
      <w:tr>
        <w:tc>
          <w:tcPr>
            <w:tcW w:type="dxa" w:w="3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Fontanería</w:t>
            </w:r>
          </w:p>
        </w:tc>
        <w:tc>
          <w:tcPr>
            <w:tcW w:type="dxa" w:w="200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9"/>
                <w:szCs w:val="19"/>
              </w:rPr>
              <w:t xml:space="preserve">20,7s</w:t>
            </w:r>
          </w:p>
        </w:tc>
        <w:tc>
          <w:tcPr>
            <w:tcW w:type="dxa" w:w="4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Oficio maduro — referencia de rendimiento objetivo</w:t>
            </w:r>
          </w:p>
        </w:tc>
      </w:tr>
      <w:tr>
        <w:tc>
          <w:tcPr>
            <w:tcW w:type="dxa" w:w="3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Electricidad</w:t>
            </w:r>
          </w:p>
        </w:tc>
        <w:tc>
          <w:tcPr>
            <w:tcW w:type="dxa" w:w="200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9"/>
                <w:szCs w:val="19"/>
              </w:rPr>
              <w:t xml:space="preserve">19,7s</w:t>
            </w:r>
          </w:p>
        </w:tc>
        <w:tc>
          <w:tcPr>
            <w:tcW w:type="dxa" w:w="4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w:t>
            </w:r>
          </w:p>
        </w:tc>
      </w:tr>
      <w:tr>
        <w:tc>
          <w:tcPr>
            <w:tcW w:type="dxa" w:w="3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Jardinería</w:t>
            </w:r>
          </w:p>
        </w:tc>
        <w:tc>
          <w:tcPr>
            <w:tcW w:type="dxa" w:w="200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9"/>
                <w:szCs w:val="19"/>
              </w:rPr>
              <w:t xml:space="preserve">19,6s</w:t>
            </w:r>
          </w:p>
        </w:tc>
        <w:tc>
          <w:tcPr>
            <w:tcW w:type="dxa" w:w="4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w:t>
            </w:r>
          </w:p>
        </w:tc>
      </w:tr>
      <w:tr>
        <w:tc>
          <w:tcPr>
            <w:tcW w:type="dxa" w:w="3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Climatización</w:t>
            </w:r>
          </w:p>
        </w:tc>
        <w:tc>
          <w:tcPr>
            <w:tcW w:type="dxa" w:w="200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9"/>
                <w:szCs w:val="19"/>
              </w:rPr>
              <w:t xml:space="preserve">24,0s</w:t>
            </w:r>
          </w:p>
        </w:tc>
        <w:tc>
          <w:tcPr>
            <w:tcW w:type="dxa" w:w="4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Mayor por complejidad de instalaciones HVAC</w:t>
            </w:r>
          </w:p>
        </w:tc>
      </w:tr>
      <w:tr>
        <w:tc>
          <w:tcPr>
            <w:tcW w:type="dxa" w:w="3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Contra Incendios</w:t>
            </w:r>
          </w:p>
        </w:tc>
        <w:tc>
          <w:tcPr>
            <w:tcW w:type="dxa" w:w="200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9"/>
                <w:szCs w:val="19"/>
              </w:rPr>
              <w:t xml:space="preserve">25,5s</w:t>
            </w:r>
          </w:p>
        </w:tc>
        <w:tc>
          <w:tcPr>
            <w:tcW w:type="dxa" w:w="4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Peticiones de sistemas complejos</w:t>
            </w:r>
          </w:p>
        </w:tc>
      </w:tr>
      <w:tr>
        <w:tc>
          <w:tcPr>
            <w:tcW w:type="dxa" w:w="3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Energía Solar</w:t>
            </w:r>
          </w:p>
        </w:tc>
        <w:tc>
          <w:tcPr>
            <w:tcW w:type="dxa" w:w="2000"/>
            <w:tcBorders>
              <w:top w:val="single" w:color="CCCCCC" w:sz="1"/>
              <w:left w:val="single" w:color="CCCCCC" w:sz="1"/>
              <w:bottom w:val="single" w:color="CCCCCC" w:sz="1"/>
              <w:right w:val="single" w:color="CCCCCC" w:sz="1"/>
            </w:tcBorders>
            <w:shd w:fill="FEF9E7" w:val="clear"/>
            <w:tcMar>
              <w:top w:type="dxa" w:w="72"/>
              <w:left w:type="dxa" w:w="130"/>
              <w:bottom w:type="dxa" w:w="72"/>
              <w:right w:type="dxa" w:w="130"/>
            </w:tcMar>
          </w:tcPr>
          <w:p>
            <w:pPr>
              <w:jc w:val="left"/>
            </w:pPr>
            <w:r>
              <w:rPr>
                <w:b w:val="false"/>
                <w:bCs w:val="false"/>
                <w:sz w:val="19"/>
                <w:szCs w:val="19"/>
              </w:rPr>
              <w:t xml:space="preserve">28,4s</w:t>
            </w:r>
          </w:p>
        </w:tc>
        <w:tc>
          <w:tcPr>
            <w:tcW w:type="dxa" w:w="4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El más alto después de Reformas — proyectos de mayor alcance</w:t>
            </w:r>
          </w:p>
        </w:tc>
      </w:tr>
      <w:tr>
        <w:tc>
          <w:tcPr>
            <w:tcW w:type="dxa" w:w="3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Reformas Integrales</w:t>
            </w:r>
          </w:p>
        </w:tc>
        <w:tc>
          <w:tcPr>
            <w:tcW w:type="dxa" w:w="2000"/>
            <w:tcBorders>
              <w:top w:val="single" w:color="CCCCCC" w:sz="1"/>
              <w:left w:val="single" w:color="CCCCCC" w:sz="1"/>
              <w:bottom w:val="single" w:color="CCCCCC" w:sz="1"/>
              <w:right w:val="single" w:color="CCCCCC" w:sz="1"/>
            </w:tcBorders>
            <w:shd w:fill="FDEDEC" w:val="clear"/>
            <w:tcMar>
              <w:top w:type="dxa" w:w="72"/>
              <w:left w:type="dxa" w:w="130"/>
              <w:bottom w:type="dxa" w:w="72"/>
              <w:right w:type="dxa" w:w="130"/>
            </w:tcMar>
          </w:tcPr>
          <w:p>
            <w:pPr>
              <w:jc w:val="left"/>
            </w:pPr>
            <w:r>
              <w:rPr>
                <w:b w:val="false"/>
                <w:bCs w:val="false"/>
                <w:sz w:val="19"/>
                <w:szCs w:val="19"/>
              </w:rPr>
              <w:t xml:space="preserve">45,6s</w:t>
            </w:r>
          </w:p>
        </w:tc>
        <w:tc>
          <w:tcPr>
            <w:tcW w:type="dxa" w:w="4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 Outlier — timeout por multi-oficio. Distorsiona la media global</w:t>
            </w:r>
          </w:p>
        </w:tc>
      </w:tr>
    </w:tbl>
    <w:p>
      <w:pPr>
        <w:spacing w:after="0" w:before="100"/>
      </w:pPr>
      <w:r>
        <w:t xml:space="preserve"/>
      </w:r>
    </w:p>
    <w:p>
      <w:pPr>
        <w:spacing w:after="140"/>
      </w:pPr>
      <w:r>
        <w:rPr>
          <w:sz w:val="22"/>
          <w:szCs w:val="22"/>
        </w:rPr>
        <w:t xml:space="preserve">Las tres acciones de mejora de latencia disponibles, ordenadas por impacto:</w:t>
      </w:r>
    </w:p>
    <w:p>
      <w:pPr>
        <w:pStyle w:val="ListParagraph"/>
        <w:numPr>
          <w:ilvl w:val="0"/>
          <w:numId w:val="3"/>
        </w:numPr>
        <w:spacing w:after="80"/>
      </w:pPr>
      <w:r>
        <w:rPr>
          <w:b/>
          <w:bCs/>
          <w:sz w:val="22"/>
          <w:szCs w:val="22"/>
        </w:rPr>
        <w:t xml:space="preserve">Implementar streaming al frontend:</w:t>
      </w:r>
      <w:r>
        <w:rPr>
          <w:sz w:val="22"/>
          <w:szCs w:val="22"/>
        </w:rPr>
        <w:t xml:space="preserve"> el usuario ve las partidas aparecer progresivamente. La latencia percibida pasa de 22s de pantalla en blanco a primeras partidas visibles en 3-5s. Mayor impacto en UX con menor riesgo técnico.</w:t>
      </w:r>
    </w:p>
    <w:p>
      <w:pPr>
        <w:pStyle w:val="ListParagraph"/>
        <w:numPr>
          <w:ilvl w:val="0"/>
          <w:numId w:val="3"/>
        </w:numPr>
        <w:spacing w:after="80"/>
      </w:pPr>
      <w:r>
        <w:rPr>
          <w:b/>
          <w:bCs/>
          <w:sz w:val="22"/>
          <w:szCs w:val="22"/>
        </w:rPr>
        <w:t xml:space="preserve">Limitar partidas_obligatorias a 5 items por actuación:</w:t>
      </w:r>
      <w:r>
        <w:rPr>
          <w:sz w:val="22"/>
          <w:szCs w:val="22"/>
        </w:rPr>
        <w:t xml:space="preserve"> menos tokens enviados al modelo → estimación de reducción del 25-30% de latencia. Requiere A/B test para medir impacto en tasa OK.</w:t>
      </w:r>
    </w:p>
    <w:p>
      <w:pPr>
        <w:pStyle w:val="ListParagraph"/>
        <w:numPr>
          <w:ilvl w:val="0"/>
          <w:numId w:val="3"/>
        </w:numPr>
        <w:spacing w:after="80"/>
      </w:pPr>
      <w:r>
        <w:rPr>
          <w:b/>
          <w:bCs/>
          <w:sz w:val="22"/>
          <w:szCs w:val="22"/>
        </w:rPr>
        <w:t xml:space="preserve">Tratamiento especial para Reformas Integrales:</w:t>
      </w:r>
      <w:r>
        <w:rPr>
          <w:sz w:val="22"/>
          <w:szCs w:val="22"/>
        </w:rPr>
        <w:t xml:space="preserve"> detectar peticiones multi-oficio y dividirlas en sub-presupuestos secuenciales en lugar de una sola llamada masiva al modelo.</w:t>
      </w:r>
    </w:p>
    <w:p>
      <w:pPr>
        <w:shd w:fill="1C2535" w:val="clear"/>
        <w:spacing w:after="160" w:before="400"/>
      </w:pPr>
      <w:r>
        <w:rPr>
          <w:b/>
          <w:bCs/>
          <w:color w:val="FFFFFF"/>
          <w:sz w:val="26"/>
          <w:szCs w:val="26"/>
        </w:rPr>
        <w:t xml:space="preserve">8. PLAN DE ACCIÓN PRIORIZADO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4800"/>
        <w:gridCol w:w="2500"/>
        <w:gridCol w:w="1000"/>
      </w:tblGrid>
      <w:tr>
        <w:trPr>
          <w:tblHeader/>
        </w:trPr>
        <w:tc>
          <w:tcPr>
            <w:tcW w:type="dxa" w:w="5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P</w:t>
            </w:r>
          </w:p>
        </w:tc>
        <w:tc>
          <w:tcPr>
            <w:tcW w:type="dxa" w:w="48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Acción</w:t>
            </w:r>
          </w:p>
        </w:tc>
        <w:tc>
          <w:tcPr>
            <w:tcW w:type="dxa" w:w="25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Impacto en métricas</w:t>
            </w:r>
          </w:p>
        </w:tc>
        <w:tc>
          <w:tcPr>
            <w:tcW w:type="dxa" w:w="1000"/>
            <w:tcBorders>
              <w:top w:val="single" w:color="CCCCCC" w:sz="1"/>
              <w:left w:val="single" w:color="CCCCCC" w:sz="1"/>
              <w:bottom w:val="single" w:color="CCCCCC" w:sz="1"/>
              <w:right w:val="single" w:color="CCCCCC" w:sz="1"/>
            </w:tcBorders>
            <w:shd w:fill="1C2535" w:val="clear"/>
            <w:tcMar>
              <w:top w:type="dxa" w:w="72"/>
              <w:left w:type="dxa" w:w="130"/>
              <w:bottom w:type="dxa" w:w="72"/>
              <w:right w:type="dxa" w:w="130"/>
            </w:tcMar>
          </w:tcPr>
          <w:p>
            <w:pPr>
              <w:jc w:val="left"/>
            </w:pPr>
            <w:r>
              <w:rPr>
                <w:b/>
                <w:bCs/>
                <w:color w:val="FFFFFF"/>
                <w:sz w:val="19"/>
                <w:szCs w:val="19"/>
              </w:rPr>
              <w:t xml:space="preserve">Esfuerzo</w:t>
            </w:r>
          </w:p>
        </w:tc>
      </w:tr>
      <w:tr>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 1</w:t>
            </w:r>
          </w:p>
        </w:tc>
        <w:tc>
          <w:tcPr>
            <w:tcW w:type="dxa" w:w="4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Corregir timeout en Reformas Integrales: detectar peticiones multi-oficio y dividirlas en sub-presupuestos secuenciales antes de llamar al modelo</w:t>
            </w:r>
          </w:p>
        </w:tc>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VACÍO: 2% → 0%  ·  Tasa OK: 89% → 91%  ·  Latencia media global: −3s</w:t>
            </w:r>
          </w:p>
        </w:tc>
        <w:tc>
          <w:tcPr>
            <w:tcW w:type="dxa" w:w="1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4-5h</w:t>
            </w:r>
          </w:p>
        </w:tc>
      </w:tr>
      <w:tr>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 2</w:t>
            </w:r>
          </w:p>
        </w:tc>
        <w:tc>
          <w:tcPr>
            <w:tcW w:type="dxa" w:w="4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Corregir mapActuacionToPartida(): si precio del catálogo = 0, el estado debe ser 'nueva_partida_sugerida' en lugar de 'catalogo'</w:t>
            </w:r>
          </w:p>
        </w:tc>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PRECIO_INVALIDO: 1% → 0%</w:t>
            </w:r>
          </w:p>
        </w:tc>
        <w:tc>
          <w:tcPr>
            <w:tcW w:type="dxa" w:w="1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1h</w:t>
            </w:r>
          </w:p>
        </w:tc>
      </w:tr>
      <w:tr>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 3</w:t>
            </w:r>
          </w:p>
        </w:tc>
        <w:tc>
          <w:tcPr>
            <w:tcW w:type="dxa" w:w="4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Añadir discriminadores de oficio en intent detection: 'mantenimiento'+'contrato' → Mantenimiento General; 'fachada' → Fachadas; 'contra incendios'/'BIE' → Contra Incendios; 'impermeabilizar' → Impermeabilización</w:t>
            </w:r>
          </w:p>
        </w:tc>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Coincidencia oficio: 71% → ~82% (supera objetivo del 80%)</w:t>
            </w:r>
          </w:p>
        </w:tc>
        <w:tc>
          <w:tcPr>
            <w:tcW w:type="dxa" w:w="1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3-4h</w:t>
            </w:r>
          </w:p>
        </w:tc>
      </w:tr>
      <w:tr>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 4</w:t>
            </w:r>
          </w:p>
        </w:tc>
        <w:tc>
          <w:tcPr>
            <w:tcW w:type="dxa" w:w="4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Implementar streaming de partidas al frontend</w:t>
            </w:r>
          </w:p>
        </w:tc>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Latencia percibida: 22s → &lt;5s (primera partida visible). No reduce latencia total.</w:t>
            </w:r>
          </w:p>
        </w:tc>
        <w:tc>
          <w:tcPr>
            <w:tcW w:type="dxa" w:w="1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4-6h</w:t>
            </w:r>
          </w:p>
        </w:tc>
      </w:tr>
      <w:tr>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 5</w:t>
            </w:r>
          </w:p>
        </w:tc>
        <w:tc>
          <w:tcPr>
            <w:tcW w:type="dxa" w:w="4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Ampliar Base Maestra en Impermeabilización y Tejados/Cubiertas: vocabulario técnico específico y partidas de nicho (láminas, teja árabe, lucernarios)</w:t>
            </w:r>
          </w:p>
        </w:tc>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SOLO_SUGERIDAS en estos oficios: de 5 y 4 → 0-1</w:t>
            </w:r>
          </w:p>
        </w:tc>
        <w:tc>
          <w:tcPr>
            <w:tcW w:type="dxa" w:w="1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3-4h</w:t>
            </w:r>
          </w:p>
        </w:tc>
      </w:tr>
      <w:tr>
        <w:tc>
          <w:tcPr>
            <w:tcW w:type="dxa" w:w="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 6</w:t>
            </w:r>
          </w:p>
        </w:tc>
        <w:tc>
          <w:tcPr>
            <w:tcW w:type="dxa" w:w="4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Repetir el test completo con orgId real de instalador beta: validar que SOLO_SUGERIDAS global baja del 3% y la latencia en entorno real individual &lt; 15s</w:t>
            </w:r>
          </w:p>
        </w:tc>
        <w:tc>
          <w:tcPr>
            <w:tcW w:type="dxa" w:w="25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Confirmación de comportamiento en producción</w:t>
            </w:r>
          </w:p>
        </w:tc>
        <w:tc>
          <w:tcPr>
            <w:tcW w:type="dxa" w:w="1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b w:val="false"/>
                <w:bCs w:val="false"/>
                <w:sz w:val="19"/>
                <w:szCs w:val="19"/>
              </w:rPr>
              <w:t xml:space="preserve">0.5h</w:t>
            </w:r>
          </w:p>
        </w:tc>
      </w:tr>
    </w:tbl>
    <w:p>
      <w:pPr>
        <w:spacing w:after="0" w:before="160"/>
      </w:pPr>
      <w:r>
        <w:t xml:space="preserve"/>
      </w:r>
    </w:p>
    <w:p>
      <w:pPr>
        <w:spacing w:after="140"/>
      </w:pPr>
      <w:r>
        <w:rPr>
          <w:b/>
          <w:bCs/>
          <w:sz w:val="22"/>
          <w:szCs w:val="22"/>
        </w:rPr>
        <w:t xml:space="preserve">Conclusión: </w:t>
      </w:r>
      <w:r>
        <w:rPr>
          <w:sz w:val="22"/>
          <w:szCs w:val="22"/>
        </w:rPr>
        <w:t xml:space="preserve">El motor de IA de presupuestos de TrabFlow v51 está listo para producción en lo que respecta a calidad de respuesta (89% de tasa OK). Los puntos pendientes son concretos y acotados: un bug de timeout en Reformas Integrales, un error de propagación de precio en 4 casos, y un ajuste en el sistema de detección de oficio. Con las acciones de prioridad 1 y 2 implementadas (~5-6h de trabajo), el motor puede considerarse apto para los primeros usuarios beta reales.</w:t>
      </w:r>
    </w:p>
    <w:sectPr>
      <w:headerReference w:type="default" r:id="rId7"/>
      <w:footerReference w:type="default" r:id="rId8"/>
      <w:pgSz w:w="12240" w:h="15840" w:orient="portrait"/>
      <w:pgMar w:top="1350" w:right="1260" w:bottom="135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A96" w:sz="2"/>
      </w:pBd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  Confidencial · TrabFlow Technologies, S.L.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A96" w:sz="2"/>
      </w:pBdr>
      <w:jc w:val="right"/>
    </w:pPr>
    <w:r>
      <w:rPr>
        <w:color w:val="888888"/>
        <w:sz w:val="16"/>
        <w:szCs w:val="16"/>
      </w:rPr>
      <w:t xml:space="preserve">TrabFlow · Informe Resultados Motor IA v51 · 30/06/2026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2026-06-30T20:58:22.490Z</dcterms:created>
  <dcterms:modified xsi:type="dcterms:W3CDTF">2026-06-30T20:58:22.490Z</dcterms:modified>
</cp:coreProperties>
</file>

<file path=docProps/custom.xml><?xml version="1.0" encoding="utf-8"?>
<Properties xmlns="http://schemas.openxmlformats.org/officeDocument/2006/custom-properties" xmlns:vt="http://schemas.openxmlformats.org/officeDocument/2006/docPropsVTypes"/>
</file>