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1C2535" w:val="clear"/>
            <w:tcMar>
              <w:top w:type="dxa" w:w="200"/>
              <w:left w:type="dxa" w:w="240"/>
              <w:bottom w:type="dxa" w:w="200"/>
              <w:right w:type="dxa" w:w="240"/>
            </w:tcMar>
          </w:tcPr>
          <w:p>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9525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vAlign w:val="center"/>
          </w:tcPr>
          <w:p>
            <w:pPr>
              <w:jc w:val="right"/>
            </w:pPr>
            <w:r>
              <w:rPr>
                <w:rFonts w:ascii="Arial" w:cs="Arial" w:eastAsia="Arial" w:hAnsi="Arial"/>
                <w:b/>
                <w:bCs/>
                <w:color w:val="FFFFFF"/>
                <w:sz w:val="20"/>
                <w:szCs w:val="20"/>
              </w:rPr>
              <w:t xml:space="preserve">ANÁLISIS ESTRATÉGICO DE PRODUCTO</w:t>
            </w:r>
          </w:p>
          <w:p>
            <w:pPr>
              <w:jc w:val="right"/>
            </w:pPr>
            <w:r>
              <w:rPr>
                <w:rFonts w:ascii="Arial" w:cs="Arial" w:eastAsia="Arial" w:hAnsi="Arial"/>
                <w:color w:val="D5E8F0"/>
                <w:sz w:val="18"/>
                <w:szCs w:val="18"/>
              </w:rPr>
              <w:t xml:space="preserve">Documento interno · Junio 2026</w:t>
            </w:r>
          </w:p>
        </w:tc>
      </w:tr>
    </w:tbl>
    <w:p>
      <w:pPr>
        <w:spacing w:after="400" w:before="400"/>
      </w:pPr>
    </w:p>
    <w:p>
      <w:pPr>
        <w:jc w:val="center"/>
      </w:pPr>
      <w:r>
        <w:rPr>
          <w:rFonts w:ascii="Arial" w:cs="Arial" w:eastAsia="Arial" w:hAnsi="Arial"/>
          <w:b/>
          <w:bCs/>
          <w:color w:val="1C2535"/>
          <w:sz w:val="52"/>
          <w:szCs w:val="52"/>
        </w:rPr>
        <w:t xml:space="preserve">Nuevos Verticales Estratégicos</w:t>
      </w:r>
    </w:p>
    <w:p>
      <w:pPr>
        <w:spacing w:after="100" w:before="100"/>
      </w:pPr>
    </w:p>
    <w:p>
      <w:pPr>
        <w:jc w:val="center"/>
      </w:pPr>
      <w:r>
        <w:rPr>
          <w:rFonts w:ascii="Arial" w:cs="Arial" w:eastAsia="Arial" w:hAnsi="Arial"/>
          <w:b/>
          <w:bCs/>
          <w:color w:val="1A5A96"/>
          <w:sz w:val="36"/>
          <w:szCs w:val="36"/>
        </w:rPr>
        <w:t xml:space="preserve">Cargadores de Vehículo Eléctrico</w:t>
      </w:r>
    </w:p>
    <w:p>
      <w:pPr>
        <w:jc w:val="center"/>
      </w:pPr>
      <w:r>
        <w:rPr>
          <w:rFonts w:ascii="Arial" w:cs="Arial" w:eastAsia="Arial" w:hAnsi="Arial"/>
          <w:color w:val="C8922A"/>
          <w:sz w:val="30"/>
          <w:szCs w:val="30"/>
        </w:rPr>
        <w:t xml:space="preserve">&amp;</w:t>
      </w:r>
    </w:p>
    <w:p>
      <w:pPr>
        <w:jc w:val="center"/>
      </w:pPr>
      <w:r>
        <w:rPr>
          <w:rFonts w:ascii="Arial" w:cs="Arial" w:eastAsia="Arial" w:hAnsi="Arial"/>
          <w:b/>
          <w:bCs/>
          <w:color w:val="1A5A96"/>
          <w:sz w:val="36"/>
          <w:szCs w:val="36"/>
        </w:rPr>
        <w:t xml:space="preserve">Fotovoltaica Industrial</w:t>
      </w:r>
    </w:p>
    <w:p>
      <w:pPr>
        <w:spacing w:after="200" w:before="200"/>
      </w:pPr>
    </w:p>
    <w:p>
      <w:pPr>
        <w:jc w:val="center"/>
      </w:pPr>
      <w:r>
        <w:rPr>
          <w:rFonts w:ascii="Arial" w:cs="Arial" w:eastAsia="Arial" w:hAnsi="Arial"/>
          <w:color w:val="666666"/>
          <w:sz w:val="22"/>
          <w:szCs w:val="22"/>
        </w:rPr>
        <w:t xml:space="preserve">Viabilidad · Mercado · Roadmap · Recomendación</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none" w:color="FFFFFF" w:sz="0"/>
            </w:tcBorders>
            <w:shd w:fill="1C2535"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14
Secciones</w:t>
            </w:r>
          </w:p>
        </w:tc>
        <w:tc>
          <w:tcPr>
            <w:tcW w:type="dxa" w:w="2340"/>
            <w:tcBorders>
              <w:top w:val="none" w:color="FFFFFF" w:sz="0"/>
              <w:left w:val="none" w:color="FFFFFF" w:sz="0"/>
              <w:bottom w:val="none" w:color="FFFFFF" w:sz="0"/>
              <w:right w:val="none" w:color="FFFFFF" w:sz="0"/>
            </w:tcBorders>
            <w:shd w:fill="1A5A96"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150+
Actuaciones</w:t>
            </w:r>
          </w:p>
        </w:tc>
        <w:tc>
          <w:tcPr>
            <w:tcW w:type="dxa" w:w="2340"/>
            <w:tcBorders>
              <w:top w:val="none" w:color="FFFFFF" w:sz="0"/>
              <w:left w:val="none" w:color="FFFFFF" w:sz="0"/>
              <w:bottom w:val="none" w:color="FFFFFF" w:sz="0"/>
              <w:right w:val="none" w:color="FFFFFF" w:sz="0"/>
            </w:tcBorders>
            <w:shd w:fill="C8922A"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8.000+
Palabras</w:t>
            </w:r>
          </w:p>
        </w:tc>
        <w:tc>
          <w:tcPr>
            <w:tcW w:type="dxa" w:w="2340"/>
            <w:tcBorders>
              <w:top w:val="none" w:color="FFFFFF" w:sz="0"/>
              <w:left w:val="none" w:color="FFFFFF" w:sz="0"/>
              <w:bottom w:val="none" w:color="FFFFFF" w:sz="0"/>
              <w:right w:val="none" w:color="FFFFFF" w:sz="0"/>
            </w:tcBorders>
            <w:shd w:fill="1C2535"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2
Verticales</w:t>
            </w:r>
          </w:p>
        </w:tc>
      </w:tr>
    </w:tbl>
    <w:p>
      <w:pPr>
        <w:spacing w:after="200" w:before="200"/>
      </w:pPr>
    </w:p>
    <w:p>
      <w:pPr>
        <w:jc w:val="center"/>
      </w:pPr>
      <w:r>
        <w:rPr>
          <w:rFonts w:ascii="Arial" w:cs="Arial" w:eastAsia="Arial" w:hAnsi="Arial"/>
          <w:color w:val="999999"/>
          <w:sz w:val="18"/>
          <w:szCs w:val="18"/>
        </w:rPr>
        <w:t xml:space="preserve">TrabFlow Technologies, S.L.  ·  Majadahonda, Madrid  ·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01. Resumen Ejecutivo</w:t>
            </w:r>
          </w:p>
          <w:p>
            <w:r>
              <w:rPr>
                <w:rFonts w:ascii="Arial" w:cs="Arial" w:eastAsia="Arial" w:hAnsi="Arial"/>
                <w:color w:val="D5E8F0"/>
                <w:sz w:val="20"/>
                <w:szCs w:val="20"/>
              </w:rPr>
              <w:t xml:space="preserve">Potencial de mercado · Encaje · Prioridad · Dificultad · Ingresos</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Conclusión principal: Ambos verticales son estratégicamente prioritarios para TrabFlow en 2026-2028. Los cargadores VE tienen un perfil de entrada más rápido y un volumen de actuaciones más accesible. La fotovoltaica industrial ofrece tickets más altos y recurrencia estructural vía contratos O&amp;M, pero requiere mayor inversión en Base Maestra y normativa RAG. La recomendación es entrar en paralelo con distinta velocidad: VE en Q3 2026, Fotovoltaica Industrial en Q1 2027.</w:t>
            </w:r>
          </w:p>
        </w:tc>
      </w:tr>
    </w:tbl>
    <w:p>
      <w:pPr>
        <w:spacing w:after="120" w:before="120"/>
      </w:pPr>
    </w:p>
    <w:p>
      <w:pPr>
        <w:spacing w:after="120" w:before="240"/>
      </w:pPr>
      <w:r>
        <w:rPr>
          <w:rFonts w:ascii="Arial" w:cs="Arial" w:eastAsia="Arial" w:hAnsi="Arial"/>
          <w:b/>
          <w:bCs/>
          <w:color w:val="1C2535"/>
          <w:sz w:val="26"/>
          <w:szCs w:val="26"/>
        </w:rPr>
        <w:t xml:space="preserve">Mapa de prioridad estratégica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gridCol w:w="66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Mercado ESP</w:t>
            </w:r>
          </w:p>
        </w:tc>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Ticket medio</w:t>
            </w:r>
          </w:p>
        </w:tc>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Recurrencia</w:t>
            </w:r>
          </w:p>
        </w:tc>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Dificultad</w:t>
            </w:r>
          </w:p>
        </w:tc>
        <w:tc>
          <w:tcPr>
            <w:tcW w:type="dxa" w:w="6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Cargadores VE</w:t>
            </w:r>
          </w:p>
        </w:tc>
        <w:tc>
          <w:tcPr>
            <w:tcW w:type="dxa" w:w="15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€2.100M (2025)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€600–2.500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Alta (O&amp;M)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6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9/10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Fotovoltaica Industrial</w:t>
            </w:r>
          </w:p>
        </w:tc>
        <w:tc>
          <w:tcPr>
            <w:tcW w:type="dxa" w:w="15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€4.800M (2025)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€2.000–15.000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alta (O&amp;M)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6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8/10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Electricidad (ref.)</w:t>
            </w:r>
          </w:p>
        </w:tc>
        <w:tc>
          <w:tcPr>
            <w:tcW w:type="dxa" w:w="15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€19.300M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€300–1.200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Baja</w:t>
            </w:r>
          </w:p>
        </w:tc>
        <w:tc>
          <w:tcPr>
            <w:tcW w:type="dxa" w:w="6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Fontanería (ref.)</w:t>
            </w:r>
          </w:p>
        </w:tc>
        <w:tc>
          <w:tcPr>
            <w:tcW w:type="dxa" w:w="15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€8.200M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€250–900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Baja</w:t>
            </w:r>
          </w:p>
        </w:tc>
        <w:tc>
          <w:tcPr>
            <w:tcW w:type="dxa" w:w="6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r>
    </w:tbl>
    <w:p>
      <w:pPr>
        <w:spacing w:after="120" w:before="120"/>
      </w:pPr>
    </w:p>
    <w:p>
      <w:pPr>
        <w:spacing w:after="120" w:before="240"/>
      </w:pPr>
      <w:r>
        <w:rPr>
          <w:rFonts w:ascii="Arial" w:cs="Arial" w:eastAsia="Arial" w:hAnsi="Arial"/>
          <w:b/>
          <w:bCs/>
          <w:color w:val="1C2535"/>
          <w:sz w:val="26"/>
          <w:szCs w:val="26"/>
        </w:rPr>
        <w:t xml:space="preserve">Encaje con TrabFlow — Resumen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Dimensión</w:t>
            </w:r>
          </w:p>
        </w:tc>
        <w:tc>
          <w:tcPr>
            <w:tcW w:type="dxa" w:w="28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Cargadores VE</w:t>
            </w:r>
          </w:p>
        </w:tc>
        <w:tc>
          <w:tcPr>
            <w:tcW w:type="dxa" w:w="28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Fotovoltaica Industrial</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Módulos TrabFlow aplicables</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 IA, Contratos O&amp;M, Normativa REBT/ITC-BT-52, Partes, CRM</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 IA, Contratos O&amp;M, Monitorización, Partes, Termografía, CRM</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Actuaciones Base Maestra</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 (propuestas en §6)</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(propuestas en §6)</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Asociaciones clave</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 FENIE, APIEM</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 ANES, FENIE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Distribuidores clave</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ABB, Schneider, Circutor</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Huawei, Sungrow, SolarEdge, Fronius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hasta MVP</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10-12 semanas</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16-20 semanas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Inversión estimada en Base Maestra</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 (50 actuaciones)</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 (100+ actuaciones)</w:t>
            </w:r>
          </w:p>
        </w:tc>
      </w:tr>
    </w:tbl>
    <w:p>
      <w:pPr>
        <w:spacing w:after="120" w:before="120"/>
      </w:pPr>
    </w:p>
    <w:p>
      <w:pPr>
        <w:spacing w:after="120" w:before="240"/>
      </w:pPr>
      <w:r>
        <w:rPr>
          <w:rFonts w:ascii="Arial" w:cs="Arial" w:eastAsia="Arial" w:hAnsi="Arial"/>
          <w:b/>
          <w:bCs/>
          <w:color w:val="1C2535"/>
          <w:sz w:val="26"/>
          <w:szCs w:val="26"/>
        </w:rPr>
        <w:t xml:space="preserve">Potencial de ingresos para TrabFlow (3 años)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Hipótesis conservadora: penetración del 0,5% del mercado de instaladores especializados en cada vertical en Año 1, creciendo al 2% en Año 3. Plan Profesional (€49/mes) como ticket base.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cantSplit/>
        </w:trPr>
        <w:tc>
          <w:tcPr>
            <w:tcW w:type="dxa" w:w="312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Año 1</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Año 2</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Año 3</w:t>
            </w:r>
          </w:p>
        </w:tc>
      </w:tr>
      <w:tr>
        <w:trPr>
          <w:cantSplit/>
        </w:trPr>
        <w:tc>
          <w:tcPr>
            <w:tcW w:type="dxa" w:w="312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Cargadores VE</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€18.000 – €35.000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€55.000 – €90.000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€120.000 – €200.000</w:t>
            </w:r>
          </w:p>
        </w:tc>
      </w:tr>
      <w:tr>
        <w:trPr>
          <w:cantSplit/>
        </w:trPr>
        <w:tc>
          <w:tcPr>
            <w:tcW w:type="dxa" w:w="312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Fotovoltaica Industrial</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€12.000 – €25.000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€45.000 – €80.000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€150.000 – €280.000</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TOTAL combinado</w:t>
            </w:r>
          </w:p>
        </w:tc>
        <w:tc>
          <w:tcPr>
            <w:tcW w:type="dxa" w:w="2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€30.000 – €60.000</w:t>
            </w:r>
          </w:p>
        </w:tc>
        <w:tc>
          <w:tcPr>
            <w:tcW w:type="dxa" w:w="2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€100.000 – €170.000</w:t>
            </w:r>
          </w:p>
        </w:tc>
        <w:tc>
          <w:tcPr>
            <w:tcW w:type="dxa" w:w="208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€270.000 – €480.000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02. Tamaño de Mercado</w:t>
            </w:r>
          </w:p>
          <w:p>
            <w:r>
              <w:rPr>
                <w:rFonts w:ascii="Arial" w:cs="Arial" w:eastAsia="Arial" w:hAnsi="Arial"/>
                <w:color w:val="D5E8F0"/>
                <w:sz w:val="20"/>
                <w:szCs w:val="20"/>
              </w:rPr>
              <w:t xml:space="preserve">España · Europa · Instaladores · Crecimiento</w:t>
            </w:r>
          </w:p>
        </w:tc>
      </w:tr>
    </w:tbl>
    <w:p>
      <w:pPr>
        <w:spacing w:after="160" w:before="160"/>
      </w:pPr>
    </w:p>
    <w:p>
      <w:pPr>
        <w:spacing w:after="120" w:before="240"/>
      </w:pPr>
      <w:r>
        <w:rPr>
          <w:rFonts w:ascii="Arial" w:cs="Arial" w:eastAsia="Arial" w:hAnsi="Arial"/>
          <w:b/>
          <w:bCs/>
          <w:color w:val="1C2535"/>
          <w:sz w:val="26"/>
          <w:szCs w:val="26"/>
        </w:rPr>
        <w:t xml:space="preserve">2.1 Mercado Cargadores de Vehículo Eléctrico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Indicador</w:t>
            </w:r>
          </w:p>
        </w:tc>
        <w:tc>
          <w:tcPr>
            <w:tcW w:type="dxa" w:w="5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Datos 2025-2026</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España (instalación puntos recarga)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~€2.100M anuales (instalación + O&amp;M + legalización)</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Europa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€18.000M anuales. Objetivo 3,5M puntos de recarga en 2030 (AFIR)</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Puntos de recarga activos en España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~180.000 (2025). Objetivo: 340.000 en 2030 (PNIEC)</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Instaladores eléctricos especializados VE</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Aprox. 8.000-12.000 empresas y autónomos habilitados en España</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Empresas especializadas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~2.500 instaladoras con actividad VE declarada (CNAE 4321 + 4329)</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Crecimiento esperado (CAGR 2025-2030)</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22-28% anual. Impulsado por AFIR, MOVES III, comunidades de propietarios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instalación wallbox residencial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€600–€1.200</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instalación punto carga empresarial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€1.500–€5.000</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contrato O&amp;M (por punto/año)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€120–€300/punto/año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Driver regulatorio clave</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Real Decreto 1085/2015 (MOVEA), ITE-BT-52, AFIR (UE 2023/1804)</w:t>
            </w:r>
          </w:p>
        </w:tc>
      </w:tr>
    </w:tbl>
    <w:p>
      <w:pPr>
        <w:spacing w:after="120" w:before="120"/>
      </w:pPr>
    </w:p>
    <w:p>
      <w:pPr>
        <w:spacing w:after="120" w:before="240"/>
      </w:pPr>
      <w:r>
        <w:rPr>
          <w:rFonts w:ascii="Arial" w:cs="Arial" w:eastAsia="Arial" w:hAnsi="Arial"/>
          <w:b/>
          <w:bCs/>
          <w:color w:val="1C2535"/>
          <w:sz w:val="26"/>
          <w:szCs w:val="26"/>
        </w:rPr>
        <w:t xml:space="preserve">2.2 Mercado Fotovoltaica Industrial (O&amp;M y Mantenimiento)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Indicador</w:t>
            </w:r>
          </w:p>
        </w:tc>
        <w:tc>
          <w:tcPr>
            <w:tcW w:type="dxa" w:w="5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Datos 2025-2026</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España (instalación + O&amp;M fotovoltaico)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~€4.800M anuales (instalación nueva + mantenimiento parque existente)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Potencia instalada en España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 GW (2025). Objetivo 76 GW en 2030 (PNIEC)</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Europa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€45.000M anuales. España es el 3er mercado europeo en instalación</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O&amp;M específico (mantenimiento parque existente)</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€1.200M anuales en España. Crecimiento estructural garantizado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Empresas instaladoras fotovoltaicas en España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~6.000-9.000 activas (CNAE 4321 + 4322 con actividad FV)</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Empresas especializadas en O&amp;M industrial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~1.500-2.500 con foco en plantas &gt;50 kWp</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Crecimiento esperado O&amp;M (CAGR 2025-2030)</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18-24% anual. El parque instalado crece → el O&amp;M crece proporcionalmente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mantenimiento preventivo (planta 100 kWp/año)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€2.000–€5.000/año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contrato O&amp;M completo (planta 500 kWp)</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€8.000–€20.000/año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instalación nueva (industrial 100 kWp)</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€60.000–€120.000</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Driver regulatorio clave</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(autoconsumo), RD 1183/2020 (acceso red), PNIEC 2021-2030</w:t>
            </w:r>
          </w:p>
        </w:tc>
      </w:tr>
    </w:tbl>
    <w:p>
      <w:pPr>
        <w:spacing w:after="120" w:before="120"/>
      </w:pPr>
    </w:p>
    <w:p>
      <w:pPr>
        <w:spacing w:after="120" w:before="240"/>
      </w:pPr>
      <w:r>
        <w:rPr>
          <w:rFonts w:ascii="Arial" w:cs="Arial" w:eastAsia="Arial" w:hAnsi="Arial"/>
          <w:b/>
          <w:bCs/>
          <w:color w:val="1C2535"/>
          <w:sz w:val="26"/>
          <w:szCs w:val="26"/>
        </w:rPr>
        <w:t xml:space="preserve">2.3 Asociaciones del Sector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rPr>
          <w:cantSplit/>
        </w:trPr>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Asociación</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Asociados est.</w:t>
            </w:r>
          </w:p>
        </w:tc>
        <w:tc>
          <w:tcPr>
            <w:tcW w:type="dxa" w:w="324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Relevancia para TrabFlow</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 / Cargadores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 Canal directo a instaladores VE y fabricantes</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FENIE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Eléctrico / VE / FV</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35.000+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 Ya en outreach activo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APIEM</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Eléctrico / 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8.000+ instaladores Madrid</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 Ya en outreach activo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CONAIF</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Instaladores (todos)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200.000+ trabajadores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 Canal nacional multi-oficio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Fotovoltaica</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 Referente FV en España</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Energía solar</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Media-alta. Especializada en O&amp;M</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AFRE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Recarga eléctrica</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 Foco en operadores de 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03. Perfil de Cliente Ideal</w:t>
            </w:r>
          </w:p>
          <w:p>
            <w:r>
              <w:rPr>
                <w:rFonts w:ascii="Arial" w:cs="Arial" w:eastAsia="Arial" w:hAnsi="Arial"/>
                <w:color w:val="D5E8F0"/>
                <w:sz w:val="20"/>
                <w:szCs w:val="20"/>
              </w:rPr>
              <w:t xml:space="preserve">Autónomo · PYME · Empresa</w:t>
            </w:r>
          </w:p>
        </w:tc>
      </w:tr>
    </w:tbl>
    <w:p>
      <w:pPr>
        <w:spacing w:after="160" w:before="160"/>
      </w:pPr>
    </w:p>
    <w:p>
      <w:pPr>
        <w:spacing w:after="120" w:before="240"/>
      </w:pPr>
      <w:r>
        <w:rPr>
          <w:rFonts w:ascii="Arial" w:cs="Arial" w:eastAsia="Arial" w:hAnsi="Arial"/>
          <w:b/>
          <w:bCs/>
          <w:color w:val="1C2535"/>
          <w:sz w:val="26"/>
          <w:szCs w:val="26"/>
        </w:rPr>
        <w:t xml:space="preserve">3.1 Cargadores 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cantSplit/>
        </w:trPr>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Autónomo</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PYME (2-10 técnicos)</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Empresa (10+ técnicos)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Electricista habilitado para VE. 1-2 técnicos. Instala wallboxes residenciales y comunitarios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eléctrica con división VE. Contratos con promotoras, hoteles, empresas de flotas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especializada en infraestructura de recarga. Contratos con autopistas, municipios, grandes superficies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€40.000–€120.000/año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€200.000–€1.200.000/año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€1.200.000+/año</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Trabajos/mes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8–20 instalaciones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30–80 puntos de recarga</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puntos, gestión flota</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Pain principal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Legalización manual, presupuestos lentos, ITC-BT-52 compleja</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Coordinación técnicos, documentación legalización, planificación rutas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clientes recarga, O&amp;M preventivo, facturación recurrente</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 TrabFlow ideal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Profesional €49/mes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€89/mes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€179/mes</w:t>
            </w:r>
          </w:p>
        </w:tc>
      </w:tr>
    </w:tbl>
    <w:p>
      <w:pPr>
        <w:spacing w:after="120" w:before="120"/>
      </w:pPr>
    </w:p>
    <w:p>
      <w:pPr>
        <w:spacing w:after="120" w:before="240"/>
      </w:pPr>
      <w:r>
        <w:rPr>
          <w:rFonts w:ascii="Arial" w:cs="Arial" w:eastAsia="Arial" w:hAnsi="Arial"/>
          <w:b/>
          <w:bCs/>
          <w:color w:val="1C2535"/>
          <w:sz w:val="26"/>
          <w:szCs w:val="26"/>
        </w:rPr>
        <w:t xml:space="preserve">3.2 Fotovoltaica Industrial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cantSplit/>
        </w:trPr>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Autónomo</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PYME (2-10 técnicos)</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Empresa (10+ técnicos)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Instalador FV residencial/industrial pequeño. Instalaciones hasta 100 kWp</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con proyectos industriales 100-500 kWp. Cartera de mantenimiento activa</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O&amp;M provider. Gestiona parque de plantas. Contratos plurianuales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€60.000–€200.000/año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€400.000–€3.000.000/año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€3.000.000+/año</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activos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0-5 contratos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10-50 contratos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50-500 contratos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Pain principal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Informes de producción manuales, partes de trabajo en papel, sin seguimiento de incidencias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Coordinación preventivos, termografías programadas, reporting a clientes, facturación recurrente O&amp;M</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Monitorización centralizada, alertas de rendimiento, gestión SLA, documentación regulatoria</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 TrabFlow ideal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Profesional €49/mes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€89/mes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€179/mes + módulo O&amp;M avanzado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04. Problemas que Resuelve TrabFlow</w:t>
            </w:r>
          </w:p>
          <w:p>
            <w:r>
              <w:rPr>
                <w:rFonts w:ascii="Arial" w:cs="Arial" w:eastAsia="Arial" w:hAnsi="Arial"/>
                <w:color w:val="D5E8F0"/>
                <w:sz w:val="20"/>
                <w:szCs w:val="20"/>
              </w:rPr>
              <w:t xml:space="preserve">Los 10 dolores principales de cada vertical</w:t>
            </w:r>
          </w:p>
        </w:tc>
      </w:tr>
    </w:tbl>
    <w:p>
      <w:pPr>
        <w:spacing w:after="160" w:before="160"/>
      </w:pPr>
    </w:p>
    <w:p>
      <w:pPr>
        <w:spacing w:after="120" w:before="240"/>
      </w:pPr>
      <w:r>
        <w:rPr>
          <w:rFonts w:ascii="Arial" w:cs="Arial" w:eastAsia="Arial" w:hAnsi="Arial"/>
          <w:b/>
          <w:bCs/>
          <w:color w:val="1C2535"/>
          <w:sz w:val="26"/>
          <w:szCs w:val="26"/>
        </w:rPr>
        <w:t xml:space="preserve">4.1 Cargadores VE — Problemas actuales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Problema</w:t>
            </w:r>
          </w:p>
        </w:tc>
        <w:tc>
          <w:tcPr>
            <w:tcW w:type="dxa" w:w="5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Cómo lo resuelve TrabFlow</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 lentos por complejidad de ITC-BT-52</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IA genera partidas REBT/ITC-BT-52 automáticamente desde voz</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legalización manual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Asistente RAG genera borradores de memoria técnica y certificado de instalación</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subvenciones MOVES sin seguimiento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TrabFlow con estado de expediente y fechas límite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Planificación ineficiente de rutas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de ruta diaria óptima por técnico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control de mantenimientos preventivos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de contratos O&amp;M con avisos automáticos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Partes de trabajo en papel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Partes digitales desde el móvil con foto de la instalación</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 manual post-instalación</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 automática desde presupuesto aceptado. VeriFactu incluido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seguimiento de avería ni historial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con historial completo de cada punto de recarga</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Coordinación difícil en instalaciones comunitarias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multi-propietario, pagos parciales, comunicaciones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catálogo de materiales VE integrado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Catálogo con referencias Wallbox, ABB, Schneider, Circutor</w:t>
            </w:r>
          </w:p>
        </w:tc>
      </w:tr>
    </w:tbl>
    <w:p>
      <w:pPr>
        <w:spacing w:after="120" w:before="120"/>
      </w:pPr>
    </w:p>
    <w:p>
      <w:pPr>
        <w:spacing w:after="120" w:before="240"/>
      </w:pPr>
      <w:r>
        <w:rPr>
          <w:rFonts w:ascii="Arial" w:cs="Arial" w:eastAsia="Arial" w:hAnsi="Arial"/>
          <w:b/>
          <w:bCs/>
          <w:color w:val="1C2535"/>
          <w:sz w:val="26"/>
          <w:szCs w:val="26"/>
        </w:rPr>
        <w:t xml:space="preserve">4.2 Fotovoltaica Industrial — Problemas actuales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Problema</w:t>
            </w:r>
          </w:p>
        </w:tc>
        <w:tc>
          <w:tcPr>
            <w:tcW w:type="dxa" w:w="5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Cómo lo resuelve TrabFlow</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Reporting de producción manual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O&amp;M con informes de rendimiento automatizados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contratos O&amp;M en Excel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de mantenimiento con SLA, preventivos programados y alertas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control de termografías programadas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Maestra incluye actuación 'inspección termográfica' con checklist y periodicidad</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Incidencias sin trazabilidad</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Sistema de incidencias con prioridad, asignación y cierre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regulatoria dispersa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Asistente RAG con RD 244/2019, RD 1183/2020, normativa IDAE, UNE-EN 62446</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 de ampliación lentos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IA genera presupuesto de ampliación desde actuación tipo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seguimiento de garantías de inversor</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con registro de garantías, fechas, fabricante y gestor</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 O&amp;M manual y repetitiva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 recurrente automática desde contratos de mantenimiento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control de rendimiento vs. estimado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comparativo producción real vs. estimada (roadmap avanzado)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subcontratistas en campo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de trabajos externalizados con seguimiento y margen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05. Módulos de TrabFlow — Valor por Vertical</w:t>
            </w:r>
          </w:p>
          <w:p>
            <w:r>
              <w:rPr>
                <w:rFonts w:ascii="Arial" w:cs="Arial" w:eastAsia="Arial" w:hAnsi="Arial"/>
                <w:color w:val="D5E8F0"/>
                <w:sz w:val="20"/>
                <w:szCs w:val="20"/>
              </w:rPr>
              <w:t xml:space="preserve">Evaluación de impacto por módulo</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cantSplit/>
        </w:trPr>
        <w:tc>
          <w:tcPr>
            <w:tcW w:type="dxa" w:w="2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Módulo TrabFlow</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FV Industrial</w:t>
            </w:r>
          </w:p>
        </w:tc>
        <w:tc>
          <w:tcPr>
            <w:tcW w:type="dxa" w:w="3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Comentario</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Presupuestos IA</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ITC-BT-52 y actuaciones FV tienen partidas complejas. La IA aporta el mayor valor diferencial</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Contratos de Mantenimiento O&amp;M</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Ambos verticales tienen recurrencia estructural. Los contratos O&amp;M son la base del modelo de ingresos</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Base Maestra de Actuaciones</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Sin Base Maestra específica, la IA no puede generar presupuestos correctos. Es el corazón</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Asistente Técnico Normativo (RAG)</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ITC-BT-52 y RD 244/2019 son complejos. El instalador necesita consulta rápida en obra</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CRM y Seguimiento de Clientes</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FV tiene clientes corporativos con múltiples plantas. Historial largo. Muy crítico</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Partes de Trabajo Digital</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Las inspecciones termográficas, limpiezas y revisiones requieren parte con foto y firma</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Planificación y Rutas</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Ambos tienen desplazamientos a clientes. FV con plantas alejadas. VE con garajes y parkings</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Facturación Automática VeriFactu</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Ambos tienen facturación recurrente y puntual. Crítico para 2027</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Catálogo de Materiales</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Referencias específicas VE (wallboxes, cableado, protecciones) y FV (inversores, paneles, strings)</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Gestión de Trabajadores</w:t>
            </w:r>
          </w:p>
        </w:tc>
        <w:tc>
          <w:tcPr>
            <w:tcW w:type="dxa" w:w="14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Medio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FV industrial tiene equipos más grandes. Coordinación de técnicos de campo crítica</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Trabajos Externalizados</w:t>
            </w:r>
          </w:p>
        </w:tc>
        <w:tc>
          <w:tcPr>
            <w:tcW w:type="dxa" w:w="14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Medio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FV subcontrata especialistas (termografía, limpieza). TrabFlow gestiona el margen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06. Base Maestra de Actuaciones</w:t>
            </w:r>
          </w:p>
          <w:p>
            <w:r>
              <w:rPr>
                <w:rFonts w:ascii="Arial" w:cs="Arial" w:eastAsia="Arial" w:hAnsi="Arial"/>
                <w:color w:val="D5E8F0"/>
                <w:sz w:val="20"/>
                <w:szCs w:val="20"/>
              </w:rPr>
              <w:t xml:space="preserve">50 actuaciones VE · 100 actuaciones Fotovoltaica</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Principio TrabFlow: la IA no inventa. Detecta una actuación y ejecuta una plantilla técnica con materiales, reglas de cálculo y partidas predefinidas. La Base Maestra es el corazón del sistema.</w:t>
            </w:r>
          </w:p>
        </w:tc>
      </w:tr>
    </w:tbl>
    <w:p>
      <w:pPr>
        <w:spacing w:after="120" w:before="120"/>
      </w:pPr>
    </w:p>
    <w:p>
      <w:pPr>
        <w:spacing w:after="120" w:before="240"/>
      </w:pPr>
      <w:r>
        <w:rPr>
          <w:rFonts w:ascii="Arial" w:cs="Arial" w:eastAsia="Arial" w:hAnsi="Arial"/>
          <w:b/>
          <w:bCs/>
          <w:color w:val="1C2535"/>
          <w:sz w:val="26"/>
          <w:szCs w:val="26"/>
        </w:rPr>
        <w:t xml:space="preserve">6.1 Cargadores de Vehículo Eléctrico — 50 Actuaciones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200"/>
        <w:gridCol w:w="2200"/>
        <w:gridCol w:w="1060"/>
        <w:gridCol w:w="700"/>
      </w:tblGrid>
      <w:tr>
        <w:trPr>
          <w:cantSplit/>
        </w:trPr>
        <w:tc>
          <w:tcPr>
            <w:tcW w:type="dxa" w:w="3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Nº</w:t>
            </w:r>
          </w:p>
        </w:tc>
        <w:tc>
          <w:tcPr>
            <w:tcW w:type="dxa" w:w="2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Actuación</w:t>
            </w:r>
          </w:p>
        </w:tc>
        <w:tc>
          <w:tcPr>
            <w:tcW w:type="dxa" w:w="2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Materiales principales</w:t>
            </w:r>
          </w:p>
        </w:tc>
        <w:tc>
          <w:tcPr>
            <w:tcW w:type="dxa" w:w="2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Normativa</w:t>
            </w:r>
          </w:p>
        </w:tc>
        <w:tc>
          <w:tcPr>
            <w:tcW w:type="dxa" w:w="10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Frecuencia</w:t>
            </w:r>
          </w:p>
        </w:tc>
        <w:tc>
          <w:tcPr>
            <w:tcW w:type="dxa" w:w="7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Complejidad</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wallbox monofásico 7,4 kW (vivienda)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7,4 kW, cable 6mm², caja ICP, protecciones diferenciales, toma schuko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wallbox trifásico 11 kW</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11 kW trifásico, cable 6mm² x3F+N, caja protecciones, diferencial clase B</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wallbox trifásico 22 kW</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22 kW, cable 10mm² trifásico, línea desde CGP o cuadro secundario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Preinstalación garaje comunitario (circuito preparado)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Tubo vacío, cajas de registro, acometida prevista, ICP reservado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RD 1514/2010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infraestructura recarga comunidad propietarios (4-20 plazas)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Cuadro distribución VE, ramales por plaza, contadores individuales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Ley 49/1960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punto recarga empresa / parking privado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o cargador AC hasta 22 kW, cuadro general VE, gestión de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cargador semirrápido DC 50 kW (vía pública)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 DC 50 kW, línea MT o BT reforzada, armario medida, obra civil</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RD 1085/2015</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cargador ultrarrápido DC 150 kW+</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 DC 150+ kW, línea MT, transformador dedicado, gestión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RD 1085/2015</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Ampliación potencia contratada para recarga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con distribuidora, nuevo ICP, actualización BIE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regulación distribuidoras</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solicitud subvención MOVES III</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técnica, presupuesto normalizado, certificados instalador</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266/2021 (MOVES III)</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Legalización instalación de recarga (certificado)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Certificado de instalación eléctrica (CIE), memoria técnica, esquema unifilar</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wallbox averiado (mismo modelo)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sustitución, conexionado, comprobación circuito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wallbox por modelo superior (más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nuevo, revisión cable existente, posible refuerzo de línea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Ampliación de puntos de recarga en instalación existente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Nuevos wallboxes, sistema balanceo dinámico, ampliación cuadro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sistema balanceo dinámico de 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balanceo, sensores de corriente, configuración SW</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gestión inteligente de energía (solar +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Controlador energético, integración inversor FV, algoritmo 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RD 244/2019</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Diagnóstico avería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línea, wallbox, comunicaciones, informe técnico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avería eléctrica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componente averiado según diagnóstico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preventivo anual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conexiones, test funcional, limpieza, actualización firmware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preventivo semestral (contrato O&amp;M)</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eléctrica completa, test RCCB, comprobación comunicaciones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y revisión cuadro eléctrico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protecciones, calibrado diferencial, apriete bornas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Actualización firmware wallbox</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Conexión remota o presencial, descarga versión fabricante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perfil de carga horario (tarifa valle)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SW cargador, conexión a plataforma gestión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y configuración plataforma gestión remota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Backend OCPP, cuentas usuario, integración facturación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OCPP 1.6/2.0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Integración OCPP con sistema de gestión del cliente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 OCPP, pruebas de integración, formación usuario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OCPP 2.0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punto recarga en flota empresarial (base)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Cargadores AC en cochera, cuadro VE, gestión de acceso por tarjeta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monitorización consumo por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Contadores inteligentes por plaza, software reporting</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protección contra sobretensiones (SPD) en cuadro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SPD tipo 2, coordinación con ICP, cableado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ITC-BT-23</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Canalización subterránea para nueva red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Tubo PE doble pared, arquetas, cables BT, restauración pavimento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ITC-BT-07</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tótem de recarga exterior IP65</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Tótem VE exterior, base de hormigón, canalización estanca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IP65</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periódica instalación de recarga (3 años)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visual, termografía básica, test funcional completo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Trienal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cable de recarga de usuario (modo 3)</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Cable Tipo 2 homologado, conexión al wallbox</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62196</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pantalla/interfaz wallbox</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Diagnóstico display, sustitución módulo IHM si necesario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SAI/UPS para continuidad de servicio en recarga crítica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SAI rack, bypass, conexionado con cuadro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acceso a red para punto de recarga de alta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Solicitud distribuidora, documentación técnica, seguimiento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1183/2020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cargador bidireccional V2G</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 V2G certificado, integración red eléctrica, configuración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V2G draft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Formación usuario final en uso de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1-2h presenciales, manual usuario, configuración app móvil</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Puesta en servicio de instalación de recarga (comisionado)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Test completo, prueba de carga, documentación, entrega al cliente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Auditoría eléctrica previa a instalación VE (vivienda existente)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BIE, potencia disponible, estado cuadro, informe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Auditoría eléctrica previa a instalación VE (comunidad)</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cuadro general, potencia contratada, BIE individuales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recarga en garaje residencial subterráneo (canalización)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Tubo corrugado, cable 6mm², caja registro, wallbox</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Migración de infraestructura de recarga a nuevo proveedor OCPP</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Cambio backend, reconfiguración cargadores, pruebas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OCPP</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Diseño de proyecto de recarga para parking de más de 20 plazas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Cálculos, planos, memoria, esquema unifilar, presupuesto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reglamento</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protecciones eléctricas cuadro VE (ICP/diferencial)</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ICP nuevo, diferencial clase B, apriete bornas, test</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contador telegestionado para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Contador BT telegestionado, comunicación PLC, configuración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1110/2007</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post-siniestro (incendio, inundación)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visual, pruebas aislamiento, informe pericial</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punto de recarga en área de servicio de carretera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Cargadores DC/AC mixtos, armario medida, señalización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DGT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termográfica de cuadro eléctrico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Cámara termográfica, informe puntos calientes, recomendaciones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de recarga inteligente con tarifa dinámica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Integración API comercializadora, configuración horaria en plataforma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Directiva UE 2019/944</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transformador dedicado para carga de alta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Transformador MT/BT, cuadro BT, interconexión cargadores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MT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bl>
    <w:p>
      <w:pPr>
        <w:spacing w:after="160" w:before="160"/>
      </w:pPr>
    </w:p>
    <w:p>
      <w:r>
        <w:br w:type="page"/>
      </w:r>
    </w:p>
    <w:p>
      <w:pPr>
        <w:spacing w:after="120" w:before="240"/>
      </w:pPr>
      <w:r>
        <w:rPr>
          <w:rFonts w:ascii="Arial" w:cs="Arial" w:eastAsia="Arial" w:hAnsi="Arial"/>
          <w:b/>
          <w:bCs/>
          <w:color w:val="1C2535"/>
          <w:sz w:val="26"/>
          <w:szCs w:val="26"/>
        </w:rPr>
        <w:t xml:space="preserve">6.2 Fotovoltaica Industrial — 100 Actuaciones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560"/>
        <w:gridCol w:w="2000"/>
        <w:gridCol w:w="700"/>
        <w:gridCol w:w="1000"/>
      </w:tblGrid>
      <w:tr>
        <w:trPr>
          <w:cantSplit/>
        </w:trPr>
        <w:tc>
          <w:tcPr>
            <w:tcW w:type="dxa" w:w="3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Nº</w:t>
            </w:r>
          </w:p>
        </w:tc>
        <w:tc>
          <w:tcPr>
            <w:tcW w:type="dxa" w:w="2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Actuación</w:t>
            </w:r>
          </w:p>
        </w:tc>
        <w:tc>
          <w:tcPr>
            <w:tcW w:type="dxa" w:w="2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Materiales principales</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Normativa</w:t>
            </w:r>
          </w:p>
        </w:tc>
        <w:tc>
          <w:tcPr>
            <w:tcW w:type="dxa" w:w="7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Frec.</w:t>
            </w:r>
          </w:p>
        </w:tc>
        <w:tc>
          <w:tcPr>
            <w:tcW w:type="dxa" w:w="1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Complejidad</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inversor string (hasta 20 kW)</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string, estructura, cable DC, protecciones DC</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inversor central (&gt;20 kW)</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central, cuadro AC, transformador si &gt;100 kW</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inversor híbrido con baterías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híbrido, batería LFP, BMS, cableado DC/AC</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paneles fotovoltaicos (módulos)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Paneles, estructura, tornillería, cable UV, conectores MC4</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61215, RD 244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estructura coplanar cubierta inclinada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Perfiles aluminio, ganchos teja, raíles, contravientos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Resistencia estructural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estructura cubierta plana (balastro)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Lastres hormigón, perfiles aluminio, ángulo optimizado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Resistencia estructural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estructura suelo (ground-mount)</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Postes acero galvanizado, vigas, anclajes hormigón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Resistencia estructural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optimizadores de potencia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Optimizador por panel, cableado específico, configuración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microinversores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Microinversor por panel, cableado AC daisy-chain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sistema monitorización (datalogger)</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Datalogger, sonda temperatura, irradiancia, comunicación RS485/WiFi</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preventivo anual planta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visual, limpieza contactos, test aislamiento, informe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 UNE-EN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preventivo semestral (contrato O&amp;M)</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protecciones, test inversor, lectura producción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cuadro de protecciones AC</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fusibles, magnetotérmicos, diferencial, apriete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cuadro de protecciones DC (caja de strings)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fusibles string, varistores, DPS, diodos bypass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y apriete de conexiones DC (strings)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Conectores MC4, borneros, resistencia de contacto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62852</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y apriete de conexiones AC</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Borneros AC, cables PE, apriete según par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Verificación de aislamiento strings fotovoltaicos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Megóhmetro 1000V, registro valores por string</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Medición y registro de parámetros de inversor</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VOC, ISC, Pmpp por string, comparativa con valores nominales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firmware inversor y actualización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Descarga versión fabricante, actualización OTA o presencial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Test de funcionamiento completo de la instalación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Secuencia arranque/parada, test MPP, test protecciones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paneles fotovoltaicos (manual, cubierta)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Agua desionizada, detergente neutro, escobillas suaves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paneles con sistema de agua a presión baja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Cañón agua, percha telescópica, agua osmótica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paneles planta suelo (vehículo o dron)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Equipo de limpieza rodante o dron limpiador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inversor (filtros y ventilación)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Aspirado filtros, limpieza rejillas, test ventiladores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cuadros eléctricos (exterior e interior)</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Aspirado, limpieza contactos, antioxidante contactos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termográfica de paneles fotovoltaicos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Cámara termográfica certificada, informe de puntos calientes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TS 62446-3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termográfica de conexiones y cuadros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Cámara termográfica, identificación conexiones calientes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TS 62446-3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termográfica con dron (plantas &gt;200 kWp)</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Dron con cámara termográfica, ortofoto, georeferenciación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TS 62446-3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de termografía con recomendaciones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Procesado imágenes, clasificación defectos IEC, priorización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TS 62446-3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Diagnóstico de caída de producción inesperada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datos monitorización, inspección visual, mediciones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panel fotovoltaico dañado (granizo/rotura)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Panel sustitución, conexionado MC4, verificación string</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61215</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inversor averiado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nuevo, desconexión AC/DC, instalación, configuración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optimizador averiado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Optimizador, desconeción string, instalación, pairing</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microinversor averiado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Microinversor, desconexión, instalación, configuración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de fuga de corriente en string (localización)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TDR, medición aislamiento, localización defecto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fusible de string quemado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Fusible de repuesto, base portafusibles si dañada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de conector MC4 deteriorado o quemado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Conectores MC4 nuevos, crimpadora, test aislamiento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62852</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de cable DC dañado por roedores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Cable solar UV nuevo, protección metálica tubo, reconexión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protección DPS (varistor) quemada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DPS nuevo mismo tipo, verificación coordinación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62561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de estructura metálica dañada (viento/granizo)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 aluminio, tornillería inox, nivelación, reajuste paneles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sistema monitorización remota avanzada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Datalogger industrial, SCADA, comunicación 4G/Ethernet</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alertas de producción y rendimiento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Umbrales PR, alarmas comunicación inversor, notificaciones email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rendimiento vs. producción estimada (PR)</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Software análisis, datos PVGIS, informe mensual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Generación de informe mensual de producción O&amp;M</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PDF automático, producción real vs. esperada, incidencias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Generación de informe anual de auditoría de planta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completo: producción, mantenimientos, incidencias, termografía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Migración de sistema de monitorización a nueva plataforma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Exportación histórico, configuración nueva plataforma, validación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Ampliación de planta fotovoltaica (nuevos strings)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Paneles, estructura, cable DC, fusibles, caja de strings ampliada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Ampliación de planta con nuevo inversor adicional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cuadro AC adicional, cableado, legalización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Incorporación de baterías a instalación existente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Baterías LFP, inversor híbrido o cargador baterías, BMS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Modificación de inclinación de estructura (optimización)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Recálculo ángulo, reforma estructura, ajuste paneles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inscripción en registro autoconsumo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administrativa, modelo TCU, seguimiento expediente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acceso y conexión a red (distribuidora)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Solicitud ATR, documentación técnica, seguimiento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1183/2020</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Elaboración de proyecto técnico de instalación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Memoria, planos, cálculos, esquemas unifilares, presupuesto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Obtención de certificado de fin de obra (legalización)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Certificado instalador, memoria descriptiva, esquemas finales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compensación de excedentes con comercializadora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 compensación, CNMC, configuración contador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RD 1164/2001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toma de tierra de instalación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Medición resistencia tierra, mejora si necesario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protección contra rayo (DPS clase 1)</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DPS clase 1, coordinación protecciones, cableado equipotencial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62561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señalización de seguridad de la instalación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Carteles de tensión peligrosa, esquemas en cuadro, etiquetado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614/2001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seccionadores de emergencia (MLPE)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Seccionadores rápidos, integración con inversor o módulo externo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de sistema de baterías (BMS y ciclos)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BMS, análisis ciclos, SOH estimación, calibrado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62933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módulo de batería degradado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LFP equivalente, equilibrado celdas, test carga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62933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ventilación y temperatura de sala de baterías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Sondas temperatura, extracción ventilación, alarmas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62933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sombras y estudio de pérdidas actuales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Solmetric o similar, curvas IV, informe pérdidas, soluciones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Estudio de viabilidad de ampliación de planta existente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PVGIS, análisis técnico-económico, propuesta inversión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Auditoría técnica completa de planta (due diligence)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Termografía, mediciones IV, revisión documental, informe completo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Formación del personal técnico del cliente en O&amp;M básico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 jornada presencial, manual de operación, checklist mensual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Formación en uso de plataforma de monitorización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Sesión online, manual usuario, configuración alertas personalizadas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post-granizo (daños paneles y estructura)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visual, termografía urgente, informe asegurador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post-inundación (cuadros y cableado)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aislamiento, sustitución componentes mojados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Retirada y reciclaje de paneles obsoletos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Desmontaje, transporte punto limpio, certificado reciclaje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110/2015 (RAEE)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seguro de planta y documentación técnica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Inventario equipos, valoración actualizada, fotos estado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garantías de inversor con fabricante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avería, comunicación fabricante, seguimiento RMA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garantías de paneles con fabricante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defecto, ensayo EL si necesario, seguimiento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61215</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Cálculo de pérdidas por degradación acumulada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Comparativa producción histórica, modelo degradación, informe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datalogger averiado o sin soporte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Nuevo datalogger, migración configuración, validación datos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eléctrica BT de evacuación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cableado, protecciones, medidor red, cuadro principal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contador de energía bidireccional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Contador BT clase B, comunicación Modbus, integración SCADA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rendimiento de strings individualmente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Curvas IV por string, comparativa, identificación string bajo rendimiento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de pararrayos y tierras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Medición resistencia, trazado tierra, continuidad equipotencial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IEC 62561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estructura soporte panel individual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 o gancho nuevo, nivelación, ajuste panel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de exportación cero (vertido cero)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anti-vertido, sonda corriente red, configuración inversor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y calibración de sondas de monitorización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Irradiancia, temperatura célula, temperatura ambiente, validación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protección anti-islanding (reconexión automática)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Relé de protección, coordinación con red distribuidora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1699/2011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alta de planta en Registro de Instalaciones de Producción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RIPRE, seguimiento CCAA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413/2014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viabilidad de instalación de baterías en planta existente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Estudio ciclos, ahorro OPEX, análisis retorno, propuesta técnica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según norma IEC 62446 (anual)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Checklist completo IEC 62446, informe de conformidad</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Puesta en marcha de planta fotovoltaica nueva (comisionado)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Test completo, ajuste protecciones, activación monitorización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quinquenal de instalación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completa, termografía, mediciones, actualización documental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Quinquenal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baja o desmantelamiento de planta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baja registro, notificación distribuidora, gestión RAEE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413/2014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del estado de cubierta bajo instalación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impermeabilización, anclajes, filtraciones, informe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cámara de vigilancia en planta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Cámara IP exterior, grabador, alimentación, conexión red</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valla perimetral o sistema antiintrusión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Detectores perimetral, sirenas, integración alarma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vibración de seguidores solares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mecánica, engrase, test movimiento, calibración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de seguimiento solar (trackers)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Test electrónico, anemómetros, calibración ángulos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inversor central (filtros industriales)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Desmontaje filtros, limpieza, reinstalación, test ventiladores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condensadores de inversor central envejecidos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Condensadores industriales, soldadura, test carga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Decenal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puntos de conexión a subestación MT</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seccionadores, interruptores, TP/TI, relés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MT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sistema SCADA industrial para parque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SCADA licencia, servidor, integración inversores, paneles SCADA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Migración de contrato O&amp;M a nueva empresa mantenedora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Auditoría de recepción, inventario, estado, informe entrega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Intervención de emergencia en planta FV (incendio/fallo grave)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Desconexión segura, colaboración bomberos, peritaje, informe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07. Contratos de Mantenimiento O&amp;M</w:t>
            </w:r>
          </w:p>
          <w:p>
            <w:r>
              <w:rPr>
                <w:rFonts w:ascii="Arial" w:cs="Arial" w:eastAsia="Arial" w:hAnsi="Arial"/>
                <w:color w:val="D5E8F0"/>
                <w:sz w:val="20"/>
                <w:szCs w:val="20"/>
              </w:rPr>
              <w:t xml:space="preserve">Plantillas · SLA · Cuotas · Niveles de servicio</w:t>
            </w:r>
          </w:p>
        </w:tc>
      </w:tr>
    </w:tbl>
    <w:p>
      <w:pPr>
        <w:spacing w:after="160" w:before="160"/>
      </w:pPr>
    </w:p>
    <w:p>
      <w:pPr>
        <w:spacing w:after="120" w:before="240"/>
      </w:pPr>
      <w:r>
        <w:rPr>
          <w:rFonts w:ascii="Arial" w:cs="Arial" w:eastAsia="Arial" w:hAnsi="Arial"/>
          <w:b/>
          <w:bCs/>
          <w:color w:val="1C2535"/>
          <w:sz w:val="26"/>
          <w:szCs w:val="26"/>
        </w:rPr>
        <w:t xml:space="preserve">7.1 Cargadores VE — Niveles de Servicio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cantSplit/>
        </w:trPr>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Parámetro</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Básico</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Estándar</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Premium</w:t>
            </w:r>
          </w:p>
        </w:tc>
        <w:tc>
          <w:tcPr>
            <w:tcW w:type="dxa" w:w="18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Crítico 24/7</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Cuota mensual / punto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€12–€18</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€20–€28</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€35–€50</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€60–€90</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Horario atención</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L-V 9h-18h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L-V 8h-20h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L-V 7h-22h</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24/7/365</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respuesta incidencia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8h</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2h</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resolución</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 días hábiles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 días hábiles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24h</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8h</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Preventivo anual</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 visita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visitas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visitas + termografía</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visitas + termografía + test carga</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Monitorización remota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Básica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Avanzada con alertas</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real + NOC</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Repuesto en garantía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Piezas menores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Piezas menores + mano obra</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Todo incluido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Trimestral</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Penalización SLA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 cuota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 cuota</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 cuota</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Ejemplo de ingreso recurrente: 50 puntos de recarga en parking corporativo × €25/punto/mes = €1.250/mes = €15.000/año por un solo cliente.</w:t>
            </w:r>
          </w:p>
        </w:tc>
      </w:tr>
    </w:tbl>
    <w:p>
      <w:pPr>
        <w:spacing w:after="120" w:before="120"/>
      </w:pPr>
    </w:p>
    <w:p>
      <w:pPr>
        <w:spacing w:after="120" w:before="240"/>
      </w:pPr>
      <w:r>
        <w:rPr>
          <w:rFonts w:ascii="Arial" w:cs="Arial" w:eastAsia="Arial" w:hAnsi="Arial"/>
          <w:b/>
          <w:bCs/>
          <w:color w:val="1C2535"/>
          <w:sz w:val="26"/>
          <w:szCs w:val="26"/>
        </w:rPr>
        <w:t xml:space="preserve">7.2 Fotovoltaica Industrial — Niveles de Servicio O&amp;M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cantSplit/>
        </w:trPr>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Parámetro</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Vigilancia</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Preventivo</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O&amp;M Completo</w:t>
            </w:r>
          </w:p>
        </w:tc>
        <w:tc>
          <w:tcPr>
            <w:tcW w:type="dxa" w:w="18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Full Service</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Cuota mensual (planta 100 kWp)</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€150–€200</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€250–€350</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€400–€600</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€700–€1.200</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Cuota mensual (planta 500 kWp)</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€400–€600</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€700–€1.000</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€1.200–€1.800</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€2.000–€3.500</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Monitorización</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Remota 24/7</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Remota 24/7 + alertas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SCADA avanzado</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NOC dedicado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Preventivos / año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 visita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visitas</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 visitas</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incluida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 limpieza/año</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limpiezas/año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Termografía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 + dron</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respuesta incidencia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72h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24h</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4h</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SLA disponibilidad planta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≥97%</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≥98,5%</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≥99,5%</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de producción</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 PDF</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 + análisis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 + análisis + KPIs</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Dashboard en tiempo real</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Penalización SLA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 factura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 factura</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 + bonus si supera</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Ejemplo de ingreso recurrente: cartera de 10 plantas de 200 kWp en nivel O&amp;M Completo × €900/mes/planta = €9.000/mes = €108.000/año de ingresos recurrentes para una PYME instaladora.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08. Asistente Técnico Normativo — RAG</w:t>
            </w:r>
          </w:p>
          <w:p>
            <w:r>
              <w:rPr>
                <w:rFonts w:ascii="Arial" w:cs="Arial" w:eastAsia="Arial" w:hAnsi="Arial"/>
                <w:color w:val="D5E8F0"/>
                <w:sz w:val="20"/>
                <w:szCs w:val="20"/>
              </w:rPr>
              <w:t xml:space="preserve">Normativa a indexar por vertical y prioridad</w:t>
            </w:r>
          </w:p>
        </w:tc>
      </w:tr>
    </w:tbl>
    <w:p>
      <w:pPr>
        <w:spacing w:after="160" w:before="160"/>
      </w:pPr>
    </w:p>
    <w:p>
      <w:pPr>
        <w:spacing w:after="120" w:before="240"/>
      </w:pPr>
      <w:r>
        <w:rPr>
          <w:rFonts w:ascii="Arial" w:cs="Arial" w:eastAsia="Arial" w:hAnsi="Arial"/>
          <w:b/>
          <w:bCs/>
          <w:color w:val="1C2535"/>
          <w:sz w:val="26"/>
          <w:szCs w:val="26"/>
        </w:rPr>
        <w:t xml:space="preserve">8.1 Cargadores VE — Normativa RAG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Norma / Reglamento</w:t>
            </w:r>
          </w:p>
        </w:tc>
        <w:tc>
          <w:tcPr>
            <w:tcW w:type="dxa" w:w="43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 relevante para el instalador</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(REBT)</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Instalaciones con fines especiales: Infraestructura para la recarga de VE. La norma madre del instalador VE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(RD 842/2002)</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Reglamento Electrotécnico de Baja Tensión completo. Base de toda instalación eléctrica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1085/2015 (MOVEA)</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Fomento de la movilidad eléctrica. Subvenciones y condiciones de instalación en vía pública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266/2021 (MOVES III)</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Programa de ayudas para la adquisición de VE y instalación de infraestructura de recarga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Reglamento UE 2023/1804 (AFIR)</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Regulación europea de infraestructura de combustibles alternativos. Objetivos 2025-2035</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61851 (modos de carga)</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Modos 1, 2, 3 y 4 de recarga. Obligaciones técnicas según modo</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62196 (conectores)</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Tipos de conectores: Tipo 2 (AC), CCS Combo2 (DC), CHAdeMO. Interoperabilidad</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OCPP 1.6 / 2.0 (Open Charge Point Protocol)</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Protocolo de comunicación entre cargador y plataforma. Base de la gestión remota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Ley 49/1960 de Propiedad Horizontal (art. 17)</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Mayorías para instalación en comunidades de propietarios (3/5 o mayoría simple)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1514/2010 (preinstalaciones garaje)</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Preinstalaciones obligatorias en garajes de obra nueva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Normativas CCAA específicas</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Cataluña, Madrid, Andalucía, País Vasco tienen regulación complementaria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Manuales técnicos: Wallbox, ABB, Schneider, Circutor, Zaptec</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instalación, torques, configuración, puesta en marcha de los principales fabricantes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bl>
    <w:p>
      <w:pPr>
        <w:spacing w:after="120" w:before="120"/>
      </w:pPr>
    </w:p>
    <w:p>
      <w:pPr>
        <w:spacing w:after="120" w:before="240"/>
      </w:pPr>
      <w:r>
        <w:rPr>
          <w:rFonts w:ascii="Arial" w:cs="Arial" w:eastAsia="Arial" w:hAnsi="Arial"/>
          <w:b/>
          <w:bCs/>
          <w:color w:val="1C2535"/>
          <w:sz w:val="26"/>
          <w:szCs w:val="26"/>
        </w:rPr>
        <w:t xml:space="preserve">8.2 Fotovoltaica Industrial — Normativa RAG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Norma / Reglamento</w:t>
            </w:r>
          </w:p>
        </w:tc>
        <w:tc>
          <w:tcPr>
            <w:tcW w:type="dxa" w:w="43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 relevante para el instalador</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(Autoconsumo)</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 madre del autoconsumo fotovoltaico en España. Modalidades, compensación excedentes, registro</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1183/2020 (Acceso y conexión a red)</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Procedimiento de solicitud ATR, documentación, plazos, condiciones técnicas conexión</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(RD 842/2002)</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de toda instalación eléctrica BT. Obligatorio para el AC de la instalación</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62446-1 (Documentación FV)</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documentación de sistemas FV conectados a red. Base del informe de comisionado</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62446-3 (Termografía FV)</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Procedimiento de inspección termográfica de instalaciones fotovoltaicas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 (Monitorización FV)</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Sistemas de monitorización de la energía: irradiancia, temperatura, producción, PR</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 (Diseño DC FV)</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de diseño del lado DC: secciones, fusibles, protecciones, caídas de tensión</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61215 (Módulos FV cristalino)</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Cualificación de módulos fotovoltaicos de Si cristalino. Base de garantías de producto</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 (Seguridad inversores)</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de seguridad para inversores de instalaciones FV</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UNE-EN 62561 (Protección contra rayos)</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Sistemas de protección contra rayos y equipotencialidad en instalaciones FV</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413/2014 / RIPRE</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Régimen retributivo específico para productores de energía eléctrica de fuentes renovables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PNIEC 2021-2030</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 Nacional Integrado de Energía y Clima. Contexto regulatorio y objetivos 2030</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Informativa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Guías técnicas IDAE</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Guías de instalación FV residencial, industrial y gran escala del IDAE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Manuales fabricantes: Huawei, Sungrow, Fronius, SolarEdge, Enphase</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instalación, configuración, puesta en marcha, mantenimiento de inversores líderes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09. Asociaciones Estratégicas</w:t>
            </w:r>
          </w:p>
          <w:p>
            <w:r>
              <w:rPr>
                <w:rFonts w:ascii="Arial" w:cs="Arial" w:eastAsia="Arial" w:hAnsi="Arial"/>
                <w:color w:val="D5E8F0"/>
                <w:sz w:val="20"/>
                <w:szCs w:val="20"/>
              </w:rPr>
              <w:t xml:space="preserve">Priorización de canal para TrabFlow</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2160"/>
        <w:gridCol w:w="1200"/>
        <w:gridCol w:w="1200"/>
      </w:tblGrid>
      <w:tr>
        <w:trPr>
          <w:cantSplit/>
        </w:trPr>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Asociación</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Asociados / Alcance</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Propuesta de valor TrabFlow</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FENIE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Eléctrico / VE</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35.000+ empresas eléctricas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 meses gratis para asociados + VeriFactu 2027</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 curso</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APIEM</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Eléctrico / VE Madrid</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8.000+ instaladores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Acceso prioritario beta + soporte normativa VE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 curso</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CONAIF</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Todos los instaladores</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200.000+ trabajadores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Plataforma de referencia sectorial + VeriFactu</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 curso</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 / Movilidad</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300+ empresas recarga</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TrabFlow como herramienta de gestión para instaladores miembro</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Fotovoltaica</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500+ empresas FV</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O&amp;M module, contratos mantenimiento, normativa RAG FV</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ANES</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Energía Solar</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 empresas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Foco en O&amp;M: contratos, partes, monitorización</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AFRE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Recarga / Movilidad</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 operadores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para empresas de operación de redes de recarga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10. Distribuidores y Partners Industriales</w:t>
            </w:r>
          </w:p>
          <w:p>
            <w:r>
              <w:rPr>
                <w:rFonts w:ascii="Arial" w:cs="Arial" w:eastAsia="Arial" w:hAnsi="Arial"/>
                <w:color w:val="D5E8F0"/>
                <w:sz w:val="20"/>
                <w:szCs w:val="20"/>
              </w:rPr>
              <w:t xml:space="preserve">Sinergias de catálogo y canal</w:t>
            </w:r>
          </w:p>
        </w:tc>
      </w:tr>
    </w:tbl>
    <w:p>
      <w:pPr>
        <w:spacing w:after="160" w:before="160"/>
      </w:pPr>
    </w:p>
    <w:p>
      <w:pPr>
        <w:spacing w:after="120" w:before="240"/>
      </w:pPr>
      <w:r>
        <w:rPr>
          <w:rFonts w:ascii="Arial" w:cs="Arial" w:eastAsia="Arial" w:hAnsi="Arial"/>
          <w:b/>
          <w:bCs/>
          <w:color w:val="1C2535"/>
          <w:sz w:val="26"/>
          <w:szCs w:val="26"/>
        </w:rPr>
        <w:t xml:space="preserve">10.1 Cargadores 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60"/>
        <w:gridCol w:w="1400"/>
        <w:gridCol w:w="1400"/>
      </w:tblGrid>
      <w:tr>
        <w:trPr>
          <w:cantSplit/>
        </w:trPr>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Partner</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3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Sinergia con TrabFlow</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 catálogo</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wallboxes</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Integración catálogo Wallbox en TrabFlow. Installer partner program</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ABB E-Mobility</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 Distribuidor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Referencias ABB Terra en catálogo. Canal B2B instaladores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Schneider Electric</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EVlink Pro series. Integración con EcoStruxure para gestión energía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Circutor</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español</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Cargadores AC/DC. Fuerte red de instaladores en España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Zaptec</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Zaptec Go/Pro. Creciente en residencial y comunidades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Sonepar</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eléctrico</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de distribución de wallboxes + protecciones. Ya en outreach</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Rexel</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eléctrico</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Catálogo VE amplio. Programa de instaladores certificados VE</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Saltoki</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Material VE en expansión. Canal fontanería + climatización + VE</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bl>
    <w:p>
      <w:pPr>
        <w:spacing w:after="120" w:before="120"/>
      </w:pPr>
    </w:p>
    <w:p>
      <w:pPr>
        <w:spacing w:after="120" w:before="240"/>
      </w:pPr>
      <w:r>
        <w:rPr>
          <w:rFonts w:ascii="Arial" w:cs="Arial" w:eastAsia="Arial" w:hAnsi="Arial"/>
          <w:b/>
          <w:bCs/>
          <w:color w:val="1C2535"/>
          <w:sz w:val="26"/>
          <w:szCs w:val="26"/>
        </w:rPr>
        <w:t xml:space="preserve">10.2 Fotovoltaica Industrial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60"/>
        <w:gridCol w:w="1400"/>
        <w:gridCol w:w="1400"/>
      </w:tblGrid>
      <w:tr>
        <w:trPr>
          <w:cantSplit/>
        </w:trPr>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Partner</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3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Sinergia con TrabFlow</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 catálogo</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Huawei FusionSolar</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inversor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Líder mundial. Integración MODBUS/RS485 con monitorización TrabFlow</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Sungrow</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inversor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2º fabricante global. API abierta para monitorización</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SolarEdge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optimizadores</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panel a panel. API mySolarEdge para integración</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Fronius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inversor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Premium europeo. Solar.web API para monitorización</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Enphase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microinversor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Enlighten API. Microinversores en industrial pequeño</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Grupo Noria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FV España</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especializado FV. Canal a instaladores medianos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ElectroStocks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FV</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Amplio catálogo FV. Plataforma B2B para instaladores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Sonepar FV</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eléctrico</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División FV en crecimiento. Canal existente ya en outreach TrabFlow</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11. Potencial SaaS para TrabFlow</w:t>
            </w:r>
          </w:p>
          <w:p>
            <w:r>
              <w:rPr>
                <w:rFonts w:ascii="Arial" w:cs="Arial" w:eastAsia="Arial" w:hAnsi="Arial"/>
                <w:color w:val="D5E8F0"/>
                <w:sz w:val="20"/>
                <w:szCs w:val="20"/>
              </w:rPr>
              <w:t xml:space="preserve">CAC · Ticket · Recurrencia · Adquisición</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800"/>
        <w:gridCol w:w="96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CAC est.</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Ticket plan</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LTV 3a</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Recurrencia</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Adq. canal</w:t>
            </w:r>
          </w:p>
        </w:tc>
        <w:tc>
          <w:tcPr>
            <w:tcW w:type="dxa" w:w="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Acuerdo sector.</w:t>
            </w:r>
          </w:p>
        </w:tc>
        <w:tc>
          <w:tcPr>
            <w:tcW w:type="dxa" w:w="9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Cargadores 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€80–€150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€49–€89/mes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€1.764–€3.204</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8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Alta (FENIE/AEDIVE)</w:t>
            </w:r>
          </w:p>
        </w:tc>
        <w:tc>
          <w:tcPr>
            <w:tcW w:type="dxa" w:w="9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9/10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Fotovoltaica Industrial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€120–€220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€89–€179/mes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€3.204–€6.444</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8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Alta (UNEF)</w:t>
            </w:r>
          </w:p>
        </w:tc>
        <w:tc>
          <w:tcPr>
            <w:tcW w:type="dxa" w:w="9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8/10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Electricidad (ref.)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€60–€100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€49/mes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€1.764</w:t>
            </w:r>
          </w:p>
        </w:tc>
        <w:tc>
          <w:tcPr>
            <w:tcW w:type="dxa" w:w="12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8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Alta</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Fontanería (ref.)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€60–€100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€49/mes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€1.764</w:t>
            </w:r>
          </w:p>
        </w:tc>
        <w:tc>
          <w:tcPr>
            <w:tcW w:type="dxa" w:w="12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8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r>
    </w:tbl>
    <w:p>
      <w:pPr>
        <w:spacing w:after="120" w:before="120"/>
      </w:pPr>
    </w:p>
    <w:p>
      <w:pPr>
        <w:spacing w:after="120" w:before="240"/>
      </w:pPr>
      <w:r>
        <w:rPr>
          <w:rFonts w:ascii="Arial" w:cs="Arial" w:eastAsia="Arial" w:hAnsi="Arial"/>
          <w:b/>
          <w:bCs/>
          <w:color w:val="1C2535"/>
          <w:sz w:val="26"/>
          <w:szCs w:val="26"/>
        </w:rPr>
        <w:t xml:space="preserve">Palancas de adquisición para cada vertical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Palanca</w:t>
            </w:r>
          </w:p>
        </w:tc>
        <w:tc>
          <w:tcPr>
            <w:tcW w:type="dxa" w:w="3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Cargadores VE</w:t>
            </w:r>
          </w:p>
        </w:tc>
        <w:tc>
          <w:tcPr>
            <w:tcW w:type="dxa" w:w="3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Fotovoltaica Industrial</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Acuerdos sectoriales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FENIE, APIEM, AEDIVE → 6 meses gratis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 ANES → prueba gratuita O&amp;M</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Acuerdos con fabricantes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Circutor → referencia a instaladores certificados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Huawei, Sungrow → canal instaladores especializados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Acuerdos con distribuidores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Sonepar, Rexel → bundle con compra de material VE</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Grupo Noria, ElectroStocks → herramienta de gestión para compradores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Marketing de contenidos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en lenguaje llano, calculadora MOVES III</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RD 244/2019, calculadora retorno O&amp;M</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Driver regulatorio</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VeriFactu 2027 + AFIR 2025 como urgencia</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VeriFactu 2027 + RD 244/2019 tramitación compleja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12. Roadmap de Implementación</w:t>
            </w:r>
          </w:p>
          <w:p>
            <w:r>
              <w:rPr>
                <w:rFonts w:ascii="Arial" w:cs="Arial" w:eastAsia="Arial" w:hAnsi="Arial"/>
                <w:color w:val="D5E8F0"/>
                <w:sz w:val="20"/>
                <w:szCs w:val="20"/>
              </w:rPr>
              <w:t xml:space="preserve">5 fases por vertical</w:t>
            </w:r>
          </w:p>
        </w:tc>
      </w:tr>
    </w:tbl>
    <w:p>
      <w:pPr>
        <w:spacing w:after="160" w:before="160"/>
      </w:pPr>
    </w:p>
    <w:p>
      <w:pPr>
        <w:spacing w:after="120" w:before="240"/>
      </w:pPr>
      <w:r>
        <w:rPr>
          <w:rFonts w:ascii="Arial" w:cs="Arial" w:eastAsia="Arial" w:hAnsi="Arial"/>
          <w:b/>
          <w:bCs/>
          <w:color w:val="1C2535"/>
          <w:sz w:val="26"/>
          <w:szCs w:val="26"/>
        </w:rPr>
        <w:t xml:space="preserve">12.1 Cargadores VE — Roadmap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2160"/>
        <w:gridCol w:w="1500"/>
      </w:tblGrid>
      <w:tr>
        <w:trPr>
          <w:cantSplit/>
        </w:trPr>
        <w:tc>
          <w:tcPr>
            <w:tcW w:type="dxa" w:w="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Fase</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Nombre</w:t>
            </w:r>
          </w:p>
        </w:tc>
        <w:tc>
          <w:tcPr>
            <w:tcW w:type="dxa" w:w="3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Entregable</w:t>
            </w:r>
          </w:p>
        </w:tc>
        <w:tc>
          <w:tcPr>
            <w:tcW w:type="dxa" w:w="15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F1</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MVP VE</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Activar 'Electricidad VE' como sub-oficio en TrabFlow. Adaptar formularios ITC-BT-52. Primeras 10 actuaciones Base Maestra 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VE básico desde voz</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 (8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F2</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Maestra VE</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Implementar las 50 actuaciones VE en Base Maestra. Materiales, reglas de cálculo, palabras clave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 actuaciones productivas, presupuestos precisos</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 (6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F3</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VE</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de contratos de mantenimiento VE con SLA, niveles de servicio, facturación recurrente, preventivos programados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 O&amp;M completo con avisos automáticos</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 (4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F4</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RAG VE</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Indexar ITC-BT-52, REBT, MOVES III, AFIR, Ley Propiedad Horizontal en asistente RAG. Preguntas frecuentes instalador 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Asistente que responde dudas ITC-BT-52 desde la obra</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 (4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F5</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Catálogo e Integraciones</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Integrar catálogo Wallbox, ABB, Circutor. Acuerdos con distribuidores. Partner program AEDIVE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de adquisición VE activo</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Q1-Q2 2027</w:t>
            </w:r>
          </w:p>
        </w:tc>
      </w:tr>
    </w:tbl>
    <w:p>
      <w:pPr>
        <w:spacing w:after="120" w:before="120"/>
      </w:pPr>
    </w:p>
    <w:p>
      <w:pPr>
        <w:spacing w:after="120" w:before="240"/>
      </w:pPr>
      <w:r>
        <w:rPr>
          <w:rFonts w:ascii="Arial" w:cs="Arial" w:eastAsia="Arial" w:hAnsi="Arial"/>
          <w:b/>
          <w:bCs/>
          <w:color w:val="1C2535"/>
          <w:sz w:val="26"/>
          <w:szCs w:val="26"/>
        </w:rPr>
        <w:t xml:space="preserve">12.2 Fotovoltaica Industrial — Roadmap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2160"/>
        <w:gridCol w:w="1500"/>
      </w:tblGrid>
      <w:tr>
        <w:trPr>
          <w:cantSplit/>
        </w:trPr>
        <w:tc>
          <w:tcPr>
            <w:tcW w:type="dxa" w:w="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Fase</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Nombre</w:t>
            </w:r>
          </w:p>
        </w:tc>
        <w:tc>
          <w:tcPr>
            <w:tcW w:type="dxa" w:w="3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Entregable</w:t>
            </w:r>
          </w:p>
        </w:tc>
        <w:tc>
          <w:tcPr>
            <w:tcW w:type="dxa" w:w="15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F1</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MVP FV Industrial</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Activar 'Fotovoltaica Industrial' como sub-oficio. Primeras 20 actuaciones (instalación, mantenimiento básico, incidencias)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FV básico y parte de trabajo</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 (10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F2</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Maestra FV</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actuaciones FV completas. Termografía, monitorización, limpiezas, legalizaciones, incidencias por tipo de inversor</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actuaciones productivas en Base Maestra</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 (8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F3</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FV</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de mantenimiento FV con múltiples niveles (Vigilancia/Preventivo/O&amp;M/Full Service), SLA, informes automáticos, facturación recurrente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profesionales con dashboard cliente</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 (5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F4</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RAG FV</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Indexar RD 244/2019, RD 1183/2020, IEC 62446, IEC 61724, guías IDAE. Asistente que responde dudas de tramitación autoconsumo</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Asistente RAG FV completo con normativa indexada</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2027 (4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F5</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Catálogo e Integraciones</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APIs inversores (Huawei, Sungrow, SolarEdge). Catálogo materiales FV. Acuerdos UNEF, distribuidores especializados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FV activo, integración monitorización básica</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Q3-Q4 2027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13. Comparativa Estratégica</w:t>
            </w:r>
          </w:p>
          <w:p>
            <w:r>
              <w:rPr>
                <w:rFonts w:ascii="Arial" w:cs="Arial" w:eastAsia="Arial" w:hAnsi="Arial"/>
                <w:color w:val="D5E8F0"/>
                <w:sz w:val="20"/>
                <w:szCs w:val="20"/>
              </w:rPr>
              <w:t xml:space="preserve">5 verticales · 7 variables</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00"/>
        <w:gridCol w:w="960"/>
      </w:tblGrid>
      <w:tr>
        <w:trPr>
          <w:cantSplit/>
        </w:trPr>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Mercado ESP</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Ticket medio</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Recurrencia</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Complejidad BM</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Pot. SaaS</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Canal asoc.</w:t>
            </w:r>
          </w:p>
        </w:tc>
        <w:tc>
          <w:tcPr>
            <w:tcW w:type="dxa" w:w="9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Total</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Electricidad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23/30</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Fontanería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21/30</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Climatización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23/30</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Cargadores 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23/30</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Fotovoltaica Industrial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27/30</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La fotovoltaica industrial obtiene la puntuación total más alta (27/30) por su excepcional potencial de ticket y recurrencia vía contratos O&amp;M. Los cargadores VE empatan con electricidad y climatización (23/30) pero con mayor velocidad de crecimiento y menor madurez de la competencia en herramientas digitales.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14. Recomendación Final</w:t>
            </w:r>
          </w:p>
          <w:p>
            <w:r>
              <w:rPr>
                <w:rFonts w:ascii="Arial" w:cs="Arial" w:eastAsia="Arial" w:hAnsi="Arial"/>
                <w:color w:val="D5E8F0"/>
                <w:sz w:val="20"/>
                <w:szCs w:val="20"/>
              </w:rPr>
              <w:t xml:space="preserve">Decisiones estratégicas · ROI · Priorización</w:t>
            </w:r>
          </w:p>
        </w:tc>
      </w:tr>
    </w:tbl>
    <w:p>
      <w:pPr>
        <w:spacing w:after="160" w:before="160"/>
      </w:pPr>
    </w:p>
    <w:p>
      <w:pPr>
        <w:spacing w:after="120" w:before="240"/>
      </w:pPr>
      <w:r>
        <w:rPr>
          <w:rFonts w:ascii="Arial" w:cs="Arial" w:eastAsia="Arial" w:hAnsi="Arial"/>
          <w:b/>
          <w:bCs/>
          <w:color w:val="1C2535"/>
          <w:sz w:val="26"/>
          <w:szCs w:val="26"/>
        </w:rPr>
        <w:t xml:space="preserve">14.1 ¿Debe TrabFlow entrar en estos verticales?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Pregunta</w:t>
            </w:r>
          </w:p>
        </w:tc>
        <w:tc>
          <w:tcPr>
            <w:tcW w:type="dxa" w:w="3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Cargadores VE</w:t>
            </w:r>
          </w:p>
        </w:tc>
        <w:tc>
          <w:tcPr>
            <w:tcW w:type="dxa" w:w="3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Fotovoltaica Industrial</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¿Debe TrabFlow entrar?</w:t>
            </w:r>
          </w:p>
        </w:tc>
        <w:tc>
          <w:tcPr>
            <w:tcW w:type="dxa" w:w="308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Sí, con alta prioridad</w:t>
            </w:r>
          </w:p>
        </w:tc>
        <w:tc>
          <w:tcPr>
            <w:tcW w:type="dxa" w:w="308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Sí, con alta prioridad</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¿Cuándo entrar?</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 (MVP en 8-10 semanas)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 (tras consolidar VE)</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¿Cuánto esfuerzo requiere?</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Medio. 50 actuaciones + normativa ITC-BT-52. Reutiliza electricidad</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Alto. 100 actuaciones + normativa FV + contratos O&amp;M complejos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¿Qué ingresos potenciales?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€120.000–€200.000 ARR en Año 3 (hipótesis conservadora)</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€150.000–€280.000 ARR en Año 3 (hipótesis conservadora)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¿Qué asociaciones primero?</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FENIE + APIEM (ya activas) + AEDIVE (Q3 2026)</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 + ANES (Q1 2027)</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ROI esperado para TrabFlow</w:t>
            </w:r>
          </w:p>
        </w:tc>
        <w:tc>
          <w:tcPr>
            <w:tcW w:type="dxa" w:w="308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Alto. CAC bajo por canal asociaciones. LTV alto por O&amp;M recurrente</w:t>
            </w:r>
          </w:p>
        </w:tc>
        <w:tc>
          <w:tcPr>
            <w:tcW w:type="dxa" w:w="308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Muy alto. Ticket más elevado, O&amp;M plurianual. Canal UNEF clave</w:t>
            </w:r>
          </w:p>
        </w:tc>
      </w:tr>
    </w:tbl>
    <w:p>
      <w:pPr>
        <w:spacing w:after="120" w:before="120"/>
      </w:pPr>
    </w:p>
    <w:p>
      <w:pPr>
        <w:spacing w:after="120" w:before="240"/>
      </w:pPr>
      <w:r>
        <w:rPr>
          <w:rFonts w:ascii="Arial" w:cs="Arial" w:eastAsia="Arial" w:hAnsi="Arial"/>
          <w:b/>
          <w:bCs/>
          <w:color w:val="1C2535"/>
          <w:sz w:val="26"/>
          <w:szCs w:val="26"/>
        </w:rPr>
        <w:t xml:space="preserve">14.2 Priorización recomendada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2160"/>
        <w:gridCol w:w="2600"/>
      </w:tblGrid>
      <w:tr>
        <w:trPr>
          <w:cantSplit/>
        </w:trPr>
        <w:tc>
          <w:tcPr>
            <w:tcW w:type="dxa" w:w="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Recursos TrabFlow</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Impacto esperado</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Activar VE en Base Maestra (50 actuaciones)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Equipo de contenido + IA testing</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Diferenciación inmediata frente a competidores genéricos</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 con AEDIVE (canal VE)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Comercial (Fernando)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Acceso directo a 300+ instaladores VE</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ITC-BT-52 en RAG</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Técnico (indexación)</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Propuesta de valor diferencial para el instalador VE en obra</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VE en plataforma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Producto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Ingresos recurrentes via O&amp;M desde primer contrato</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MVP Fotovoltaica Industrial</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Equipo contenido + producto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Primer vertical de ticket alto + O&amp;M plurianual</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 con UNEF</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Comercial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a 500+ empresas instaladoras FV</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actuaciones FV en Base Maestra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Equipo contenido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Maestra FV más completa del mercado</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FV + dashboard cliente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Producto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Producto premium para O&amp;M providers industriales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Conclusión del documento: TrabFlow tiene una ventana de oportunidad única en ambos verticales. La competencia directa (ERP generalistas, software de obra, gestores de mantenimiento industriales) no tiene la filosofía 'IA no inventa, detecta y ejecuta plantilla técnica' ni la Base Maestra especializada. El instalador VE y el O&amp;M provider de fotovoltaica son exactamente el perfil de cliente que TrabFlow está construyendo. La recomendación es entrar en ambos, en el orden propuesto, con la Base Maestra como palanca de diferenciación principal.</w:t>
            </w:r>
          </w:p>
        </w:tc>
      </w:tr>
    </w:tbl>
    <w:p>
      <w:pPr>
        <w:spacing w:after="120" w:before="120"/>
      </w:pPr>
    </w:p>
    <w:p>
      <w:pPr>
        <w:spacing w:after="120" w:before="240"/>
      </w:pPr>
      <w:r>
        <w:rPr>
          <w:rFonts w:ascii="Arial" w:cs="Arial" w:eastAsia="Arial" w:hAnsi="Arial"/>
          <w:b/>
          <w:bCs/>
          <w:color w:val="1C2535"/>
          <w:sz w:val="26"/>
          <w:szCs w:val="26"/>
        </w:rPr>
        <w:t xml:space="preserve">14.3 Métricas de éxito a 18 meses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KPI</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Objetivo 6 meses</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Objetivo 12 meses</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Objetivo 18 meses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Usuarios activos VE</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500</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Usuarios activos FV Industrial</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ARR combinado VE + FV</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€60.000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€180.000</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activos en plataforma</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300</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Acuerdos sectoriales cerrados</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 + UNEF</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 + UNEF + ANES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NPS usuarios VE y FV</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&gt;40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&gt;50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&gt;60</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pPr>
              <w:jc w:val="center"/>
            </w:pPr>
            <w:r>
              <w:rPr>
                <w:rFonts w:ascii="Arial" w:cs="Arial" w:eastAsia="Arial" w:hAnsi="Arial"/>
                <w:color w:val="A0B8D0"/>
                <w:sz w:val="18"/>
                <w:szCs w:val="18"/>
              </w:rPr>
              <w:t xml:space="preserve">TrabFlow Technologies, S.L.  ·  Documento interno estratégico  ·  Junio 2026</w:t>
            </w:r>
          </w:p>
          <w:p>
            <w:pPr>
              <w:jc w:val="center"/>
            </w:pPr>
            <w:r>
              <w:rPr>
                <w:rFonts w:ascii="Arial" w:cs="Arial" w:eastAsia="Arial" w:hAnsi="Arial"/>
                <w:color w:val="D5E8F0"/>
                <w:sz w:val="17"/>
                <w:szCs w:val="17"/>
              </w:rPr>
              <w:t xml:space="preserve">Confidencial · No distribuir sin autorización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205a14d963661731d2482ab351fc4206b08ae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2026-06-25T05:09:16.615Z</dcterms:created>
  <dcterms:modified xsi:type="dcterms:W3CDTF">2026-06-25T05:09:16.615Z</dcterms:modified>
</cp:coreProperties>
</file>

<file path=docProps/custom.xml><?xml version="1.0" encoding="utf-8"?>
<Properties xmlns="http://schemas.openxmlformats.org/officeDocument/2006/custom-properties" xmlns:vt="http://schemas.openxmlformats.org/officeDocument/2006/docPropsVTypes"/>
</file>