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rPr>
          <w:b/>
          <w:bCs/>
          <w:color w:val="C8922A"/>
          <w:sz w:val="22"/>
          <w:szCs w:val="22"/>
        </w:rPr>
        <w:t xml:space="preserve">ESTRATEGIA DE PROPIEDAD INTELECTUAL</w:t>
      </w:r>
    </w:p>
    <w:p>
      <w:pPr>
        <w:spacing w:after="60" w:before="100"/>
        <w:jc w:val="center"/>
      </w:pPr>
      <w:r>
        <w:rPr>
          <w:b/>
          <w:bCs/>
          <w:color w:val="C8922A"/>
          <w:sz w:val="22"/>
          <w:szCs w:val="22"/>
        </w:rPr>
        <w:t xml:space="preserve">Y VENTAJA COMPETITIVA</w:t>
      </w:r>
    </w:p>
    <w:p>
      <w:pPr>
        <w:spacing w:after="60" w:before="140"/>
        <w:jc w:val="center"/>
      </w:pPr>
      <w:r>
        <w:rPr>
          <w:b/>
          <w:bCs/>
          <w:color w:val="1C2535"/>
          <w:sz w:val="52"/>
          <w:szCs w:val="52"/>
        </w:rPr>
        <w:t xml:space="preserve">TrabFlow</w:t>
      </w:r>
    </w:p>
    <w:p>
      <w:pPr>
        <w:spacing w:after="260"/>
        <w:jc w:val="center"/>
      </w:pPr>
      <w:r>
        <w:rPr>
          <w:i/>
          <w:iCs/>
          <w:color w:val="444444"/>
          <w:sz w:val="20"/>
          <w:szCs w:val="20"/>
        </w:rPr>
        <w:t xml:space="preserve">Qué conocimiento propio genera el proyecto, cómo se protege y por qué constituye una ventaja competitiva defendible</w:t>
      </w:r>
    </w:p>
    <w:p>
      <w:pPr>
        <w:spacing w:after="20"/>
        <w:jc w:val="center"/>
      </w:pPr>
      <w:r>
        <w:rPr>
          <w:color w:val="555555"/>
          <w:sz w:val="16"/>
          <w:szCs w:val="16"/>
        </w:rPr>
        <w:t xml:space="preserve">Documento complementario a la Memoria Técnica de I+D+i para SODERCAN/CDTI/ENISA</w:t>
      </w:r>
    </w:p>
    <w:p>
      <w:pPr>
        <w:spacing w:before="700"/>
      </w:pP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63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Campo</w:t>
            </w:r>
          </w:p>
        </w:tc>
        <w:tc>
          <w:tcPr>
            <w:tcW w:type="dxa" w:w="6300"/>
            <w:shd w:fill="1C2535" w:val="clear"/>
            <w:tcMar>
              <w:top w:type="dxa" w:w="80"/>
              <w:left w:type="dxa" w:w="100"/>
              <w:bottom w:type="dxa" w:w="80"/>
              <w:right w:type="dxa" w:w="100"/>
            </w:tcMar>
            <w:vAlign w:val="center"/>
          </w:tcPr>
          <w:p>
            <w:pPr>
              <w:jc w:val="left"/>
            </w:pPr>
            <w:r>
              <w:rPr>
                <w:b/>
                <w:bCs/>
                <w:color w:val="FFFFFF"/>
                <w:sz w:val="18"/>
                <w:szCs w:val="18"/>
              </w:rPr>
              <w:t xml:space="preserve">Valor</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Proyecto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TradeFlow / TrabFlow</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Promotor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TrabFlow Technologies, S.L. (en constitución)</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Domicilio social previsto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 Varas, 69 · 39699 Castillo Pedroso, Corvera de Toranzo, Cantabria</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CEO y Administrador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Fernando Carbonell Cabo</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Contacto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contacto@trabflow.com · 672 336 572 · trabflow.com</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Versión del documento</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v1.0</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Fecha</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Julio 2026</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Clasificación</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Confidencial</w:t>
            </w:r>
          </w:p>
        </w:tc>
      </w:tr>
    </w:tbl>
    <w:p>
      <w:pPr>
        <w:spacing w:before="500"/>
        <w:jc w:val="center"/>
      </w:pPr>
      <w:r>
        <w:rPr>
          <w:i/>
          <w:iCs/>
          <w:color w:val="999999"/>
          <w:sz w:val="15"/>
          <w:szCs w:val="15"/>
        </w:rPr>
        <w:t xml:space="preserve">Documento confidencial. Distribución restringida a evaluadores institucionales y personal autorizado.</w:t>
      </w:r>
    </w:p>
    <w:p>
      <w:pPr>
        <w:pageBreakBefore/>
      </w:pPr>
      <w:r>
        <w:rPr>
          <w:b/>
          <w:bCs/>
          <w:color w:val="1C2535"/>
          <w:sz w:val="30"/>
          <w:szCs w:val="30"/>
        </w:rPr>
        <w:t xml:space="preserve">ÍNDICE</w:t>
      </w:r>
    </w:p>
    <w:p>
      <w:pPr>
        <w:spacing w:after="200"/>
      </w:pP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after="240" w:before="200"/>
      </w:pPr>
      <w:r>
        <w:rPr>
          <w:b/>
          <w:bCs/>
          <w:color w:val="1C2535"/>
          <w:sz w:val="30"/>
          <w:szCs w:val="30"/>
        </w:rPr>
        <w:t xml:space="preserve">1. Introducción y objeto del documento</w:t>
      </w:r>
    </w:p>
    <w:p>
      <w:pPr>
        <w:spacing w:after="150" w:line="270"/>
        <w:jc w:val="both"/>
      </w:pPr>
      <w:r>
        <w:rPr>
          <w:color w:val="222222"/>
          <w:sz w:val="20"/>
          <w:szCs w:val="20"/>
        </w:rPr>
        <w:t xml:space="preserve">Este documento complementa la Memoria Técnica de I+D+i de TradeFlow/TrabFlow, centrándose específicamente en un aspecto que los evaluadores de convocatorias de innovación (SODERCAN, CDTI, ENISA) valoran de forma diferenciada: qué conocimiento propio, no replicable por un competidor en un plazo corto, genera el proyecto, y qué mecanismos legales y organizativos existen o deben implementarse para protegerlo.</w:t>
      </w:r>
    </w:p>
    <w:p>
      <w:pPr>
        <w:spacing w:after="150" w:line="270"/>
        <w:jc w:val="both"/>
      </w:pPr>
      <w:r>
        <w:rPr>
          <w:color w:val="222222"/>
          <w:sz w:val="20"/>
          <w:szCs w:val="20"/>
        </w:rPr>
        <w:t xml:space="preserve">El documento distingue cuatro categorías de activo intangible: la propiedad industrial registrada (marca), la propiedad intelectual de software (código fuente, derechos de autor), el secreto empresarial (la Base Maestra y el corpus de datos operativos), y la ventaja competitiva no jurídica pero económicamente defendible (efecto de red, coste de cambio, posición de marca sectorial). Cada categoría exige un tratamiento y un mecanismo de protección distintos, y confundirlas —tratar como "patentable" lo que en realidad es secreto empresarial, o como protegido lo que en realidad es de terceros— debilita la credibilidad del proyecto ante un evaluador técnico.</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Este documento es de nueva elaboración completa, construido a partir de hechos ya documentados en otros materiales del proyecto (marca OEPM M4383580, denominación social reservada, especificación de la Base Maestra y del sistema de fallback, arquitectura del Centro de Validación de IA, y el análisis de moat competitivo ya presente en el material comercial de TrabFlow). No se declara la protección de ningún activo que no conste ya documentado, y se señalan explícitamente, mediante recuadros de advertencia, las decisiones de protección aún no tomadas.</w:t>
            </w:r>
          </w:p>
        </w:tc>
      </w:tr>
    </w:tbl>
    <w:p>
      <w:pPr>
        <w:pStyle w:val="Heading1"/>
        <w:pageBreakBefore/>
        <w:spacing w:after="240" w:before="200"/>
      </w:pPr>
      <w:r>
        <w:rPr>
          <w:b/>
          <w:bCs/>
          <w:color w:val="1C2535"/>
          <w:sz w:val="30"/>
          <w:szCs w:val="30"/>
        </w:rPr>
        <w:t xml:space="preserve">2. Resumen ejecutivo</w:t>
      </w:r>
    </w:p>
    <w:p>
      <w:pPr>
        <w:spacing w:after="150" w:line="270"/>
        <w:jc w:val="both"/>
      </w:pPr>
      <w:r>
        <w:rPr>
          <w:color w:val="222222"/>
          <w:sz w:val="20"/>
          <w:szCs w:val="20"/>
        </w:rPr>
        <w:t xml:space="preserve">TrabFlow genera tres categorías de activo intangible con distinto grado de protección actual. En primer lugar, activos de propiedad industrial ya constituidos o en trámite: la denominación social reservada en el Registro Mercantil Central y la marca «TrabFlow» solicitada ante la OEPM (expediente M4383580, clases 09 y 10). En segundo lugar, activos de propiedad intelectual de software (código fuente de la plataforma, arquitectura de datos) cuya titularidad debe asignarse formalmente a la sociedad, política ya definida internamente pero pendiente de instrumentación contractual completa. En tercer lugar, y de mayor valor estratégico a juicio de este análisis, un activo de secreto empresarial —la Base Maestra de acciones normalizadas por oficio y el corpus de datos operativos generado por el uso— que no está hoy protegido mediante ningún mecanismo formal de confidencialidad más allá del control de acceso técnico ya implementado en la plataforma.</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4200"/>
        <w:gridCol w:w="5100"/>
      </w:tblGrid>
      <w:tr>
        <w:trPr>
          <w:cantSplit/>
          <w:tblHeader/>
        </w:trPr>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Categoría de activo</w:t>
            </w:r>
          </w:p>
        </w:tc>
        <w:tc>
          <w:tcPr>
            <w:tcW w:type="dxa" w:w="5100"/>
            <w:shd w:fill="1C2535" w:val="clear"/>
            <w:tcMar>
              <w:top w:type="dxa" w:w="80"/>
              <w:left w:type="dxa" w:w="100"/>
              <w:bottom w:type="dxa" w:w="80"/>
              <w:right w:type="dxa" w:w="100"/>
            </w:tcMar>
            <w:vAlign w:val="center"/>
          </w:tcPr>
          <w:p>
            <w:pPr>
              <w:jc w:val="left"/>
            </w:pPr>
            <w:r>
              <w:rPr>
                <w:b/>
                <w:bCs/>
                <w:color w:val="FFFFFF"/>
                <w:sz w:val="18"/>
                <w:szCs w:val="18"/>
              </w:rPr>
              <w:t xml:space="preserve">Estado actual de protección</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Marca «TrabFlow»</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Solicitud presentada ante la OEPM (M4383580, clases 09 y 10) — en trámite</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Denominación social</w:t>
            </w:r>
          </w:p>
        </w:tc>
        <w:tc>
          <w:tcPr>
            <w:tcW w:type="dxa" w:w="5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Reservada en el Registro Mercantil Central (expediente 26103817)</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Código fuente de la plataforma</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Titularidad de facto del fundador; pendiente de cesión formal y documentada a la sociedad tras su constitución</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Base Maestra (catálogo normalizado de oficio)</w:t>
            </w:r>
          </w:p>
        </w:tc>
        <w:tc>
          <w:tcPr>
            <w:tcW w:type="dxa" w:w="5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Protegida únicamente por control de acceso técnico; sin acuerdo de confidencialidad formalizado ni política de secreto empresarial documentada</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Corpus de datos operativos (histórico de presupuestos, precios por zona)</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Generado automáticamente por el uso de la plataforma; sin política de retención, anonimización o explotación como activo de datos formalizada</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Metodología de benchmarking y arquitectura del Centro de Validación de IA</w:t>
            </w:r>
          </w:p>
        </w:tc>
        <w:tc>
          <w:tcPr>
            <w:tcW w:type="dxa" w:w="5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Know-how no divulgado públicamente; candidato a evaluación de protección mediante modelo de utilidad o mantenimiento como secreto empresarial</w:t>
            </w:r>
          </w:p>
        </w:tc>
      </w:tr>
    </w:tbl>
    <w:p>
      <w:pPr>
        <w:pStyle w:val="Heading1"/>
        <w:pageBreakBefore/>
        <w:spacing w:after="240" w:before="200"/>
      </w:pPr>
      <w:r>
        <w:rPr>
          <w:b/>
          <w:bCs/>
          <w:color w:val="1C2535"/>
          <w:sz w:val="30"/>
          <w:szCs w:val="30"/>
        </w:rPr>
        <w:t xml:space="preserve">3. Marco legal de la propiedad intelectual e industrial aplicable</w:t>
      </w:r>
    </w:p>
    <w:p>
      <w:pPr>
        <w:spacing w:after="150" w:line="270"/>
        <w:jc w:val="both"/>
      </w:pPr>
      <w:r>
        <w:rPr>
          <w:color w:val="222222"/>
          <w:sz w:val="20"/>
          <w:szCs w:val="20"/>
        </w:rPr>
        <w:t xml:space="preserve">El ordenamiento jurídico español distingue varias figuras de protección de activos intangibles, cada una con requisitos, alcance y duración distintos. Esta sección las define brevemente para contextualizar la clasificación de activos de TrabFlow que sigue en los apartados 4 a 7.</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800"/>
        <w:gridCol w:w="29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Figura</w:t>
            </w:r>
          </w:p>
        </w:tc>
        <w:tc>
          <w:tcPr>
            <w:tcW w:type="dxa" w:w="3800"/>
            <w:shd w:fill="1C2535" w:val="clear"/>
            <w:tcMar>
              <w:top w:type="dxa" w:w="80"/>
              <w:left w:type="dxa" w:w="100"/>
              <w:bottom w:type="dxa" w:w="80"/>
              <w:right w:type="dxa" w:w="100"/>
            </w:tcMar>
            <w:vAlign w:val="center"/>
          </w:tcPr>
          <w:p>
            <w:pPr>
              <w:jc w:val="left"/>
            </w:pPr>
            <w:r>
              <w:rPr>
                <w:b/>
                <w:bCs/>
                <w:color w:val="FFFFFF"/>
                <w:sz w:val="18"/>
                <w:szCs w:val="18"/>
              </w:rPr>
              <w:t xml:space="preserve">Qué protege</w:t>
            </w:r>
          </w:p>
        </w:tc>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Aplicable a TrabFlow</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Marca (Ley 17/2001)</w:t>
            </w:r>
          </w:p>
        </w:tc>
        <w:tc>
          <w:tcPr>
            <w:tcW w:type="dxa" w:w="3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Signos distintivos (nombre, logotipo) que identifican productos o servicios en el mercado</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Sí — marca «TrabFlow» M4383580</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Propiedad intelectual de software (Texto Refundido de la Ley de Propiedad Intelectual, art. 95 y ss.)</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código fuente como obra original, de forma automática desde su creación, sin necesidad de registro</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Sí — código de la plataforma; recomendable registro en el Registro de la Propiedad Intelectual y cesión expresa a la sociedad</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Secreto empresarial (Ley 1/2019, de Secretos Empresariales)</w:t>
            </w:r>
          </w:p>
        </w:tc>
        <w:tc>
          <w:tcPr>
            <w:tcW w:type="dxa" w:w="3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Información no divulgada, con valor comercial por su carácter secreto, sujeta a medidas razonables de protección por su titular</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Aplicable — Base Maestra, corpus de datos, prompts y metodología de benchmarking, si se adoptan medidas de confidencialidad</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Patente / modelo de utilidad (Ley 24/2015, de Patentes)</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Invenciones técnicas nuevas, con actividad inventiva y aplicación industrial</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Potencialmente aplicable a aspectos del sistema de fallback en cinco niveles o de la metodología de benchmarking causal; pendiente de análisis de patentabilidad y de búsqueda de antecedentes</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ANÁLISIS FORMAL DE PATENTABILIDAD</w:t>
            </w:r>
          </w:p>
          <w:p>
            <w:pPr>
              <w:jc w:val="both"/>
            </w:pPr>
            <w:r>
              <w:rPr>
                <w:i/>
                <w:iCs/>
                <w:color w:val="3A3A3A"/>
                <w:sz w:val="18"/>
                <w:szCs w:val="18"/>
              </w:rPr>
              <w:t xml:space="preserve">No consta en la documentación del proyecto un análisis de patentabilidad realizado por un agente de la propiedad industrial, ni una búsqueda de antecedentes (prior art search) sobre el sistema de fallback en cinco niveles, el mecanismo de aprendizaje continuo o la metodología de benchmarking causal. Antes de afirmar ante un evaluador que estos elementos son patentables, debe encargarse dicho análisis a un profesional colegiado.</w:t>
            </w:r>
          </w:p>
        </w:tc>
      </w:tr>
    </w:tbl>
    <w:p>
      <w:pPr>
        <w:pStyle w:val="Heading1"/>
        <w:pageBreakBefore/>
        <w:spacing w:after="240" w:before="200"/>
      </w:pPr>
      <w:r>
        <w:rPr>
          <w:b/>
          <w:bCs/>
          <w:color w:val="1C2535"/>
          <w:sz w:val="30"/>
          <w:szCs w:val="30"/>
        </w:rPr>
        <w:t xml:space="preserve">4. Activos de propiedad industrial ya constituidos</w:t>
      </w:r>
    </w:p>
    <w:p>
      <w:pPr>
        <w:pStyle w:val="Heading2"/>
        <w:spacing w:after="150" w:before="300"/>
      </w:pPr>
      <w:r>
        <w:rPr>
          <w:b/>
          <w:bCs/>
          <w:color w:val="1A5A96"/>
          <w:sz w:val="24"/>
          <w:szCs w:val="24"/>
        </w:rPr>
        <w:t xml:space="preserve">4.1. Marca «TrabFlow»</w:t>
      </w:r>
    </w:p>
    <w:p>
      <w:pPr>
        <w:spacing w:after="150" w:line="270"/>
        <w:jc w:val="both"/>
      </w:pPr>
      <w:r>
        <w:rPr>
          <w:color w:val="222222"/>
          <w:sz w:val="20"/>
          <w:szCs w:val="20"/>
        </w:rPr>
        <w:t xml:space="preserve">La marca «TrabFlow» dispone de solicitud de registro presentada ante la Oficina Española de Patentes y Marcas bajo el expediente M4383580, en las clases 09 (software y aplicaciones) y 10. Este registro protege el signo distintivo frente al uso por terceros en el mercado español dentro de las clases solicitadas, una vez concedido. Se recomienda hacer seguimiento del expediente hasta su resolución y valorar la extensión de la protección a otras clases relevantes (por ejemplo, servicios de gestión empresarial, clase 35) o a otros territorios si la expansión a Portugal o Latinoamérica avanza según el roadmap descrito en la Memoria Técnica de I+D+i.</w:t>
      </w:r>
    </w:p>
    <w:p>
      <w:pPr>
        <w:pStyle w:val="Heading2"/>
        <w:spacing w:after="150" w:before="300"/>
      </w:pPr>
      <w:r>
        <w:rPr>
          <w:b/>
          <w:bCs/>
          <w:color w:val="1A5A96"/>
          <w:sz w:val="24"/>
          <w:szCs w:val="24"/>
        </w:rPr>
        <w:t xml:space="preserve">4.2. Denominación social</w:t>
      </w:r>
    </w:p>
    <w:p>
      <w:pPr>
        <w:spacing w:after="150" w:line="270"/>
        <w:jc w:val="both"/>
      </w:pPr>
      <w:r>
        <w:rPr>
          <w:color w:val="222222"/>
          <w:sz w:val="20"/>
          <w:szCs w:val="20"/>
        </w:rPr>
        <w:t xml:space="preserve">La denominación «TRABFLOW TECHNOLOGIES, SOCIEDAD LIMITADA» se encuentra reservada mediante certificación nº 26103817 del Registro Mercantil Central, con vigencia de seis meses a efectos de otorgamiento de escritura desde su expedición. Esta reserva protege el nombre social frente a su uso por terceras sociedades durante el periodo de vigencia, pero no equivale a protección de marca comercial ni se extiende más allá de la constitución efectiva de la sociedad.</w:t>
      </w:r>
    </w:p>
    <w:p>
      <w:pPr>
        <w:pStyle w:val="Heading1"/>
        <w:pageBreakBefore/>
        <w:spacing w:after="240" w:before="200"/>
      </w:pPr>
      <w:r>
        <w:rPr>
          <w:b/>
          <w:bCs/>
          <w:color w:val="1C2535"/>
          <w:sz w:val="30"/>
          <w:szCs w:val="30"/>
        </w:rPr>
        <w:t xml:space="preserve">5. Propiedad intelectual de software</w:t>
      </w:r>
    </w:p>
    <w:p>
      <w:pPr>
        <w:spacing w:after="150" w:line="270"/>
        <w:jc w:val="both"/>
      </w:pPr>
      <w:r>
        <w:rPr>
          <w:color w:val="222222"/>
          <w:sz w:val="20"/>
          <w:szCs w:val="20"/>
        </w:rPr>
        <w:t xml:space="preserve">El código fuente de la plataforma TrabFlow —frontend en React 19/TypeScript, funciones edge en Deno, esquema de base de datos en PostgreSQL/Supabase— constituye una obra protegida por derechos de autor desde el momento de su creación, sin necesidad de registro, conforme al Texto Refundido de la Ley de Propiedad Intelectual. No obstante, la titularidad de esos derechos recae hoy, de facto, en la persona física que lo ha desarrollado (Fernando Carbonell Cabo), no en la sociedad en constitución.</w:t>
      </w:r>
    </w:p>
    <w:p>
      <w:pPr>
        <w:pStyle w:val="Heading2"/>
        <w:spacing w:after="150" w:before="300"/>
      </w:pPr>
      <w:r>
        <w:rPr>
          <w:b/>
          <w:bCs/>
          <w:color w:val="1A5A96"/>
          <w:sz w:val="24"/>
          <w:szCs w:val="24"/>
        </w:rPr>
        <w:t xml:space="preserve">5.1. Cesión de derechos a la sociedad</w:t>
      </w:r>
    </w:p>
    <w:p>
      <w:pPr>
        <w:spacing w:after="150" w:line="270"/>
        <w:jc w:val="both"/>
      </w:pPr>
      <w:r>
        <w:rPr>
          <w:color w:val="222222"/>
          <w:sz w:val="20"/>
          <w:szCs w:val="20"/>
        </w:rPr>
        <w:t xml:space="preserve">La política ya definida internamente para el proyecto establece que todos los derechos de código deben asignarse a la sociedad limitada desde el inicio, y que no debe quedar código a nombre de personas físicas. Esta política es correcta y debe instrumentarse formalmente mediante un acuerdo de cesión de derechos de propiedad intelectual (o, alternativamente, mediante la aportación del código como aportación no dineraria en la constitución de la sociedad, con la valoración pericial que ello exige) en el momento del otorgamiento de la escritura de constitución.</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FORMALIZACIÓN DE LA CESIÓN DE CÓDIGO</w:t>
            </w:r>
          </w:p>
          <w:p>
            <w:pPr>
              <w:jc w:val="both"/>
            </w:pPr>
            <w:r>
              <w:rPr>
                <w:i/>
                <w:iCs/>
                <w:color w:val="3A3A3A"/>
                <w:sz w:val="18"/>
                <w:szCs w:val="18"/>
              </w:rPr>
              <w:t xml:space="preserve">No consta en la documentación revisada un documento de cesión de derechos de propiedad intelectual del código ya firmado. Debe formalizarse en el momento de la constitución de la sociedad, o mediante un contrato de cesión independiente si la constitución se demora respecto al desarrollo ya realizado.</w:t>
            </w:r>
          </w:p>
        </w:tc>
      </w:tr>
    </w:tbl>
    <w:p>
      <w:pPr>
        <w:pStyle w:val="Heading2"/>
        <w:spacing w:after="150" w:before="300"/>
      </w:pPr>
      <w:r>
        <w:rPr>
          <w:b/>
          <w:bCs/>
          <w:color w:val="1A5A96"/>
          <w:sz w:val="24"/>
          <w:szCs w:val="24"/>
        </w:rPr>
        <w:t xml:space="preserve">5.2. Registro voluntario en el Registro de la Propiedad Intelectual</w:t>
      </w:r>
    </w:p>
    <w:p>
      <w:pPr>
        <w:spacing w:after="150" w:line="270"/>
        <w:jc w:val="both"/>
      </w:pPr>
      <w:r>
        <w:rPr>
          <w:color w:val="222222"/>
          <w:sz w:val="20"/>
          <w:szCs w:val="20"/>
        </w:rPr>
        <w:t xml:space="preserve">Aunque la protección de la propiedad intelectual del software es automática desde su creación, el registro voluntario ante el Registro de la Propiedad Intelectual aporta una prueba de fecha cierta de la existencia y autoría del código en un momento determinado, de utilidad tanto en un eventual litigio como en la acreditación de la fecha de creación de los desarrollos objeto de esta memoria ante un evaluador de I+D. Se recomienda valorar este registro para las versiones estables del motor de IA (por ejemplo, en el momento de alcanzar cada hito de baseline, como v56-stable).</w:t>
      </w:r>
    </w:p>
    <w:p>
      <w:pPr>
        <w:pStyle w:val="Heading1"/>
        <w:pageBreakBefore/>
        <w:spacing w:after="240" w:before="200"/>
      </w:pPr>
      <w:r>
        <w:rPr>
          <w:b/>
          <w:bCs/>
          <w:color w:val="1C2535"/>
          <w:sz w:val="30"/>
          <w:szCs w:val="30"/>
        </w:rPr>
        <w:t xml:space="preserve">6. La Base Maestra como secreto empresarial</w:t>
      </w:r>
    </w:p>
    <w:p>
      <w:pPr>
        <w:spacing w:after="150" w:line="270"/>
        <w:jc w:val="both"/>
      </w:pPr>
      <w:r>
        <w:rPr>
          <w:color w:val="222222"/>
          <w:sz w:val="20"/>
          <w:szCs w:val="20"/>
        </w:rPr>
        <w:t xml:space="preserve">La Base Maestra —el catálogo propio de más de 2.000 acciones normalizadas, distribuidas en 20 oficios (codificados OF-01 a OF-20)— es, a juicio de este análisis, el activo de mayor valor estratégico del proyecto, y el que hoy cuenta con el nivel de protección formal más débil. No es un activo registrable como una marca ni patentable en su conjunto (es, en esencia, una base de datos y una taxonomía de dominio), pero encaja con precisión en la definición legal de secreto empresarial de la Ley 1/2019: es información no divulgada públicamente, tiene valor comercial precisamente por ser secreta —cualquier competidor que accediera a ella eliminaría de un plumazo el esfuerzo de estructuración de dominio que representa el activo—, y es susceptible de medidas razonables de protección.</w:t>
      </w:r>
    </w:p>
    <w:p>
      <w:pPr>
        <w:pStyle w:val="Heading2"/>
        <w:spacing w:after="150" w:before="300"/>
      </w:pPr>
      <w:r>
        <w:rPr>
          <w:b/>
          <w:bCs/>
          <w:color w:val="1A5A96"/>
          <w:sz w:val="24"/>
          <w:szCs w:val="24"/>
        </w:rPr>
        <w:t xml:space="preserve">6.1. Por qué no se protege mediante prompts genéricos</w:t>
      </w:r>
    </w:p>
    <w:p>
      <w:pPr>
        <w:spacing w:after="150" w:line="270"/>
        <w:jc w:val="both"/>
      </w:pPr>
      <w:r>
        <w:rPr>
          <w:color w:val="222222"/>
          <w:sz w:val="20"/>
          <w:szCs w:val="20"/>
        </w:rPr>
        <w:t xml:space="preserve">El valor de la Base Maestra no reside en indicaciones de lenguaje natural (prompts) dirigidas a un modelo de lenguaje genérico, que cualquier competidor podría aproximar por ensayo y error en un plazo corto, sino en la estructura de datos subyacente: la taxonomía de oficios, la normalización de acciones dentro de cada oficio, y las reglas de resolución en cascada (el sistema de fallback en cinco niveles descrito en la Memoria Técnica de I+D+i) que determinan cómo se recupera y valida cada partida. Esta distinción es relevante para un evaluador técnico: sitúa la innovación en el diseño de la arquitectura de datos y de decisión, no en la mera invocación de una API de inteligencia artificial de terceros.</w:t>
      </w:r>
    </w:p>
    <w:p>
      <w:pPr>
        <w:pStyle w:val="Heading2"/>
        <w:spacing w:after="150" w:before="300"/>
      </w:pPr>
      <w:r>
        <w:rPr>
          <w:b/>
          <w:bCs/>
          <w:color w:val="1A5A96"/>
          <w:sz w:val="24"/>
          <w:szCs w:val="24"/>
        </w:rPr>
        <w:t xml:space="preserve">6.2. El flujo de conocimiento, de la actuación al presupuesto</w:t>
      </w:r>
    </w:p>
    <w:tbl>
      <w:tblPr>
        <w:tblW w:type="dxa" w:w="9300"/>
        <w:tblBorders>
          <w:top w:val="single" w:color="1A5A96" w:sz="4"/>
          <w:left w:val="single" w:color="1A5A96" w:sz="4"/>
          <w:bottom w:val="single" w:color="1A5A96" w:sz="4"/>
          <w:right w:val="single" w:color="1A5A96" w:sz="4"/>
          <w:insideH w:val="none" w:color="FFFFFF" w:sz="0"/>
          <w:insideV w:val="none" w:color="FFFFFF" w:sz="0"/>
        </w:tblBorders>
      </w:tblPr>
      <w:tblGrid>
        <w:gridCol w:w="9300"/>
      </w:tblGrid>
      <w:tr>
        <w:tc>
          <w:tcPr>
            <w:tcW w:type="dxa" w:w="9300"/>
            <w:shd w:fill="EAF1F8" w:val="clear"/>
            <w:tcMar>
              <w:top w:type="dxa" w:w="100"/>
              <w:left w:type="dxa" w:w="160"/>
              <w:bottom w:type="dxa" w:w="100"/>
              <w:right w:type="dxa" w:w="160"/>
            </w:tcMar>
          </w:tcPr>
          <w:p>
            <w:r>
              <w:rPr>
                <w:b/>
                <w:bCs/>
                <w:i/>
                <w:iCs/>
                <w:color w:val="1A5A96"/>
                <w:sz w:val="16"/>
                <w:szCs w:val="16"/>
              </w:rPr>
              <w:t xml:space="preserve">ⓘ CONTENIDO AÑADIDO EN ESTA REVISIÓN — El siguiente diagrama reproduce el flujo de integración entre la Base Maestra y el motor de catálogos ya documentado en la especificación técnica del proyecto (documento de integración de catálogo de proveedores); no introduce ninguna etapa no documentada.</w:t>
            </w:r>
          </w:p>
        </w:tc>
      </w:tr>
    </w:tbl>
    <w:tbl>
      <w:tblPr>
        <w:tblW w:type="dxa" w:w="9300"/>
        <w:tblBorders>
          <w:top w:val="single" w:color="AAAAAA" w:sz="2"/>
          <w:left w:val="single" w:color="AAAAAA" w:sz="2"/>
          <w:bottom w:val="single" w:color="AAAAAA" w:sz="2"/>
          <w:right w:val="single" w:color="AAAAAA" w:sz="2"/>
          <w:insideH w:val="none" w:color="FFFFFF" w:sz="0"/>
          <w:insideV w:val="none" w:color="FFFFFF" w:sz="0"/>
        </w:tblBorders>
      </w:tblPr>
      <w:tblGrid>
        <w:gridCol w:w="9300"/>
      </w:tblGrid>
      <w:tr>
        <w:tc>
          <w:tcPr>
            <w:tcW w:type="dxa" w:w="9300"/>
            <w:shd w:fill="1E2430" w:val="clear"/>
            <w:tcMar>
              <w:top w:type="dxa" w:w="180"/>
              <w:left w:type="dxa" w:w="220"/>
              <w:bottom w:type="dxa" w:w="180"/>
              <w:right w:type="dxa" w:w="220"/>
            </w:tcMar>
          </w:tcPr>
          <w:p>
            <w:pPr>
              <w:spacing w:after="0"/>
            </w:pPr>
            <w:r>
              <w:rPr>
                <w:rFonts w:ascii="Consolas" w:cs="Consolas" w:eastAsia="Consolas" w:hAnsi="Consolas"/>
                <w:color w:val="D7E3EF"/>
                <w:sz w:val="17"/>
                <w:szCs w:val="17"/>
              </w:rPr>
              <w:t xml:space="preserve">  Voz / texto del instalador</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Detección de actuación (clasificación de oficio y tipo de trabajo)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Base Maestra (acción normalizada: unidades, reglas de aplicación)</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Partidas obligatorias (materiales y mano de obra mínimos de la actuación)</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Motor de catálogos (búsqueda de precio real en catálogo activo)</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Selección de proveedor (catálogo propio → preferente → activos)</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Aplicación de márgenes</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w:t>
            </w:r>
          </w:p>
          <w:p>
            <w:pPr>
              <w:spacing w:after="0"/>
            </w:pPr>
            <w:r>
              <w:rPr>
                <w:rFonts w:ascii="Consolas" w:cs="Consolas" w:eastAsia="Consolas" w:hAnsi="Consolas"/>
                <w:color w:val="D7E3EF"/>
                <w:sz w:val="17"/>
                <w:szCs w:val="17"/>
              </w:rPr>
              <w:t xml:space="preserve">  Presupuesto final estructurado y trazable</w:t>
            </w:r>
          </w:p>
        </w:tc>
      </w:tr>
    </w:tbl>
    <w:p>
      <w:pPr>
        <w:spacing w:after="200" w:before="60"/>
        <w:jc w:val="center"/>
      </w:pPr>
      <w:r>
        <w:rPr>
          <w:i/>
          <w:iCs/>
          <w:color w:val="666666"/>
          <w:sz w:val="17"/>
          <w:szCs w:val="17"/>
        </w:rPr>
        <w:t xml:space="preserve">Figura IP-1. Flujo de conocimiento de la Base Maestra al presupuesto final.</w:t>
      </w:r>
    </w:p>
    <w:p>
      <w:pPr>
        <w:pStyle w:val="Heading2"/>
        <w:spacing w:after="150" w:before="300"/>
      </w:pPr>
      <w:r>
        <w:rPr>
          <w:b/>
          <w:bCs/>
          <w:color w:val="1A5A96"/>
          <w:sz w:val="24"/>
          <w:szCs w:val="24"/>
        </w:rPr>
        <w:t xml:space="preserve">6.3. Versionado y trazabilidad como evidencia de I+D</w:t>
      </w:r>
    </w:p>
    <w:p>
      <w:pPr>
        <w:spacing w:after="150" w:line="270"/>
        <w:jc w:val="both"/>
      </w:pPr>
      <w:r>
        <w:rPr>
          <w:color w:val="222222"/>
          <w:sz w:val="20"/>
          <w:szCs w:val="20"/>
        </w:rPr>
        <w:t xml:space="preserve">El Centro de Validación de IA ya incorpora un sistema de versionado de las versiones del motor (campos version_tag, git_commit, git_tag, model_id, prompt_version, semaforo, is_baseline, is_production, rolled_back_at), que constituye evidencia auditable de la evolución del sistema y del proceso de validación de cada cambio. Este mismo mecanismo de versionado es extensible, como recomendación de buena práctica, al propio contenido de la Base Maestra: registrar qué actuaciones se añaden o modifican, en qué versión, por qué motivo y con qué resultado de validación, de forma análoga a como ya se versiona el motor de IA.</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VERSIONADO FORMAL DEL CONTENIDO DE LA BASE MAESTRA</w:t>
            </w:r>
          </w:p>
          <w:p>
            <w:pPr>
              <w:jc w:val="both"/>
            </w:pPr>
            <w:r>
              <w:rPr>
                <w:i/>
                <w:iCs/>
                <w:color w:val="3A3A3A"/>
                <w:sz w:val="18"/>
                <w:szCs w:val="18"/>
              </w:rPr>
              <w:t xml:space="preserve">El versionado descrito en el Centro de Validación de IA se aplica a las versiones del motor (código y prompt), no consta que se aplique de forma sistemática al contenido de la propia Base Maestra (adición o modificación de actuaciones normalizadas). Se recomienda extender un esquema de versionado equivalente (autor, fecha, motivo del cambio, versión) a las actuaciones de la Base Maestra, lo que reforzaría tanto la trazabilidad de I+D como la defensa del activo como secreto empresarial ante una eventual disputa.</w:t>
            </w:r>
          </w:p>
        </w:tc>
      </w:tr>
    </w:tbl>
    <w:p>
      <w:pPr>
        <w:pStyle w:val="Heading2"/>
        <w:spacing w:after="150" w:before="300"/>
      </w:pPr>
      <w:r>
        <w:rPr>
          <w:b/>
          <w:bCs/>
          <w:color w:val="1A5A96"/>
          <w:sz w:val="24"/>
          <w:szCs w:val="24"/>
        </w:rPr>
        <w:t xml:space="preserve">6.4. Medidas de protección recomendadas</w:t>
      </w:r>
    </w:p>
    <w:p>
      <w:pPr>
        <w:spacing w:after="85"/>
        <w:ind w:left="380" w:hanging="260"/>
        <w:jc w:val="both"/>
      </w:pPr>
      <w:r>
        <w:rPr>
          <w:b/>
          <w:bCs/>
          <w:color w:val="1A5A96"/>
          <w:sz w:val="20"/>
          <w:szCs w:val="20"/>
        </w:rPr>
        <w:t xml:space="preserve">1.  </w:t>
      </w:r>
      <w:r>
        <w:rPr>
          <w:sz w:val="20"/>
          <w:szCs w:val="20"/>
        </w:rPr>
        <w:t xml:space="preserve">Acuerdo de confidencialidad (NDA) con cualquier colaborador externo, distribuidor o candidato a inversor que tenga acceso a la estructura completa de la Base Maestra, más allá del acceso a través del producto ya en funcionamiento.</w:t>
      </w:r>
    </w:p>
    <w:p>
      <w:pPr>
        <w:spacing w:after="85"/>
        <w:ind w:left="380" w:hanging="260"/>
        <w:jc w:val="both"/>
      </w:pPr>
      <w:r>
        <w:rPr>
          <w:b/>
          <w:bCs/>
          <w:color w:val="1A5A96"/>
          <w:sz w:val="20"/>
          <w:szCs w:val="20"/>
        </w:rPr>
        <w:t xml:space="preserve">2.  </w:t>
      </w:r>
      <w:r>
        <w:rPr>
          <w:sz w:val="20"/>
          <w:szCs w:val="20"/>
        </w:rPr>
        <w:t xml:space="preserve">Control de acceso diferenciado ya parcialmente implementado en el Centro de Validación de IA (roles staff, QA, producto, cliente piloto, proveedor), que debe mantenerse y auditarse específicamente para el acceso a la Base Maestra en bruto (no solo a los resultados de benchmarking).</w:t>
      </w:r>
    </w:p>
    <w:p>
      <w:pPr>
        <w:spacing w:after="85"/>
        <w:ind w:left="380" w:hanging="260"/>
        <w:jc w:val="both"/>
      </w:pPr>
      <w:r>
        <w:rPr>
          <w:b/>
          <w:bCs/>
          <w:color w:val="1A5A96"/>
          <w:sz w:val="20"/>
          <w:szCs w:val="20"/>
        </w:rPr>
        <w:t xml:space="preserve">3.  </w:t>
      </w:r>
      <w:r>
        <w:rPr>
          <w:sz w:val="20"/>
          <w:szCs w:val="20"/>
        </w:rPr>
        <w:t xml:space="preserve">Política interna de secreto empresarial que documente qué información se considera secreto empresarial, qué medidas de protección se aplican y quién tiene autorización de acceso, requisito legal para poder invocar la Ley 1/2019 en caso de apropiación indebida.</w:t>
      </w:r>
    </w:p>
    <w:p>
      <w:pPr>
        <w:spacing w:after="85"/>
        <w:ind w:left="380" w:hanging="260"/>
        <w:jc w:val="both"/>
      </w:pPr>
      <w:r>
        <w:rPr>
          <w:b/>
          <w:bCs/>
          <w:color w:val="1A5A96"/>
          <w:sz w:val="20"/>
          <w:szCs w:val="20"/>
        </w:rPr>
        <w:t xml:space="preserve">4.  </w:t>
      </w:r>
      <w:r>
        <w:rPr>
          <w:sz w:val="20"/>
          <w:szCs w:val="20"/>
        </w:rPr>
        <w:t xml:space="preserve">Cláusula de confidencialidad y no competencia en cualquier contrato de colaborador técnico o comercial futuro (perfil de datos/IA, responsable comercial) que tenga acceso a la Base Maestra o al corpus de datos operativos.</w:t>
      </w:r>
    </w:p>
    <w:p>
      <w:pPr>
        <w:pStyle w:val="Heading1"/>
        <w:pageBreakBefore/>
        <w:spacing w:after="240" w:before="200"/>
      </w:pPr>
      <w:r>
        <w:rPr>
          <w:b/>
          <w:bCs/>
          <w:color w:val="1C2535"/>
          <w:sz w:val="30"/>
          <w:szCs w:val="30"/>
        </w:rPr>
        <w:t xml:space="preserve">7. Corpus de datos operativos generado por el uso</w:t>
      </w:r>
    </w:p>
    <w:p>
      <w:pPr>
        <w:spacing w:after="150" w:line="270"/>
        <w:jc w:val="both"/>
      </w:pPr>
      <w:r>
        <w:rPr>
          <w:color w:val="222222"/>
          <w:sz w:val="20"/>
          <w:szCs w:val="20"/>
        </w:rPr>
        <w:t xml:space="preserve">Cada presupuesto generado por la plataforma incorpora, de forma acumulativa, información sobre precios reales aplicados por oficio, tipo de actuación y zona geográfica. A diferencia de la Base Maestra —que es un activo diseñado ex ante—, este corpus es un activo que se genera de forma automática por el uso del producto y crece en valor con el número de clientes activos: cuantos más presupuestos procese la plataforma, más preciso será el conocimiento acumulado sobre precios de mercado por región y oficio, un dato que ningún competidor puede replicar sin un volumen de uso equivalente, y que constituye, junto con la Base Maestra, la base del efecto de red descrito en el apartado 9.</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POLÍTICA DE GOBERNANZA DEL DATO OPERATIVO</w:t>
            </w:r>
          </w:p>
          <w:p>
            <w:pPr>
              <w:jc w:val="both"/>
            </w:pPr>
            <w:r>
              <w:rPr>
                <w:i/>
                <w:iCs/>
                <w:color w:val="3A3A3A"/>
                <w:sz w:val="18"/>
                <w:szCs w:val="18"/>
              </w:rPr>
              <w:t xml:space="preserve">No consta una política formal de retención, anonimización, agregación y explotación de este corpus de datos, más allá del cumplimiento general de RGPD ya referido en la Memoria Técnica de I+D+i. Debe definirse: durante cuánto tiempo se retienen los datos de presupuesto a nivel de cliente individual, en qué condiciones se agregan o anonimizan para su uso como benchmark de precios de mercado, y si este benchmark agregado podría en el futuro constituir un producto de datos independiente (por ejemplo, un índice de precios del sector), lo que exigiría un análisis de base jurídica adicional.</w:t>
            </w:r>
          </w:p>
        </w:tc>
      </w:tr>
    </w:tbl>
    <w:p>
      <w:pPr>
        <w:pStyle w:val="Heading1"/>
        <w:pageBreakBefore/>
        <w:spacing w:after="240" w:before="200"/>
      </w:pPr>
      <w:r>
        <w:rPr>
          <w:b/>
          <w:bCs/>
          <w:color w:val="1C2535"/>
          <w:sz w:val="30"/>
          <w:szCs w:val="30"/>
        </w:rPr>
        <w:t xml:space="preserve">8. Arquitectura y metodología como know-how no divulgado</w:t>
      </w:r>
    </w:p>
    <w:p>
      <w:pPr>
        <w:spacing w:after="150" w:line="270"/>
        <w:jc w:val="both"/>
      </w:pPr>
      <w:r>
        <w:rPr>
          <w:color w:val="222222"/>
          <w:sz w:val="20"/>
          <w:szCs w:val="20"/>
        </w:rPr>
        <w:t xml:space="preserve">Más allá de la Base Maestra y del corpus de datos, TrabFlow ha desarrollado una metodología de validación y control de calidad de sistemas de inteligencia artificial generativa en producción —el Centro de Validación de IA— que constituye know-how de ingeniería no divulgado públicamente y potencialmente generalizable más allá del propio proyecto. Sus elementos distintivos incluyen: el principio de anclaje a un baseline estable (v56-stable) en lugar de comparación contra la versión inmediatamente anterior, para evitar el arrastre de ruido entre comparaciones sucesivas; un semáforo de decisión automatizado basado en criterios objetivos por indicador (tasa OK, coincidencia de oficio, regresiones de causa A); y una clasificación causal de las regresiones detectadas en seis categorías (A: regresión real, B: no-determinismo del modelo, C: problema de matching de catálogo, D: truncamiento, E: error de clasificación de oficio, F: otras causas), que permite distinguir un empeoramiento genuino del motor de una fluctuación esperable de un modelo de lenguaje no determinista.</w:t>
      </w:r>
    </w:p>
    <w:p>
      <w:pPr>
        <w:spacing w:after="150" w:line="270"/>
        <w:jc w:val="both"/>
      </w:pPr>
      <w:r>
        <w:rPr>
          <w:color w:val="222222"/>
          <w:sz w:val="20"/>
          <w:szCs w:val="20"/>
        </w:rPr>
        <w:t xml:space="preserve">Esta metodología —y no únicamente el resultado numérico de una versión concreta del motor— es, a juicio de este análisis, uno de los activos de conocimiento más defendibles del proyecto, precisamente por tratarse de una aportación metodológica generalizable a cualquier sistema de IA generativa en producción, no limitada al dominio de los oficios técnicos.</w:t>
      </w:r>
    </w:p>
    <w:p>
      <w:pPr>
        <w:pStyle w:val="Heading1"/>
        <w:pageBreakBefore/>
        <w:spacing w:after="240" w:before="200"/>
      </w:pPr>
      <w:r>
        <w:rPr>
          <w:b/>
          <w:bCs/>
          <w:color w:val="1C2535"/>
          <w:sz w:val="30"/>
          <w:szCs w:val="30"/>
        </w:rPr>
        <w:t xml:space="preserve">9. Ventaja competitiva — moat en tres capas</w:t>
      </w:r>
    </w:p>
    <w:p>
      <w:pPr>
        <w:spacing w:after="150" w:line="270"/>
        <w:jc w:val="both"/>
      </w:pPr>
      <w:r>
        <w:rPr>
          <w:color w:val="222222"/>
          <w:sz w:val="20"/>
          <w:szCs w:val="20"/>
        </w:rPr>
        <w:t xml:space="preserve">El análisis de moat competitivo ya desarrollado en el material comercial del proyecto identifica, de forma explícita, que la ventaja competitiva de TrabFlow no reside únicamente en la tecnología —replicable, en su superficie, por cualquier equipo de desarrollo competente en un plazo de meses— sino en tres capas que se refuerzan mutuamente con el tiempo y el volumen de uso: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200"/>
        <w:gridCol w:w="3600"/>
        <w:gridCol w:w="3500"/>
      </w:tblGrid>
      <w:tr>
        <w:trPr>
          <w:cantSplit/>
          <w:tblHeader/>
        </w:trPr>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Capa</w:t>
            </w:r>
          </w:p>
        </w:tc>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3500"/>
            <w:shd w:fill="1C2535" w:val="clear"/>
            <w:tcMar>
              <w:top w:type="dxa" w:w="80"/>
              <w:left w:type="dxa" w:w="100"/>
              <w:bottom w:type="dxa" w:w="80"/>
              <w:right w:type="dxa" w:w="100"/>
            </w:tcMar>
            <w:vAlign w:val="center"/>
          </w:tcPr>
          <w:p>
            <w:pPr>
              <w:jc w:val="left"/>
            </w:pPr>
            <w:r>
              <w:rPr>
                <w:b/>
                <w:bCs/>
                <w:color w:val="FFFFFF"/>
                <w:sz w:val="18"/>
                <w:szCs w:val="18"/>
              </w:rPr>
              <w:t xml:space="preserve">Por qué no es replicable rápidamente</w:t>
            </w:r>
          </w:p>
        </w:tc>
      </w:tr>
      <w:tr>
        <w:trPr>
          <w:cantSplit/>
        </w:trPr>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 Datos del gremio (moat de datos)</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Cada presupuesto generado por IA entrena al sistema sobre los precios reales del mercado por región, tipo de trabajo y materiales</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Un competidor que replique la tecnología partiría de cero en volumen de datos operativos reales; el conocimiento de precios por zona y oficio solo se adquiere con uso acumulado</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 Comunidad del gremio (moat de red)</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instalador que lleva meses usando TrabFlow ha construido en él su catálogo de precios, sus clientes, sus plantillas de presupuesto y su histórico de trabajos</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coste de migración a otra herramienta crece con el tiempo de uso; si además los compañeros de gremio también usan TrabFlow, existe un valor de red adicional (plantillas y referencias compartidas)</w:t>
            </w:r>
          </w:p>
        </w:tc>
      </w:tr>
      <w:tr>
        <w:trPr>
          <w:cantSplit/>
        </w:trPr>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 Marca de sector (moat de reputación)</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Posicionamiento como referencia de confianza dentro de asociaciones y gremios de instaladores (CONAIF, FENIE, APIEM)</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Los instaladores constituyen un colectivo profesional cohesionado; una vez consolidada la prescripción entre pares y el respaldo institucional, un competidor tendría que reconstruir esa confianza desde cero</w:t>
            </w:r>
          </w:p>
        </w:tc>
      </w:tr>
    </w:tbl>
    <w:p>
      <w:pPr>
        <w:spacing w:after="150" w:line="270"/>
        <w:jc w:val="both"/>
      </w:pPr>
      <w:r>
        <w:rPr>
          <w:i/>
          <w:iCs/>
          <w:color w:val="222222"/>
          <w:sz w:val="20"/>
          <w:szCs w:val="20"/>
        </w:rPr>
        <w:t xml:space="preserve">La pregunta que sintetiza esta estrategia de defensibilidad —por qué un competidor horizontal establecido (Billin, Quipu) no puede replicar TrabFlow simplemente añadiendo una función de presupuestación— tiene una respuesta estructural: esas herramientas son horizontales y sirven a la totalidad del colectivo de autónomos español; no pueden especializar su producto en el lenguaje, las partidas y el catálogo de precios de los oficios técnicos sin abandonar, en la práctica, al resto de su base de clientes. La especialización radical de dominio —terminología de gremio, partidas de obra específicas, integración con listas de precios de instaladores— es, en sí misma, una barrera de entrada.</w:t>
      </w:r>
    </w:p>
    <w:p>
      <w:pPr>
        <w:pStyle w:val="Heading1"/>
        <w:pageBreakBefore/>
        <w:spacing w:after="240" w:before="200"/>
      </w:pPr>
      <w:r>
        <w:rPr>
          <w:b/>
          <w:bCs/>
          <w:color w:val="1C2535"/>
          <w:sz w:val="30"/>
          <w:szCs w:val="30"/>
        </w:rPr>
        <w:t xml:space="preserve">10. Qué no es propiedad de TrabFlow — deslinde frente a proveedores</w:t>
      </w:r>
    </w:p>
    <w:p>
      <w:pPr>
        <w:spacing w:after="150" w:line="270"/>
        <w:jc w:val="both"/>
      </w:pPr>
      <w:r>
        <w:rPr>
          <w:color w:val="222222"/>
          <w:sz w:val="20"/>
          <w:szCs w:val="20"/>
        </w:rPr>
        <w:t xml:space="preserve">Una estrategia de propiedad intelectual creíble ante un evaluador técnico debe deslindar con precisión qué activos son propios y cuáles son servicios licenciados de terceros, evitando cualquier ambigüedad que pueda interpretarse como una atribución indebida de innovación ajena.</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2200"/>
        <w:gridCol w:w="45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Componente</w:t>
            </w:r>
          </w:p>
        </w:tc>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Titularidad</w:t>
            </w:r>
          </w:p>
        </w:tc>
        <w:tc>
          <w:tcPr>
            <w:tcW w:type="dxa" w:w="4500"/>
            <w:shd w:fill="1C2535" w:val="clear"/>
            <w:tcMar>
              <w:top w:type="dxa" w:w="80"/>
              <w:left w:type="dxa" w:w="100"/>
              <w:bottom w:type="dxa" w:w="80"/>
              <w:right w:type="dxa" w:w="100"/>
            </w:tcMar>
            <w:vAlign w:val="center"/>
          </w:tcPr>
          <w:p>
            <w:pPr>
              <w:jc w:val="left"/>
            </w:pPr>
            <w:r>
              <w:rPr>
                <w:b/>
                <w:bCs/>
                <w:color w:val="FFFFFF"/>
                <w:sz w:val="18"/>
                <w:szCs w:val="18"/>
              </w:rPr>
              <w:t xml:space="preserve">Naturaleza de la relación con TrabFlow</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Modelos de lenguaje Claude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Anthropic</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Servicio de API licenciado; TrabFlow no tiene derechos de propiedad sobre el modelo, solo sobre su uso mediante contrato de servicio y sobre la ingeniería de integración (prompts, arquitectura de llamada, validación)</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Embeddings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Voyage AI</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Servicio de API licenciado; ídem</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Transcripción de voz (Whisper)</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Proveedor del modelo Whisper</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Servicio o modelo licenciado; ídem</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Infraestructura cloud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Supabase, Vercel</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Servicios de infraestructura gestionada bajo contrato; TrabFlow no tiene propiedad sobre la infraestructura subyacente</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Pasarela de pagos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Stripe</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Servicio licenciado bajo contrato estándar de la plataforma</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Catálogos de materiales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OBRAMAT y otros distribuidores en negociación</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Datos de terceros, cedidos bajo acuerdo comercial para su integración; TrabFlow no es propietario del catálogo, sí de la capa de comparación y normalización que lo hace utilizable</w:t>
            </w:r>
          </w:p>
        </w:tc>
      </w:tr>
    </w:tbl>
    <w:p>
      <w:pPr>
        <w:spacing w:after="150" w:line="270"/>
        <w:jc w:val="both"/>
      </w:pPr>
      <w:r>
        <w:rPr>
          <w:color w:val="222222"/>
          <w:sz w:val="20"/>
          <w:szCs w:val="20"/>
        </w:rPr>
        <w:t xml:space="preserve">Lo que TrabFlow sí posee sobre estos componentes de terceros es la capa de integración, orquestación y validación: el diseño de qué modelo se invoca en qué paso, cómo se valida su salida contra la Base Maestra, cómo se combina con el catálogo de proveedor, y cómo se decide si una nueva versión de esa orquestación puede sustituir a la anterior en producción. Esa capa de ingeniería —no el modelo subyacente— es el activo defendible.</w:t>
      </w:r>
    </w:p>
    <w:p>
      <w:pPr>
        <w:pStyle w:val="Heading1"/>
        <w:pageBreakBefore/>
        <w:spacing w:after="240" w:before="200"/>
      </w:pPr>
      <w:r>
        <w:rPr>
          <w:b/>
          <w:bCs/>
          <w:color w:val="1C2535"/>
          <w:sz w:val="30"/>
          <w:szCs w:val="30"/>
        </w:rPr>
        <w:t xml:space="preserve">11. Riesgos de propiedad intelectual</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300"/>
        <w:gridCol w:w="34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Riesgo</w:t>
            </w:r>
          </w:p>
        </w:tc>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Mitigación</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Ausencia de cesión formal de código a la sociedad</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Los derechos de autor sobre el código recaen hoy de facto en el fundador, no en la sociedad en constitución</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Formalizar cesión o aportación no dineraria en la escritura de constitución</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Ausencia de política de secreto empresarial documentada</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Sin una política formal, resulta más difícil invocar la Ley 1/2019 en caso de apropiación indebida de la Base Maestra por un tercero</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Redactar y aprobar una política interna de secreto empresarial (apartado 6.4)</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Dependencia de modelos de IA de terceros sin control sobre cambios de política o precio</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Anthropic, Voyage AI y el proveedor de transcripción pueden modificar precios, condiciones de uso o disponibilidad del modelo</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Arquitectura modular que permita sustituir el proveedor de modelo sin rediseño estructural, ya identificada como principio de diseño en la Memoria Técnica de I+D+i</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Concentración de conocimiento tácito en una sola persona</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diseño completo de la Base Maestra, la arquitectura y la metodología de validación reside en el conocimiento no documentado del fundador único</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Documentar de forma sistemática las decisiones de diseño (parcialmente iniciado en la Memoria Técnica de I+D+i, apartado de justificación de decisiones tecnológicas) y priorizar la incorporación de un segundo perfil técnico</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Ausencia de análisis de patentabilidad</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se ha descartado ni confirmado si algún elemento del sistema de fallback o de la metodología de benchmarking cumple los requisitos de patentabilidad</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Encargar un análisis de patentabilidad y búsqueda de antecedentes a un agente de la propiedad industrial antes de afirmar protección adicional ante un evaluador</w:t>
            </w:r>
          </w:p>
        </w:tc>
      </w:tr>
    </w:tbl>
    <w:p>
      <w:pPr>
        <w:pStyle w:val="Heading1"/>
        <w:pageBreakBefore/>
        <w:spacing w:after="240" w:before="200"/>
      </w:pPr>
      <w:r>
        <w:rPr>
          <w:b/>
          <w:bCs/>
          <w:color w:val="1C2535"/>
          <w:sz w:val="30"/>
          <w:szCs w:val="30"/>
        </w:rPr>
        <w:t xml:space="preserve">12. Recomendaciones de acción inmediata</w:t>
      </w:r>
    </w:p>
    <w:p>
      <w:pPr>
        <w:spacing w:after="85"/>
        <w:ind w:left="380" w:hanging="260"/>
        <w:jc w:val="both"/>
      </w:pPr>
      <w:r>
        <w:rPr>
          <w:b/>
          <w:bCs/>
          <w:color w:val="1A5A96"/>
          <w:sz w:val="20"/>
          <w:szCs w:val="20"/>
        </w:rPr>
        <w:t xml:space="preserve">1.  </w:t>
      </w:r>
      <w:r>
        <w:rPr>
          <w:sz w:val="20"/>
          <w:szCs w:val="20"/>
        </w:rPr>
        <w:t xml:space="preserve">Formalizar, en el momento de la escritura de constitución, la cesión o aportación de todos los derechos de propiedad intelectual del código existente a TrabFlow Technologies, S.L.</w:t>
      </w:r>
    </w:p>
    <w:p>
      <w:pPr>
        <w:spacing w:after="85"/>
        <w:ind w:left="380" w:hanging="260"/>
        <w:jc w:val="both"/>
      </w:pPr>
      <w:r>
        <w:rPr>
          <w:b/>
          <w:bCs/>
          <w:color w:val="1A5A96"/>
          <w:sz w:val="20"/>
          <w:szCs w:val="20"/>
        </w:rPr>
        <w:t xml:space="preserve">2.  </w:t>
      </w:r>
      <w:r>
        <w:rPr>
          <w:sz w:val="20"/>
          <w:szCs w:val="20"/>
        </w:rPr>
        <w:t xml:space="preserve">Redactar y aprobar una política interna de secreto empresarial que identifique expresamente la Base Maestra, el corpus de datos operativos y la metodología del Centro de Validación de IA como información confidencial sujeta a medidas de protección.</w:t>
      </w:r>
    </w:p>
    <w:p>
      <w:pPr>
        <w:spacing w:after="85"/>
        <w:ind w:left="380" w:hanging="260"/>
        <w:jc w:val="both"/>
      </w:pPr>
      <w:r>
        <w:rPr>
          <w:b/>
          <w:bCs/>
          <w:color w:val="1A5A96"/>
          <w:sz w:val="20"/>
          <w:szCs w:val="20"/>
        </w:rPr>
        <w:t xml:space="preserve">3.  </w:t>
      </w:r>
      <w:r>
        <w:rPr>
          <w:sz w:val="20"/>
          <w:szCs w:val="20"/>
        </w:rPr>
        <w:t xml:space="preserve">Incorporar cláusulas de confidencialidad y de cesión de propiedad intelectual en cualquier contrato futuro con colaboradores técnicos, comerciales o de negociación de catálogo (distribuidores, asociaciones).</w:t>
      </w:r>
    </w:p>
    <w:p>
      <w:pPr>
        <w:spacing w:after="85"/>
        <w:ind w:left="380" w:hanging="260"/>
        <w:jc w:val="both"/>
      </w:pPr>
      <w:r>
        <w:rPr>
          <w:b/>
          <w:bCs/>
          <w:color w:val="1A5A96"/>
          <w:sz w:val="20"/>
          <w:szCs w:val="20"/>
        </w:rPr>
        <w:t xml:space="preserve">4.  </w:t>
      </w:r>
      <w:r>
        <w:rPr>
          <w:sz w:val="20"/>
          <w:szCs w:val="20"/>
        </w:rPr>
        <w:t xml:space="preserve">Encargar a un agente de la propiedad industrial un análisis de patentabilidad sobre el sistema de fallback en cinco niveles y la metodología de benchmarking causal, antes de afirmar ante cualquier evaluador que existe protección más allá de la marca ya solicitada.</w:t>
      </w:r>
    </w:p>
    <w:p>
      <w:pPr>
        <w:spacing w:after="85"/>
        <w:ind w:left="380" w:hanging="260"/>
        <w:jc w:val="both"/>
      </w:pPr>
      <w:r>
        <w:rPr>
          <w:b/>
          <w:bCs/>
          <w:color w:val="1A5A96"/>
          <w:sz w:val="20"/>
          <w:szCs w:val="20"/>
        </w:rPr>
        <w:t xml:space="preserve">5.  </w:t>
      </w:r>
      <w:r>
        <w:rPr>
          <w:sz w:val="20"/>
          <w:szCs w:val="20"/>
        </w:rPr>
        <w:t xml:space="preserve">Extender el esquema de versionado ya existente en el Centro de Validación de IA (autor, fecha, motivo, resultado de validación) al contenido de la propia Base Maestra.</w:t>
      </w:r>
    </w:p>
    <w:p>
      <w:pPr>
        <w:spacing w:after="85"/>
        <w:ind w:left="380" w:hanging="260"/>
        <w:jc w:val="both"/>
      </w:pPr>
      <w:r>
        <w:rPr>
          <w:b/>
          <w:bCs/>
          <w:color w:val="1A5A96"/>
          <w:sz w:val="20"/>
          <w:szCs w:val="20"/>
        </w:rPr>
        <w:t xml:space="preserve">6.  </w:t>
      </w:r>
      <w:r>
        <w:rPr>
          <w:sz w:val="20"/>
          <w:szCs w:val="20"/>
        </w:rPr>
        <w:t xml:space="preserve">Definir una política de gobernanza del corpus de datos operativos (retención, anonimización, agregación) antes de que el volumen de datos acumulado alcance una escala que haga más costosa la corrección retroactiva.</w:t>
      </w:r>
    </w:p>
    <w:p>
      <w:pPr>
        <w:spacing w:after="85"/>
        <w:ind w:left="380" w:hanging="260"/>
        <w:jc w:val="both"/>
      </w:pPr>
      <w:r>
        <w:rPr>
          <w:b/>
          <w:bCs/>
          <w:color w:val="1A5A96"/>
          <w:sz w:val="20"/>
          <w:szCs w:val="20"/>
        </w:rPr>
        <w:t xml:space="preserve">7.  </w:t>
      </w:r>
      <w:r>
        <w:rPr>
          <w:sz w:val="20"/>
          <w:szCs w:val="20"/>
        </w:rPr>
        <w:t xml:space="preserve">Hacer seguimiento activo del expediente de marca M4383580 ante la OEPM hasta su resolución, y valorar la ampliación de clases o territorios conforme avance el roadmap de expansión.</w:t>
      </w:r>
    </w:p>
    <w:p>
      <w:pPr>
        <w:pStyle w:val="Heading1"/>
        <w:pageBreakBefore/>
        <w:spacing w:after="240" w:before="200"/>
      </w:pPr>
      <w:r>
        <w:rPr>
          <w:b/>
          <w:bCs/>
          <w:color w:val="1C2535"/>
          <w:sz w:val="30"/>
          <w:szCs w:val="30"/>
        </w:rPr>
        <w:t xml:space="preserve">13. Conclusiones</w:t>
      </w:r>
    </w:p>
    <w:p>
      <w:pPr>
        <w:spacing w:after="150" w:line="270"/>
        <w:jc w:val="both"/>
      </w:pPr>
      <w:r>
        <w:rPr>
          <w:color w:val="222222"/>
          <w:sz w:val="20"/>
          <w:szCs w:val="20"/>
        </w:rPr>
        <w:t xml:space="preserve">TrabFlow genera conocimiento propio de valor estratégico real —una taxonomía de dominio (Base Maestra), un corpus de datos operativos creciente, y una metodología de validación de sistemas de IA generativa en producción— que hoy está protegido de forma desigual: sólidamente en el plano de la propiedad industrial registrada (marca, denominación social), débilmente en el plano del secreto empresarial y de la cesión formal de derechos de código. Ninguna de las carencias identificadas es estructural ni exige rediseñar el producto: todas se resuelven mediante instrumentos jurídicos y organizativos estándar (cesión de derechos, política de confidencialidad, análisis de patentabilidad, versionado de contenido) que pueden implementarse en paralelo a la ejecución del proyecto de I+D descrito en la Memoria Técnica.</w:t>
      </w:r>
    </w:p>
    <w:p>
      <w:pPr>
        <w:spacing w:after="150" w:line="270"/>
        <w:jc w:val="both"/>
      </w:pPr>
      <w:r>
        <w:rPr>
          <w:color w:val="222222"/>
          <w:sz w:val="20"/>
          <w:szCs w:val="20"/>
        </w:rPr>
        <w:t xml:space="preserve">Para un evaluador de SODERCAN, CDTI o ENISA, la existencia de un activo de conocimiento propio bien identificado y en vías de protección formal —más que la mera existencia de una marca registrada— es lo que distingue un proyecto de digitalización convencional de un proyecto de investigación aplicada con barreras de entrada defendibles. Este documento proporciona la base de ese argumento; su implementación efectiva (los puntos del apartado 12) es lo que lo convertirá en un hecho verificable y no solo en una intención declarada.</w:t>
      </w:r>
    </w:p>
    <w:p>
      <w:pPr>
        <w:pStyle w:val="Heading1"/>
        <w:pageBreakBefore/>
        <w:spacing w:after="240" w:before="200"/>
      </w:pPr>
      <w:r>
        <w:rPr>
          <w:b/>
          <w:bCs/>
          <w:color w:val="1C2535"/>
          <w:sz w:val="30"/>
          <w:szCs w:val="30"/>
        </w:rPr>
        <w:t xml:space="preserve">14. Recomendaciones para futuras versiones</w:t>
      </w:r>
    </w:p>
    <w:p>
      <w:pPr>
        <w:spacing w:after="150" w:line="270"/>
        <w:jc w:val="both"/>
      </w:pPr>
      <w:r>
        <w:rPr>
          <w:i/>
          <w:iCs/>
          <w:color w:val="222222"/>
          <w:sz w:val="20"/>
          <w:szCs w:val="20"/>
        </w:rPr>
        <w:t xml:space="preserve">Las siguientes recomendaciones afectan exclusivamente a la forma y trazabilidad documental de futuras versiones de este documento, no a decisiones de propiedad intelectual en sí mismas (que se recogen como acciones sustantivas en el apartado 12).</w:t>
      </w:r>
    </w:p>
    <w:p>
      <w:pPr>
        <w:spacing w:after="85"/>
        <w:ind w:left="380" w:hanging="260"/>
        <w:jc w:val="both"/>
      </w:pPr>
      <w:r>
        <w:rPr>
          <w:b/>
          <w:bCs/>
          <w:color w:val="1A5A96"/>
          <w:sz w:val="20"/>
          <w:szCs w:val="20"/>
        </w:rPr>
        <w:t xml:space="preserve">1.  </w:t>
      </w:r>
      <w:r>
        <w:rPr>
          <w:sz w:val="20"/>
          <w:szCs w:val="20"/>
        </w:rPr>
        <w:t xml:space="preserve">Actualizar este documento en cuanto se resuelva cada uno de los recuadros de información pendiente (cesión de código, política de secreto empresarial, análisis de patentabilidad), sustituyendo el recuadro de advertencia por el hecho consumado y la fecha en que se resolvió.</w:t>
      </w:r>
    </w:p>
    <w:p>
      <w:pPr>
        <w:spacing w:after="85"/>
        <w:ind w:left="380" w:hanging="260"/>
        <w:jc w:val="both"/>
      </w:pPr>
      <w:r>
        <w:rPr>
          <w:b/>
          <w:bCs/>
          <w:color w:val="1A5A96"/>
          <w:sz w:val="20"/>
          <w:szCs w:val="20"/>
        </w:rPr>
        <w:t xml:space="preserve">2.  </w:t>
      </w:r>
      <w:r>
        <w:rPr>
          <w:sz w:val="20"/>
          <w:szCs w:val="20"/>
        </w:rPr>
        <w:t xml:space="preserve">Incorporar como anexo, cuando exista, el propio texto de la política de secreto empresarial y de los acuerdos de confidencialidad tipo, en lugar de solo referenciarlos.</w:t>
      </w:r>
    </w:p>
    <w:p>
      <w:pPr>
        <w:spacing w:after="85"/>
        <w:ind w:left="380" w:hanging="260"/>
        <w:jc w:val="both"/>
      </w:pPr>
      <w:r>
        <w:rPr>
          <w:b/>
          <w:bCs/>
          <w:color w:val="1A5A96"/>
          <w:sz w:val="20"/>
          <w:szCs w:val="20"/>
        </w:rPr>
        <w:t xml:space="preserve">3.  </w:t>
      </w:r>
      <w:r>
        <w:rPr>
          <w:sz w:val="20"/>
          <w:szCs w:val="20"/>
        </w:rPr>
        <w:t xml:space="preserve">Mantener una tabla viva de vigilancia tecnológica y de marcas (expedientes de competidores, publicaciones relacionadas) que documente de forma continuada el entorno competitivo de propiedad intelectual del sector.</w:t>
      </w:r>
    </w:p>
    <w:p>
      <w:pPr>
        <w:spacing w:after="85"/>
        <w:ind w:left="380" w:hanging="260"/>
        <w:jc w:val="both"/>
      </w:pPr>
      <w:r>
        <w:rPr>
          <w:b/>
          <w:bCs/>
          <w:color w:val="1A5A96"/>
          <w:sz w:val="20"/>
          <w:szCs w:val="20"/>
        </w:rPr>
        <w:t xml:space="preserve">4.  </w:t>
      </w:r>
      <w:r>
        <w:rPr>
          <w:sz w:val="20"/>
          <w:szCs w:val="20"/>
        </w:rPr>
        <w:t xml:space="preserve">Cuando se disponga del análisis de patentabilidad recomendado en el apartado 12, incorporar sus conclusiones textuales como anexo, con la firma del agente de la propiedad industrial correspondiente.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Confidencial · Página </w:t>
    </w:r>
    <w:r>
      <w:rPr>
        <w:color w:val="888888"/>
        <w:sz w:val="15"/>
        <w:szCs w:val="15"/>
      </w:rPr>
      <w:fldChar w:fldCharType="begin"/>
      <w:instrText xml:space="preserve">PAGE</w:instrText>
      <w:fldChar w:fldCharType="separate"/>
      <w:fldChar w:fldCharType="end"/>
    </w:r>
    <w:r>
      <w:rPr>
        <w:color w:val="888888"/>
        <w:sz w:val="15"/>
        <w:szCs w:val="15"/>
      </w:rPr>
      <w:t xml:space="preserve"> de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5"/>
        <w:szCs w:val="15"/>
      </w:rPr>
      <w:t xml:space="preserve">TrabFlow — Estrategia de Propiedad Intelectual y Ventaja Competitiva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2026-07-08T19:54:01.360Z</dcterms:created>
  <dcterms:modified xsi:type="dcterms:W3CDTF">2026-07-08T19:54:01.361Z</dcterms:modified>
</cp:coreProperties>
</file>

<file path=docProps/custom.xml><?xml version="1.0" encoding="utf-8"?>
<Properties xmlns="http://schemas.openxmlformats.org/officeDocument/2006/custom-properties" xmlns:vt="http://schemas.openxmlformats.org/officeDocument/2006/docPropsVTypes"/>
</file>