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jc w:val="center"/>
      </w:pPr>
      <w:r>
        <w:rPr>
          <w:b/>
          <w:bCs/>
          <w:color w:val="C8922A"/>
          <w:sz w:val="22"/>
          <w:szCs w:val="22"/>
        </w:rPr>
        <w:t xml:space="preserve">PLAN DE NEGOCIO Y EXPLOTACIÓN COMERCIAL</w:t>
      </w:r>
    </w:p>
    <w:p>
      <w:pPr>
        <w:spacing w:after="60" w:before="140"/>
        <w:jc w:val="center"/>
      </w:pPr>
      <w:r>
        <w:rPr>
          <w:b/>
          <w:bCs/>
          <w:color w:val="1C2535"/>
          <w:sz w:val="52"/>
          <w:szCs w:val="52"/>
        </w:rPr>
        <w:t xml:space="preserve">TrabFlow</w:t>
      </w:r>
    </w:p>
    <w:p>
      <w:pPr>
        <w:spacing w:after="260"/>
        <w:jc w:val="center"/>
      </w:pPr>
      <w:r>
        <w:rPr>
          <w:i/>
          <w:iCs/>
          <w:color w:val="444444"/>
          <w:sz w:val="20"/>
          <w:szCs w:val="20"/>
        </w:rPr>
        <w:t xml:space="preserve">Mercado, modelo de negocio, proyecciones financieras y estrategia de crecimiento</w:t>
      </w:r>
    </w:p>
    <w:p>
      <w:pPr>
        <w:spacing w:after="20"/>
        <w:jc w:val="center"/>
      </w:pPr>
      <w:r>
        <w:rPr>
          <w:color w:val="555555"/>
          <w:sz w:val="16"/>
          <w:szCs w:val="16"/>
        </w:rPr>
        <w:t xml:space="preserve">Documento complementario a la Memoria Técnica de I+D+i para SODERCAN/CDTI/ENISA e inversores</w:t>
      </w:r>
    </w:p>
    <w:p>
      <w:pPr>
        <w:spacing w:before="700"/>
      </w:pP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63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Campo</w:t>
            </w:r>
          </w:p>
        </w:tc>
        <w:tc>
          <w:tcPr>
            <w:tcW w:type="dxa" w:w="6300"/>
            <w:shd w:fill="1C2535" w:val="clear"/>
            <w:tcMar>
              <w:top w:type="dxa" w:w="80"/>
              <w:left w:type="dxa" w:w="100"/>
              <w:bottom w:type="dxa" w:w="80"/>
              <w:right w:type="dxa" w:w="100"/>
            </w:tcMar>
            <w:vAlign w:val="center"/>
          </w:tcPr>
          <w:p>
            <w:pPr>
              <w:jc w:val="left"/>
            </w:pPr>
            <w:r>
              <w:rPr>
                <w:b/>
                <w:bCs/>
                <w:color w:val="FFFFFF"/>
                <w:sz w:val="18"/>
                <w:szCs w:val="18"/>
              </w:rPr>
              <w:t xml:space="preserve">Valor</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Proyecto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TradeFlow / TrabFlow</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Promotor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TrabFlow Technologies, S.L. (en constitución)</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Domicilio social previsto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 Varas, 69 · 39699 Castillo Pedroso, Corvera de Toranzo, Cantabria</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CEO y Administrador</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Fernando Carbonell Cabo</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contacto@trabflow.com · 672 336 572 · trabflow.com</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Versión del documento</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v1.0</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Fecha</w:t>
            </w:r>
          </w:p>
        </w:tc>
        <w:tc>
          <w:tcPr>
            <w:tcW w:type="dxa" w:w="6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Julio 2026</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Clasificación</w:t>
            </w:r>
          </w:p>
        </w:tc>
        <w:tc>
          <w:tcPr>
            <w:tcW w:type="dxa" w:w="6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Confidencial</w:t>
            </w:r>
          </w:p>
        </w:tc>
      </w:tr>
    </w:tbl>
    <w:p>
      <w:pPr>
        <w:spacing w:before="500"/>
        <w:jc w:val="center"/>
      </w:pPr>
      <w:r>
        <w:rPr>
          <w:i/>
          <w:iCs/>
          <w:color w:val="999999"/>
          <w:sz w:val="15"/>
          <w:szCs w:val="15"/>
        </w:rPr>
        <w:t xml:space="preserve">Documento confidencial. Distribución restringida a evaluadores institucionales, inversores y personal autorizado.</w:t>
      </w:r>
    </w:p>
    <w:p>
      <w:pPr>
        <w:pageBreakBefore/>
      </w:pPr>
      <w:r>
        <w:rPr>
          <w:b/>
          <w:bCs/>
          <w:color w:val="1C2535"/>
          <w:sz w:val="30"/>
          <w:szCs w:val="30"/>
        </w:rPr>
        <w:t xml:space="preserve">ÍNDICE</w:t>
      </w:r>
    </w:p>
    <w:p>
      <w:pPr>
        <w:spacing w:after="200"/>
      </w:pP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spacing w:after="240" w:before="200"/>
      </w:pPr>
      <w:r>
        <w:rPr>
          <w:b/>
          <w:bCs/>
          <w:color w:val="1C2535"/>
          <w:sz w:val="30"/>
          <w:szCs w:val="30"/>
        </w:rPr>
        <w:t xml:space="preserve">1. Resumen ejecutivo</w:t>
      </w:r>
    </w:p>
    <w:p>
      <w:pPr>
        <w:spacing w:after="150" w:line="270"/>
        <w:jc w:val="both"/>
      </w:pPr>
      <w:r>
        <w:rPr>
          <w:color w:val="222222"/>
          <w:sz w:val="20"/>
          <w:szCs w:val="20"/>
        </w:rPr>
        <w:t xml:space="preserve">TrabFlow es el sistema operativo de inteligencia artificial del instalador autónomo: una plataforma SaaS vertical que convierte la descripción hablada de un trabajo de electricidad, fontanería, climatización o cualquier otro oficio técnico en un presupuesto profesional con precios reales de mercado, en menos de tres minutos, integrando facturación conforme a VeriFactu y gestión de mantenimientos. No es, y no debe presentarse como, una herramienta de facturación: es una plataforma de interpretación de lenguaje de oficio que estructura el trabajo del instalador de principio a fin.</w:t>
      </w:r>
    </w:p>
    <w:p>
      <w:pPr>
        <w:pStyle w:val="Heading2"/>
        <w:spacing w:after="150" w:before="300"/>
      </w:pPr>
      <w:r>
        <w:rPr>
          <w:b/>
          <w:bCs/>
          <w:color w:val="1A5A96"/>
          <w:sz w:val="24"/>
          <w:szCs w:val="24"/>
        </w:rPr>
        <w:t xml:space="preserve">1.1. Por qué ahora</w:t>
      </w:r>
    </w:p>
    <w:p>
      <w:pPr>
        <w:spacing w:after="150" w:line="270"/>
        <w:jc w:val="both"/>
      </w:pPr>
      <w:r>
        <w:rPr>
          <w:color w:val="222222"/>
          <w:sz w:val="20"/>
          <w:szCs w:val="20"/>
        </w:rPr>
        <w:t xml:space="preserve">Tres factores convergen de forma simultánea: la obligatoriedad de facturación electrónica verificable (VeriFactu, RD 1007/2023) fuerza la renovación tecnológica del sector en 2026-2027; el coste de inferencia de los modelos de lenguaje de gran escala ha alcanzado un nivel compatible con un SaaS de bajo ticket medio; y no existe hoy un actor dominante de software vertical para oficios técnicos en español, a diferencia del mercado anglosajón, donde este mismo vertical ya ha generado varias compañías de valoración superior a los mil millones de euros.</w:t>
      </w:r>
    </w:p>
    <w:p>
      <w:pPr>
        <w:pStyle w:val="Heading2"/>
        <w:spacing w:after="150" w:before="300"/>
      </w:pPr>
      <w:r>
        <w:rPr>
          <w:b/>
          <w:bCs/>
          <w:color w:val="1A5A96"/>
          <w:sz w:val="24"/>
          <w:szCs w:val="24"/>
        </w:rPr>
        <w:t xml:space="preserve">1.2. Cifras clave</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5200"/>
        <w:gridCol w:w="4100"/>
      </w:tblGrid>
      <w:tr>
        <w:trPr>
          <w:cantSplit/>
          <w:tblHeader/>
        </w:trPr>
        <w:tc>
          <w:tcPr>
            <w:tcW w:type="dxa" w:w="52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4100"/>
            <w:shd w:fill="1C2535" w:val="clear"/>
            <w:tcMar>
              <w:top w:type="dxa" w:w="80"/>
              <w:left w:type="dxa" w:w="100"/>
              <w:bottom w:type="dxa" w:w="80"/>
              <w:right w:type="dxa" w:w="100"/>
            </w:tcMar>
            <w:vAlign w:val="center"/>
          </w:tcPr>
          <w:p>
            <w:pPr>
              <w:jc w:val="left"/>
            </w:pPr>
            <w:r>
              <w:rPr>
                <w:b/>
                <w:bCs/>
                <w:color w:val="FFFFFF"/>
                <w:sz w:val="18"/>
                <w:szCs w:val="18"/>
              </w:rPr>
              <w:t xml:space="preserve">Valor</w:t>
            </w:r>
          </w:p>
        </w:tc>
      </w:tr>
      <w:tr>
        <w:trPr>
          <w:cantSplit/>
        </w:trPr>
        <w:tc>
          <w:tcPr>
            <w:tcW w:type="dxa" w:w="5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Autónomos registrados en España (dic. 2025)</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3.431.797</w:t>
            </w:r>
          </w:p>
        </w:tc>
      </w:tr>
      <w:tr>
        <w:trPr>
          <w:cantSplit/>
        </w:trPr>
        <w:tc>
          <w:tcPr>
            <w:tcW w:type="dxa" w:w="5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Empresas instaladoras (CONAIF + FENIE)</w:t>
            </w:r>
          </w:p>
        </w:tc>
        <w:tc>
          <w:tcPr>
            <w:tcW w:type="dxa" w:w="4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35.000+</w:t>
            </w:r>
          </w:p>
        </w:tc>
      </w:tr>
      <w:tr>
        <w:trPr>
          <w:cantSplit/>
        </w:trPr>
        <w:tc>
          <w:tcPr>
            <w:tcW w:type="dxa" w:w="5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Facturación anual del gremio de instalaciones</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&gt; 11.500 M€</w:t>
            </w:r>
          </w:p>
        </w:tc>
      </w:tr>
      <w:tr>
        <w:trPr>
          <w:cantSplit/>
        </w:trPr>
        <w:tc>
          <w:tcPr>
            <w:tcW w:type="dxa" w:w="5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Penetración de IA entre autónomos del sector (UPTA)</w:t>
            </w:r>
          </w:p>
        </w:tc>
        <w:tc>
          <w:tcPr>
            <w:tcW w:type="dxa" w:w="4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20%</w:t>
            </w:r>
          </w:p>
        </w:tc>
      </w:tr>
      <w:tr>
        <w:trPr>
          <w:cantSplit/>
        </w:trPr>
        <w:tc>
          <w:tcPr>
            <w:tcW w:type="dxa" w:w="5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TAM — España + LATAM</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480 M€ de ARR potencial</w:t>
            </w:r>
          </w:p>
        </w:tc>
      </w:tr>
      <w:tr>
        <w:trPr>
          <w:cantSplit/>
        </w:trPr>
        <w:tc>
          <w:tcPr>
            <w:tcW w:type="dxa" w:w="5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SAM — realista a 3 años (1-2% de penetración)</w:t>
            </w:r>
          </w:p>
        </w:tc>
        <w:tc>
          <w:tcPr>
            <w:tcW w:type="dxa" w:w="4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8-15 M€ de ARR</w:t>
            </w:r>
          </w:p>
        </w:tc>
      </w:tr>
      <w:tr>
        <w:trPr>
          <w:cantSplit/>
        </w:trPr>
        <w:tc>
          <w:tcPr>
            <w:tcW w:type="dxa" w:w="5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SOM — objetivo año 3 (escenario base)</w:t>
            </w:r>
          </w:p>
        </w:tc>
        <w:tc>
          <w:tcPr>
            <w:tcW w:type="dxa" w:w="4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318.077 € de ARR · 541 clientes</w:t>
            </w:r>
          </w:p>
        </w:tc>
      </w:tr>
      <w:tr>
        <w:trPr>
          <w:cantSplit/>
        </w:trPr>
        <w:tc>
          <w:tcPr>
            <w:tcW w:type="dxa" w:w="5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Ratio LTV:CAC (escenario base)</w:t>
            </w:r>
          </w:p>
        </w:tc>
        <w:tc>
          <w:tcPr>
            <w:tcW w:type="dxa" w:w="4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18,3x</w:t>
            </w:r>
          </w:p>
        </w:tc>
      </w:tr>
    </w:tbl>
    <w:p>
      <w:pPr>
        <w:pStyle w:val="Heading2"/>
        <w:spacing w:after="150" w:before="300"/>
      </w:pPr>
      <w:r>
        <w:rPr>
          <w:b/>
          <w:bCs/>
          <w:color w:val="1A5A96"/>
          <w:sz w:val="24"/>
          <w:szCs w:val="24"/>
        </w:rPr>
        <w:t xml:space="preserve">1.3. Qué se busca</w:t>
      </w:r>
    </w:p>
    <w:p>
      <w:pPr>
        <w:spacing w:after="150" w:line="270"/>
        <w:jc w:val="both"/>
      </w:pPr>
      <w:r>
        <w:rPr>
          <w:color w:val="222222"/>
          <w:sz w:val="20"/>
          <w:szCs w:val="20"/>
        </w:rPr>
        <w:t xml:space="preserve">En su fase actual, TrabFlow busca financiación no dilutiva (SODERCAN, CDTI, ENISA, Kit Digital) para completar la validación técnica del motor de IA y ejecutar la beta cerrada con usuarios reales, como paso previo a una ronda de capital semilla de entre 300.000 € y 500.000 € una vez alcanzados los primeros 100 clientes de pago y un canal de adquisición repetible.</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CIFRAS DE TRACCIÓN REAL</w:t>
            </w:r>
          </w:p>
          <w:p>
            <w:pPr>
              <w:jc w:val="both"/>
            </w:pPr>
            <w:r>
              <w:rPr>
                <w:i/>
                <w:iCs/>
                <w:color w:val="3A3A3A"/>
                <w:sz w:val="18"/>
                <w:szCs w:val="18"/>
              </w:rPr>
              <w:t xml:space="preserve">Las cifras de mercado y unit economics de este resumen ejecutivo proceden del modelo financiero y del análisis de mercado del proyecto; no incluyen todavía datos de tracción real con clientes de pago, que se incorporarán tras la ejecución de la beta cerrada descrita en el Plan de Validación Tecnológica. Cualquier presentación de este documento a un inversor o evaluador debe mantener esta distinción explícita entre proyección y resultado ya obtenido.</w:t>
            </w:r>
          </w:p>
        </w:tc>
      </w:tr>
    </w:tbl>
    <w:p>
      <w:pPr>
        <w:pStyle w:val="Heading1"/>
        <w:pageBreakBefore/>
        <w:spacing w:after="240" w:before="200"/>
      </w:pPr>
      <w:r>
        <w:rPr>
          <w:b/>
          <w:bCs/>
          <w:color w:val="1C2535"/>
          <w:sz w:val="30"/>
          <w:szCs w:val="30"/>
        </w:rPr>
        <w:t xml:space="preserve">2. El problema y la oportunidad de mercado</w:t>
      </w:r>
    </w:p>
    <w:p>
      <w:pPr>
        <w:pStyle w:val="Heading2"/>
        <w:spacing w:after="150" w:before="300"/>
      </w:pPr>
      <w:r>
        <w:rPr>
          <w:b/>
          <w:bCs/>
          <w:color w:val="1A5A96"/>
          <w:sz w:val="24"/>
          <w:szCs w:val="24"/>
        </w:rPr>
        <w:t xml:space="preserve">2.1. El problema</w:t>
      </w:r>
    </w:p>
    <w:p>
      <w:pPr>
        <w:spacing w:after="150" w:line="270"/>
        <w:jc w:val="both"/>
      </w:pPr>
      <w:r>
        <w:rPr>
          <w:color w:val="222222"/>
          <w:sz w:val="20"/>
          <w:szCs w:val="20"/>
        </w:rPr>
        <w:t xml:space="preserve">El instalador autónomo o la microempresa de instalaciones en España —más de 650.000 profesionales, dentro de un colectivo de 3.431.797 autónomos registrados a diciembre de 2025— dedica de forma recurrente entre dos y cuatro horas diarias a tareas administrativas no facturables: elaboración manual de presupuestos, control de cobros, generación de facturas en hojas de cálculo y coordinación telefónica de visitas. Este colectivo trabaja mayoritariamente desde el vehículo o la obra, con conectividad limitada, sin formación digital avanzada y con fuerte dependencia de canales informales (WhatsApp, llamada telefónica).</w:t>
      </w:r>
    </w:p>
    <w:p>
      <w:pPr>
        <w:pStyle w:val="Heading2"/>
        <w:spacing w:after="150" w:before="300"/>
      </w:pPr>
      <w:r>
        <w:rPr>
          <w:b/>
          <w:bCs/>
          <w:color w:val="1A5A96"/>
          <w:sz w:val="24"/>
          <w:szCs w:val="24"/>
        </w:rPr>
        <w:t xml:space="preserve">2.2. Dimensión del mercado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200"/>
        <w:gridCol w:w="3000"/>
        <w:gridCol w:w="2100"/>
      </w:tblGrid>
      <w:tr>
        <w:trPr>
          <w:cantSplit/>
          <w:tblHeader/>
        </w:trPr>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Segmento</w:t>
            </w:r>
          </w:p>
        </w:tc>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Tamaño</w:t>
            </w:r>
          </w:p>
        </w:tc>
        <w:tc>
          <w:tcPr>
            <w:tcW w:type="dxa" w:w="2100"/>
            <w:shd w:fill="1C2535" w:val="clear"/>
            <w:tcMar>
              <w:top w:type="dxa" w:w="80"/>
              <w:left w:type="dxa" w:w="100"/>
              <w:bottom w:type="dxa" w:w="80"/>
              <w:right w:type="dxa" w:w="100"/>
            </w:tcMar>
            <w:vAlign w:val="center"/>
          </w:tcPr>
          <w:p>
            <w:pPr>
              <w:jc w:val="left"/>
            </w:pPr>
            <w:r>
              <w:rPr>
                <w:b/>
                <w:bCs/>
                <w:color w:val="FFFFFF"/>
                <w:sz w:val="18"/>
                <w:szCs w:val="18"/>
              </w:rPr>
              <w:t xml:space="preserve">Horizonte</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TAM — España + LATAM</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480 M€ de ARR potencial</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Mercado total direccionable</w:t>
            </w:r>
          </w:p>
        </w:tc>
      </w:tr>
      <w:tr>
        <w:trPr>
          <w:cantSplit/>
        </w:trPr>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SAM — realista a 3 años (1-2% de penetración)</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8-15 M€ de ARR</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Mercado servible con el canal y producto actuales</w:t>
            </w:r>
          </w:p>
        </w:tc>
      </w:tr>
      <w:tr>
        <w:trPr>
          <w:cantSplit/>
        </w:trPr>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SOM — objetivo año 3 (escenario base)</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318.077 € de ARR · 541 clientes activos</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Objetivo del modelo financiero reconciliado</w:t>
            </w:r>
          </w:p>
        </w:tc>
      </w:tr>
    </w:tbl>
    <w:p>
      <w:pPr>
        <w:spacing w:after="150" w:line="270"/>
        <w:jc w:val="both"/>
      </w:pPr>
      <w:r>
        <w:rPr>
          <w:color w:val="222222"/>
          <w:sz w:val="20"/>
          <w:szCs w:val="20"/>
        </w:rPr>
        <w:t xml:space="preserve">La brecha de digitalización es el dato más relevante para justificar la oportunidad: solo un 20% de los autónomos españoles usa hoy herramientas de inteligencia artificial de forma regular (dato UPTA), en un colectivo que factura en conjunto más de 11.500 millones de euros anuales solo en el sector de instalaciones.</w:t>
      </w:r>
    </w:p>
    <w:p>
      <w:pPr>
        <w:pStyle w:val="Heading2"/>
        <w:spacing w:after="150" w:before="300"/>
      </w:pPr>
      <w:r>
        <w:rPr>
          <w:b/>
          <w:bCs/>
          <w:color w:val="1A5A96"/>
          <w:sz w:val="24"/>
          <w:szCs w:val="24"/>
        </w:rPr>
        <w:t xml:space="preserve">2.3. Validación externa del tamaño de la oportunidad — comparables del sector</w:t>
      </w:r>
    </w:p>
    <w:p>
      <w:pPr>
        <w:spacing w:after="150" w:line="270"/>
        <w:jc w:val="both"/>
      </w:pPr>
      <w:r>
        <w:rPr>
          <w:color w:val="222222"/>
          <w:sz w:val="20"/>
          <w:szCs w:val="20"/>
        </w:rPr>
        <w:t xml:space="preserve">El vertical de software para oficios técnicos y field service management ya ha demostrado, en el mercado anglosajón, capacidad de generar compañías de escala excepcional, lo que constituye la referencia más sólida disponible para argumentar el potencial de esta categoría ante un inversor o evaluador que no conozca el sector de antemano: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3600"/>
        <w:gridCol w:w="33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Compañía</w:t>
            </w:r>
          </w:p>
        </w:tc>
        <w:tc>
          <w:tcPr>
            <w:tcW w:type="dxa" w:w="36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Hito de valoración o ingresos</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ServiceTitan</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enterprise (EE. UU.)</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1.000 M$ de ARR · ≈ 7.000 M€ de capitalización (cotizada en bolsa desde 2024)</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Jobber</w:t>
            </w:r>
          </w:p>
        </w:tc>
        <w:tc>
          <w:tcPr>
            <w:tcW w:type="dxa" w:w="3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(Canadá/EE. UU.)</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167,5 M$ de ingresos en 2024</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Holded</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Gestión y facturación para pymes (España)</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Adquirida por Visma por más de 120 M€ (2021)</w:t>
            </w:r>
          </w:p>
        </w:tc>
      </w:tr>
    </w:tbl>
    <w:p>
      <w:pPr>
        <w:spacing w:after="150" w:line="270"/>
        <w:jc w:val="both"/>
      </w:pPr>
      <w:r>
        <w:rPr>
          <w:i/>
          <w:iCs/>
          <w:color w:val="222222"/>
          <w:sz w:val="20"/>
          <w:szCs w:val="20"/>
        </w:rPr>
        <w:t xml:space="preserve">Ninguna de estas tres compañías, sin embargo, resuelve el problema específico de TrabFlow —la interpretación de lenguaje ambiguo de oficio en español, con integración de catálogo de materiales y cumplimiento normativo local—, lo que confirma tanto la magnitud de la categoría de mercado como la existencia de un hueco no cubierto en el segmento hispanohablante.</w:t>
      </w:r>
    </w:p>
    <w:p>
      <w:pPr>
        <w:pStyle w:val="Heading1"/>
        <w:pageBreakBefore/>
        <w:spacing w:after="240" w:before="200"/>
      </w:pPr>
      <w:r>
        <w:rPr>
          <w:b/>
          <w:bCs/>
          <w:color w:val="1C2535"/>
          <w:sz w:val="30"/>
          <w:szCs w:val="30"/>
        </w:rPr>
        <w:t xml:space="preserve">3. Panorama competitivo</w:t>
      </w:r>
    </w:p>
    <w:p>
      <w:pPr>
        <w:spacing w:after="150" w:line="270"/>
        <w:jc w:val="both"/>
      </w:pPr>
      <w:r>
        <w:rPr>
          <w:color w:val="222222"/>
          <w:sz w:val="20"/>
          <w:szCs w:val="20"/>
        </w:rPr>
        <w:t xml:space="preserve">Lo horizontal no habla el idioma del instalador: ningún competidor combina especialización de oficio, generación de presupuestos por voz e integración normativa española.</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2900"/>
        <w:gridCol w:w="38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Competidor</w:t>
            </w:r>
          </w:p>
        </w:tc>
        <w:tc>
          <w:tcPr>
            <w:tcW w:type="dxa" w:w="29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3800"/>
            <w:shd w:fill="1C2535" w:val="clear"/>
            <w:tcMar>
              <w:top w:type="dxa" w:w="80"/>
              <w:left w:type="dxa" w:w="100"/>
              <w:bottom w:type="dxa" w:w="80"/>
              <w:right w:type="dxa" w:w="100"/>
            </w:tcMar>
            <w:vAlign w:val="center"/>
          </w:tcPr>
          <w:p>
            <w:pPr>
              <w:jc w:val="left"/>
            </w:pPr>
            <w:r>
              <w:rPr>
                <w:b/>
                <w:bCs/>
                <w:color w:val="FFFFFF"/>
                <w:sz w:val="18"/>
                <w:szCs w:val="18"/>
              </w:rPr>
              <w:t xml:space="preserve">Por qué no encaja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Billin / Quipu / Holded</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Facturación genérica para autónomos</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Sin presupuestos de obra, sin lenguaje de oficio, sin flujo por WhatsApp</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Suma / Factorial</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Gestión de autónomos y RRHH</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Pensado para oficina, no para la furgoneta o la obra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Jobber / Housecall Pro</w:t>
            </w:r>
          </w:p>
        </w:tc>
        <w:tc>
          <w:tcPr>
            <w:tcW w:type="dxa" w:w="2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(Reino Unido / EE. UU.)</w:t>
            </w:r>
          </w:p>
        </w:tc>
        <w:tc>
          <w:tcPr>
            <w:tcW w:type="dxa" w:w="38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Solo en inglés, sin adaptación fiscal ni normativa a España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ServiceTitan</w:t>
            </w:r>
          </w:p>
        </w:tc>
        <w:tc>
          <w:tcPr>
            <w:tcW w:type="dxa" w:w="2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Field service management enterprise</w:t>
            </w:r>
          </w:p>
        </w:tc>
        <w:tc>
          <w:tcPr>
            <w:tcW w:type="dxa" w:w="38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Caro y complejo para una microempresa de uno a cinco operarios</w:t>
            </w:r>
          </w:p>
        </w:tc>
      </w:tr>
    </w:tbl>
    <w:p>
      <w:pPr>
        <w:pStyle w:val="Heading1"/>
        <w:pageBreakBefore/>
        <w:spacing w:after="240" w:before="200"/>
      </w:pPr>
      <w:r>
        <w:rPr>
          <w:b/>
          <w:bCs/>
          <w:color w:val="1C2535"/>
          <w:sz w:val="30"/>
          <w:szCs w:val="30"/>
        </w:rPr>
        <w:t xml:space="preserve">4. Producto y visión</w:t>
      </w:r>
    </w:p>
    <w:p>
      <w:pPr>
        <w:pStyle w:val="Heading2"/>
        <w:spacing w:after="150" w:before="300"/>
      </w:pPr>
      <w:r>
        <w:rPr>
          <w:b/>
          <w:bCs/>
          <w:color w:val="1A5A96"/>
          <w:sz w:val="24"/>
          <w:szCs w:val="24"/>
        </w:rPr>
        <w:t xml:space="preserve">4.1. Posicionamiento</w:t>
      </w:r>
    </w:p>
    <w:p>
      <w:pPr>
        <w:spacing w:after="150" w:line="270"/>
        <w:jc w:val="both"/>
      </w:pPr>
      <w:r>
        <w:rPr>
          <w:color w:val="222222"/>
          <w:sz w:val="20"/>
          <w:szCs w:val="20"/>
        </w:rPr>
        <w:t xml:space="preserve">Una decisión estratégica de fondo condiciona toda la narrativa comercial y de captación de este plan: TrabFlow no debe posicionarse como «software de facturación para instaladores». Ese posicionamiento limita el múltiplo de valoración percibido, reduce el tamaño de mercado atribuible al proyecto y no refleja la naturaleza real del producto. El posicionamiento correcto es el de sistema operativo del instalador autónomo (o, en términos de mercado internacional, AI operating system for tradespeople): una plataforma que gestiona el ciclo completo de vida de un trabajo —desde la interpretación de la petición hasta el cobro— y no una utilidad de back-office.</w:t>
      </w:r>
    </w:p>
    <w:p>
      <w:pPr>
        <w:pStyle w:val="Heading2"/>
        <w:spacing w:after="150" w:before="300"/>
      </w:pPr>
      <w:r>
        <w:rPr>
          <w:b/>
          <w:bCs/>
          <w:color w:val="1A5A96"/>
          <w:sz w:val="24"/>
          <w:szCs w:val="24"/>
        </w:rPr>
        <w:t xml:space="preserve">4.2. Qué hace</w:t>
      </w:r>
    </w:p>
    <w:p>
      <w:pPr>
        <w:spacing w:after="150" w:line="270"/>
        <w:jc w:val="both"/>
      </w:pPr>
      <w:r>
        <w:rPr>
          <w:color w:val="222222"/>
          <w:sz w:val="20"/>
          <w:szCs w:val="20"/>
        </w:rPr>
        <w:t xml:space="preserve">El instalador describe el trabajo por voz; la plataforma transcribe, identifica el oficio y la actuación, recupera el precio real de mercado de su base de conocimiento propia (Base Maestra, más de 2.000 acciones normalizadas en 20 oficios) y genera un presupuesto estructurado. Tras la aceptación del cliente, TrabFlow crea automáticamente el trabajo, optimiza la ruta diaria por GPS si hay varios trabajos el mismo día, genera partes de trabajo recurrentes para contratos de mantenimiento, y emite la factura conforme a VeriFactu.</w:t>
      </w:r>
    </w:p>
    <w:p>
      <w:pPr>
        <w:pStyle w:val="Heading2"/>
        <w:spacing w:after="150" w:before="300"/>
      </w:pPr>
      <w:r>
        <w:rPr>
          <w:b/>
          <w:bCs/>
          <w:color w:val="1A5A96"/>
          <w:sz w:val="24"/>
          <w:szCs w:val="24"/>
        </w:rPr>
        <w:t xml:space="preserve">4.3. Visión a largo plazo</w:t>
      </w:r>
    </w:p>
    <w:p>
      <w:pPr>
        <w:spacing w:after="150" w:line="270"/>
        <w:jc w:val="both"/>
      </w:pPr>
      <w:r>
        <w:rPr>
          <w:color w:val="222222"/>
          <w:sz w:val="20"/>
          <w:szCs w:val="20"/>
        </w:rPr>
        <w:t xml:space="preserve">La visión del proyecto no se limita al presupuesto: la misma infraestructura de interpretación de lenguaje de dominio específico, recuperación normativa auditable y catálogo multi-proveedor es extensible a verticales adyacentes con necesidades análogas de digitalización asistida por IA —certificación energética, gestión inmobiliaria, hostelería—, lo que convierte a TrabFlow Technologies en una matriz tecnológica con capacidad de licenciar su infraestructura a nuevas unidades de negocio, no en un producto de nicho único.</w:t>
      </w:r>
    </w:p>
    <w:p>
      <w:pPr>
        <w:pStyle w:val="Heading1"/>
        <w:pageBreakBefore/>
        <w:spacing w:after="240" w:before="200"/>
      </w:pPr>
      <w:r>
        <w:rPr>
          <w:b/>
          <w:bCs/>
          <w:color w:val="1C2535"/>
          <w:sz w:val="30"/>
          <w:szCs w:val="30"/>
        </w:rPr>
        <w:t xml:space="preserve">5. Modelo de negocio SaaS</w:t>
      </w:r>
    </w:p>
    <w:p>
      <w:pPr>
        <w:pStyle w:val="Heading2"/>
        <w:spacing w:after="150" w:before="300"/>
      </w:pPr>
      <w:r>
        <w:rPr>
          <w:b/>
          <w:bCs/>
          <w:color w:val="1A5A96"/>
          <w:sz w:val="24"/>
          <w:szCs w:val="24"/>
        </w:rPr>
        <w:t xml:space="preserve">5.1. Estructura de planes</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3000"/>
        <w:gridCol w:w="2100"/>
        <w:gridCol w:w="4200"/>
      </w:tblGrid>
      <w:tr>
        <w:trPr>
          <w:cantSplit/>
          <w:tblHeader/>
        </w:trPr>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Plan</w:t>
            </w:r>
          </w:p>
        </w:tc>
        <w:tc>
          <w:tcPr>
            <w:tcW w:type="dxa" w:w="2100"/>
            <w:shd w:fill="1C2535" w:val="clear"/>
            <w:tcMar>
              <w:top w:type="dxa" w:w="80"/>
              <w:left w:type="dxa" w:w="100"/>
              <w:bottom w:type="dxa" w:w="80"/>
              <w:right w:type="dxa" w:w="100"/>
            </w:tcMar>
            <w:vAlign w:val="center"/>
          </w:tcPr>
          <w:p>
            <w:pPr>
              <w:jc w:val="left"/>
            </w:pPr>
            <w:r>
              <w:rPr>
                <w:b/>
                <w:bCs/>
                <w:color w:val="FFFFFF"/>
                <w:sz w:val="18"/>
                <w:szCs w:val="18"/>
              </w:rPr>
              <w:t xml:space="preserve">Precio</w:t>
            </w:r>
          </w:p>
        </w:tc>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Alcance</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Básico (oculto, solo win-back)</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29 €/mes</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 usuario, funcionalidad reducida</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Profesional (entrada pública)</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49 €/mes</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 usuario, presupuestos ilimitados, facturación</w:t>
            </w:r>
          </w:p>
        </w:tc>
      </w:tr>
      <w:tr>
        <w:trPr>
          <w:cantSplit/>
        </w:trPr>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Empresa</w:t>
            </w:r>
          </w:p>
        </w:tc>
        <w:tc>
          <w:tcPr>
            <w:tcW w:type="dxa" w:w="2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89 €/mes</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Hasta 5 usuarios, soporte prioritario</w:t>
            </w:r>
          </w:p>
        </w:tc>
      </w:tr>
      <w:tr>
        <w:trPr>
          <w:cantSplit/>
        </w:trPr>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Empresa+</w:t>
            </w:r>
          </w:p>
        </w:tc>
        <w:tc>
          <w:tcPr>
            <w:tcW w:type="dxa" w:w="2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179 €/mes</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Hasta 15 usuarios, todos los módulos</w:t>
            </w:r>
          </w:p>
        </w:tc>
      </w:tr>
    </w:tbl>
    <w:p>
      <w:pPr>
        <w:pStyle w:val="Heading2"/>
        <w:spacing w:after="150" w:before="300"/>
      </w:pPr>
      <w:r>
        <w:rPr>
          <w:b/>
          <w:bCs/>
          <w:color w:val="1A5A96"/>
          <w:sz w:val="24"/>
          <w:szCs w:val="24"/>
        </w:rPr>
        <w:t xml:space="preserve">5.2. Vías de expansión de ingreso por cliente</w:t>
      </w:r>
    </w:p>
    <w:p>
      <w:pPr>
        <w:spacing w:after="150" w:line="270"/>
        <w:jc w:val="both"/>
      </w:pPr>
      <w:r>
        <w:rPr>
          <w:color w:val="222222"/>
          <w:sz w:val="20"/>
          <w:szCs w:val="20"/>
        </w:rPr>
        <w:t xml:space="preserve">La pregunta que todo inversor formula ante un SaaS de ticket de entrada bajo es cómo se pasa de 49 €/mes a un valor de vida (LTV) sensiblemente superior. TrabFlow contempla las siguientes palancas de expansión de ingreso, previstas en el diseño comercial aunque no todas activas en la fase actual del producto:</w:t>
      </w:r>
    </w:p>
    <w:p>
      <w:pPr>
        <w:spacing w:after="85"/>
        <w:ind w:left="340" w:hanging="220"/>
        <w:jc w:val="both"/>
      </w:pPr>
      <w:r>
        <w:rPr>
          <w:b/>
          <w:bCs/>
          <w:color w:val="1A5A96"/>
          <w:sz w:val="20"/>
          <w:szCs w:val="20"/>
        </w:rPr>
        <w:t xml:space="preserve">•  </w:t>
      </w:r>
      <w:r>
        <w:rPr>
          <w:sz w:val="20"/>
          <w:szCs w:val="20"/>
        </w:rPr>
        <w:t xml:space="preserve">Usuarios adicionales por cuenta (planes Empresa y Empresa+).</w:t>
      </w:r>
    </w:p>
    <w:p>
      <w:pPr>
        <w:spacing w:after="85"/>
        <w:ind w:left="340" w:hanging="220"/>
        <w:jc w:val="both"/>
      </w:pPr>
      <w:r>
        <w:rPr>
          <w:b/>
          <w:bCs/>
          <w:color w:val="1A5A96"/>
          <w:sz w:val="20"/>
          <w:szCs w:val="20"/>
        </w:rPr>
        <w:t xml:space="preserve">•  </w:t>
      </w:r>
      <w:r>
        <w:rPr>
          <w:sz w:val="20"/>
          <w:szCs w:val="20"/>
        </w:rPr>
        <w:t xml:space="preserve">Módulos de IA avanzada (automatización de WhatsApp, plantillas premium).</w:t>
      </w:r>
    </w:p>
    <w:p>
      <w:pPr>
        <w:spacing w:after="85"/>
        <w:ind w:left="340" w:hanging="220"/>
        <w:jc w:val="both"/>
      </w:pPr>
      <w:r>
        <w:rPr>
          <w:b/>
          <w:bCs/>
          <w:color w:val="1A5A96"/>
          <w:sz w:val="20"/>
          <w:szCs w:val="20"/>
        </w:rPr>
        <w:t xml:space="preserve">•  </w:t>
      </w:r>
      <w:r>
        <w:rPr>
          <w:sz w:val="20"/>
          <w:szCs w:val="20"/>
        </w:rPr>
        <w:t xml:space="preserve">Marketplace de proveedores: comisión sobre el volumen de material canalizado a través de los presupuestos.</w:t>
      </w:r>
    </w:p>
    <w:p>
      <w:pPr>
        <w:spacing w:after="85"/>
        <w:ind w:left="340" w:hanging="220"/>
        <w:jc w:val="both"/>
      </w:pPr>
      <w:r>
        <w:rPr>
          <w:b/>
          <w:bCs/>
          <w:color w:val="1A5A96"/>
          <w:sz w:val="20"/>
          <w:szCs w:val="20"/>
        </w:rPr>
        <w:t xml:space="preserve">•  </w:t>
      </w:r>
      <w:r>
        <w:rPr>
          <w:sz w:val="20"/>
          <w:szCs w:val="20"/>
        </w:rPr>
        <w:t xml:space="preserve">Financiación embebida para la compra de materiales por parte del instalador.</w:t>
      </w:r>
    </w:p>
    <w:p>
      <w:pPr>
        <w:spacing w:after="85"/>
        <w:ind w:left="340" w:hanging="220"/>
        <w:jc w:val="both"/>
      </w:pPr>
      <w:r>
        <w:rPr>
          <w:b/>
          <w:bCs/>
          <w:color w:val="1A5A96"/>
          <w:sz w:val="20"/>
          <w:szCs w:val="20"/>
        </w:rPr>
        <w:t xml:space="preserve">•  </w:t>
      </w:r>
      <w:r>
        <w:rPr>
          <w:sz w:val="20"/>
          <w:szCs w:val="20"/>
        </w:rPr>
        <w:t xml:space="preserve">Integraciones con ERP de terceros para empresas de instalación de mayor tamaño.</w:t>
      </w:r>
    </w:p>
    <w:p>
      <w:pPr>
        <w:spacing w:after="85"/>
        <w:ind w:left="340" w:hanging="220"/>
        <w:jc w:val="both"/>
      </w:pPr>
      <w:r>
        <w:rPr>
          <w:b/>
          <w:bCs/>
          <w:color w:val="1A5A96"/>
          <w:sz w:val="20"/>
          <w:szCs w:val="20"/>
        </w:rPr>
        <w:t xml:space="preserve">•  </w:t>
      </w:r>
      <w:r>
        <w:rPr>
          <w:sz w:val="20"/>
          <w:szCs w:val="20"/>
        </w:rPr>
        <w:t xml:space="preserve">Gestión de subcontratas para empresas que coordinan varios oficios en un mismo proyecto.</w:t>
      </w:r>
    </w:p>
    <w:p>
      <w:pPr>
        <w:spacing w:after="85"/>
        <w:ind w:left="340" w:hanging="220"/>
        <w:jc w:val="both"/>
      </w:pPr>
      <w:r>
        <w:rPr>
          <w:b/>
          <w:bCs/>
          <w:color w:val="1A5A96"/>
          <w:sz w:val="20"/>
          <w:szCs w:val="20"/>
        </w:rPr>
        <w:t xml:space="preserve">•  </w:t>
      </w:r>
      <w:r>
        <w:rPr>
          <w:sz w:val="20"/>
          <w:szCs w:val="20"/>
        </w:rPr>
        <w:t xml:space="preserve">Comisión de pagos y servicios financieros embebidos (embedded fintech) en fases posteriores del roadmap.</w:t>
      </w:r>
    </w:p>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ACTIVACIÓN DE LAS VÍAS DE EXPANSIÓN DE INGRESO</w:t>
            </w:r>
          </w:p>
          <w:p>
            <w:pPr>
              <w:jc w:val="both"/>
            </w:pPr>
            <w:r>
              <w:rPr>
                <w:i/>
                <w:iCs/>
                <w:color w:val="3A3A3A"/>
                <w:sz w:val="18"/>
                <w:szCs w:val="18"/>
              </w:rPr>
              <w:t xml:space="preserve">A fecha de esta memoria, las vías de expansión de ingreso descritas están previstas en el diseño comercial del producto, pero no activas ni monetizadas en la fase actual (validación de PMF con los planes base). No deben presentarse ante un evaluador o inversor como ingresos ya existentes.</w:t>
            </w:r>
          </w:p>
        </w:tc>
      </w:tr>
    </w:tbl>
    <w:p>
      <w:pPr>
        <w:pStyle w:val="Heading1"/>
        <w:pageBreakBefore/>
        <w:spacing w:after="240" w:before="200"/>
      </w:pPr>
      <w:r>
        <w:rPr>
          <w:b/>
          <w:bCs/>
          <w:color w:val="1C2535"/>
          <w:sz w:val="30"/>
          <w:szCs w:val="30"/>
        </w:rPr>
        <w:t xml:space="preserve">6. Unit economics y modelo financiero</w:t>
      </w:r>
    </w:p>
    <w:p>
      <w:pPr>
        <w:spacing w:after="150" w:line="270"/>
        <w:jc w:val="both"/>
      </w:pPr>
      <w:r>
        <w:rPr>
          <w:color w:val="222222"/>
          <w:sz w:val="20"/>
          <w:szCs w:val="20"/>
        </w:rPr>
        <w:t xml:space="preserve">El modelo financiero de TrabFlow está reconciliado a 36 meses en tres escenarios (conservador, base y agresivo), con hipótesis explícitas de adquisición, churn y coste de servicio. El propio modelo advierte, con honestidad metodológica relevante para un evaluador de I+D, que el ritmo de altas mensuales, el CAC y el churn son hipótesis de planificación pendientes de validación con cohortes reales —precisamente el objetivo de la beta cerrada descrita en el Plan de Validación Tecnológica— y no datos ya auditados.</w:t>
      </w:r>
    </w:p>
    <w:p>
      <w:pPr>
        <w:pStyle w:val="Heading2"/>
        <w:spacing w:after="150" w:before="300"/>
      </w:pPr>
      <w:r>
        <w:rPr>
          <w:b/>
          <w:bCs/>
          <w:color w:val="1A5A96"/>
          <w:sz w:val="24"/>
          <w:szCs w:val="24"/>
        </w:rPr>
        <w:t xml:space="preserve">6.1. Unit economics por escenario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2200"/>
        <w:gridCol w:w="2200"/>
        <w:gridCol w:w="23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Métrica</w:t>
            </w:r>
          </w:p>
        </w:tc>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Conservador</w:t>
            </w:r>
          </w:p>
        </w:tc>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Base</w:t>
            </w:r>
          </w:p>
        </w:tc>
        <w:tc>
          <w:tcPr>
            <w:tcW w:type="dxa" w:w="2300"/>
            <w:shd w:fill="1C2535" w:val="clear"/>
            <w:tcMar>
              <w:top w:type="dxa" w:w="80"/>
              <w:left w:type="dxa" w:w="100"/>
              <w:bottom w:type="dxa" w:w="80"/>
              <w:right w:type="dxa" w:w="100"/>
            </w:tcMar>
            <w:vAlign w:val="center"/>
          </w:tcPr>
          <w:p>
            <w:pPr>
              <w:jc w:val="left"/>
            </w:pPr>
            <w:r>
              <w:rPr>
                <w:b/>
                <w:bCs/>
                <w:color w:val="FFFFFF"/>
                <w:sz w:val="18"/>
                <w:szCs w:val="18"/>
              </w:rPr>
              <w:t xml:space="preserve">Agresivo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ARPU mensual</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45 €</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49 €</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60 €</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CAC por cliente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150 €</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120 €</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95 €</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Churn mensual</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3,5%</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2,0%</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1,5%</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LTV neto</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1.143 €</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2.200 €</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3.667 €</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Ratio LTV:CAC</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7,6x</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18,3x</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38,6x</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Payback del CAC</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3,75 meses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2,73 meses</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1,73 meses</w:t>
            </w:r>
          </w:p>
        </w:tc>
      </w:tr>
    </w:tbl>
    <w:p>
      <w:pPr>
        <w:spacing w:after="150" w:line="270"/>
        <w:jc w:val="both"/>
      </w:pPr>
      <w:r>
        <w:rPr>
          <w:i/>
          <w:iCs/>
          <w:color w:val="222222"/>
          <w:sz w:val="20"/>
          <w:szCs w:val="20"/>
        </w:rPr>
        <w:t xml:space="preserve">La referencia estándar del sector SaaS B2B considera saludable un ratio LTV:CAC superior a 3x; el escenario base de TrabFlow (18,3x) lo supera en más del doble de ese umbral, y el escenario conservador (7,6x) lo supera igualmente con margen. El margen bruto estimado se sitúa entre el 72% y el 95% según volumen, dado que el coste de infraestructura de IA por cliente (aproximadamente 5 €/mes) es muy inferior al ARPU en cualquiera de los tres escenarios.</w:t>
      </w:r>
    </w:p>
    <w:p>
      <w:pPr>
        <w:pStyle w:val="Heading2"/>
        <w:spacing w:after="150" w:before="300"/>
      </w:pPr>
      <w:r>
        <w:rPr>
          <w:b/>
          <w:bCs/>
          <w:color w:val="1A5A96"/>
          <w:sz w:val="24"/>
          <w:szCs w:val="24"/>
        </w:rPr>
        <w:t xml:space="preserve">6.2. Proyección de ingresos y rentabilidad — escenario base</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2300"/>
        <w:gridCol w:w="2300"/>
        <w:gridCol w:w="23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Indicador</w:t>
            </w:r>
          </w:p>
        </w:tc>
        <w:tc>
          <w:tcPr>
            <w:tcW w:type="dxa" w:w="2300"/>
            <w:shd w:fill="1C2535" w:val="clear"/>
            <w:tcMar>
              <w:top w:type="dxa" w:w="80"/>
              <w:left w:type="dxa" w:w="100"/>
              <w:bottom w:type="dxa" w:w="80"/>
              <w:right w:type="dxa" w:w="100"/>
            </w:tcMar>
            <w:vAlign w:val="center"/>
          </w:tcPr>
          <w:p>
            <w:pPr>
              <w:jc w:val="left"/>
            </w:pPr>
            <w:r>
              <w:rPr>
                <w:b/>
                <w:bCs/>
                <w:color w:val="FFFFFF"/>
                <w:sz w:val="18"/>
                <w:szCs w:val="18"/>
              </w:rPr>
              <w:t xml:space="preserve">Año 1</w:t>
            </w:r>
          </w:p>
        </w:tc>
        <w:tc>
          <w:tcPr>
            <w:tcW w:type="dxa" w:w="2300"/>
            <w:shd w:fill="1C2535" w:val="clear"/>
            <w:tcMar>
              <w:top w:type="dxa" w:w="80"/>
              <w:left w:type="dxa" w:w="100"/>
              <w:bottom w:type="dxa" w:w="80"/>
              <w:right w:type="dxa" w:w="100"/>
            </w:tcMar>
            <w:vAlign w:val="center"/>
          </w:tcPr>
          <w:p>
            <w:pPr>
              <w:jc w:val="left"/>
            </w:pPr>
            <w:r>
              <w:rPr>
                <w:b/>
                <w:bCs/>
                <w:color w:val="FFFFFF"/>
                <w:sz w:val="18"/>
                <w:szCs w:val="18"/>
              </w:rPr>
              <w:t xml:space="preserve">Año 2</w:t>
            </w:r>
          </w:p>
        </w:tc>
        <w:tc>
          <w:tcPr>
            <w:tcW w:type="dxa" w:w="2300"/>
            <w:shd w:fill="1C2535" w:val="clear"/>
            <w:tcMar>
              <w:top w:type="dxa" w:w="80"/>
              <w:left w:type="dxa" w:w="100"/>
              <w:bottom w:type="dxa" w:w="80"/>
              <w:right w:type="dxa" w:w="100"/>
            </w:tcMar>
            <w:vAlign w:val="center"/>
          </w:tcPr>
          <w:p>
            <w:pPr>
              <w:jc w:val="left"/>
            </w:pPr>
            <w:r>
              <w:rPr>
                <w:b/>
                <w:bCs/>
                <w:color w:val="FFFFFF"/>
                <w:sz w:val="18"/>
                <w:szCs w:val="18"/>
              </w:rPr>
              <w:t xml:space="preserve">Año 3</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ARR de cierre</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149.657 €</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244.025 €</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318.077 €</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Clientes activos de cierre</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desglosado en este documento</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 desglosado en este documento</w:t>
            </w:r>
          </w:p>
        </w:tc>
        <w:tc>
          <w:tcPr>
            <w:tcW w:type="dxa" w:w="2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541</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EBITDA (incl. CAC)</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desglosado en este documento</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No desglosado en este documento</w:t>
            </w:r>
          </w:p>
        </w:tc>
        <w:tc>
          <w:tcPr>
            <w:tcW w:type="dxa" w:w="2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191.676 € (margen 67,1%)</w:t>
            </w:r>
          </w:p>
        </w:tc>
      </w:tr>
    </w:tbl>
    <w:p>
      <w:pPr>
        <w:pStyle w:val="Heading2"/>
        <w:spacing w:after="150" w:before="300"/>
      </w:pPr>
      <w:r>
        <w:rPr>
          <w:b/>
          <w:bCs/>
          <w:color w:val="1A5A96"/>
          <w:sz w:val="24"/>
          <w:szCs w:val="24"/>
        </w:rPr>
        <w:t xml:space="preserve">6.3. Escenarios alternativos — año 3</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4700"/>
        <w:gridCol w:w="4600"/>
      </w:tblGrid>
      <w:tr>
        <w:trPr>
          <w:cantSplit/>
          <w:tblHeader/>
        </w:trPr>
        <w:tc>
          <w:tcPr>
            <w:tcW w:type="dxa" w:w="4700"/>
            <w:shd w:fill="1C2535" w:val="clear"/>
            <w:tcMar>
              <w:top w:type="dxa" w:w="80"/>
              <w:left w:type="dxa" w:w="100"/>
              <w:bottom w:type="dxa" w:w="80"/>
              <w:right w:type="dxa" w:w="100"/>
            </w:tcMar>
            <w:vAlign w:val="center"/>
          </w:tcPr>
          <w:p>
            <w:pPr>
              <w:jc w:val="left"/>
            </w:pPr>
            <w:r>
              <w:rPr>
                <w:b/>
                <w:bCs/>
                <w:color w:val="FFFFFF"/>
                <w:sz w:val="18"/>
                <w:szCs w:val="18"/>
              </w:rPr>
              <w:t xml:space="preserve">Escenario</w:t>
            </w:r>
          </w:p>
        </w:tc>
        <w:tc>
          <w:tcPr>
            <w:tcW w:type="dxa" w:w="4600"/>
            <w:shd w:fill="1C2535" w:val="clear"/>
            <w:tcMar>
              <w:top w:type="dxa" w:w="80"/>
              <w:left w:type="dxa" w:w="100"/>
              <w:bottom w:type="dxa" w:w="80"/>
              <w:right w:type="dxa" w:w="100"/>
            </w:tcMar>
            <w:vAlign w:val="center"/>
          </w:tcPr>
          <w:p>
            <w:pPr>
              <w:jc w:val="left"/>
            </w:pPr>
            <w:r>
              <w:rPr>
                <w:b/>
                <w:bCs/>
                <w:color w:val="FFFFFF"/>
                <w:sz w:val="18"/>
                <w:szCs w:val="18"/>
              </w:rPr>
              <w:t xml:space="preserve">ARR de cierre año 3</w:t>
            </w:r>
          </w:p>
        </w:tc>
      </w:tr>
      <w:tr>
        <w:trPr>
          <w:cantSplit/>
        </w:trPr>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Conservador</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118.987 €</w:t>
            </w:r>
          </w:p>
        </w:tc>
      </w:tr>
      <w:tr>
        <w:trPr>
          <w:cantSplit/>
        </w:trPr>
        <w:tc>
          <w:tcPr>
            <w:tcW w:type="dxa" w:w="4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Base</w:t>
            </w:r>
          </w:p>
        </w:tc>
        <w:tc>
          <w:tcPr>
            <w:tcW w:type="dxa" w:w="4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318.077 €</w:t>
            </w:r>
          </w:p>
        </w:tc>
      </w:tr>
      <w:tr>
        <w:trPr>
          <w:cantSplit/>
        </w:trPr>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Agresivo</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927.296 €</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DESGLOSE MENSUAL COMPLETO DEL MODELO FINANCIERO</w:t>
            </w:r>
          </w:p>
          <w:p>
            <w:pPr>
              <w:jc w:val="both"/>
            </w:pPr>
            <w:r>
              <w:rPr>
                <w:i/>
                <w:iCs/>
                <w:color w:val="3A3A3A"/>
                <w:sz w:val="18"/>
                <w:szCs w:val="18"/>
              </w:rPr>
              <w:t xml:space="preserve">Este documento recoge las cifras de cierre anual y los indicadores de unit economics ya verificables en la documentación del proyecto. El desglose mes a mes de altas de cliente, MRR, burn rate y runway —necesario para un data room de inversión completo— reside en el modelo financiero en hoja de cálculo de la sociedad y debe acompañarse como anexo a este documento, no reconstruirse aquí sin acceso a esa fuente.</w:t>
            </w:r>
          </w:p>
        </w:tc>
      </w:tr>
    </w:tbl>
    <w:p>
      <w:pPr>
        <w:pStyle w:val="Heading1"/>
        <w:pageBreakBefore/>
        <w:spacing w:after="240" w:before="200"/>
      </w:pPr>
      <w:r>
        <w:rPr>
          <w:b/>
          <w:bCs/>
          <w:color w:val="1C2535"/>
          <w:sz w:val="30"/>
          <w:szCs w:val="30"/>
        </w:rPr>
        <w:t xml:space="preserve">7. Estructura de costes</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200"/>
        <w:gridCol w:w="4000"/>
        <w:gridCol w:w="3100"/>
      </w:tblGrid>
      <w:tr>
        <w:trPr>
          <w:cantSplit/>
          <w:tblHeader/>
        </w:trPr>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Categoría</w:t>
            </w:r>
          </w:p>
        </w:tc>
        <w:tc>
          <w:tcPr>
            <w:tcW w:type="dxa" w:w="4000"/>
            <w:shd w:fill="1C2535" w:val="clear"/>
            <w:tcMar>
              <w:top w:type="dxa" w:w="80"/>
              <w:left w:type="dxa" w:w="100"/>
              <w:bottom w:type="dxa" w:w="80"/>
              <w:right w:type="dxa" w:w="100"/>
            </w:tcMar>
            <w:vAlign w:val="center"/>
          </w:tcPr>
          <w:p>
            <w:pPr>
              <w:jc w:val="left"/>
            </w:pPr>
            <w:r>
              <w:rPr>
                <w:b/>
                <w:bCs/>
                <w:color w:val="FFFFFF"/>
                <w:sz w:val="18"/>
                <w:szCs w:val="18"/>
              </w:rPr>
              <w:t xml:space="preserve">Concepto</w:t>
            </w:r>
          </w:p>
        </w:tc>
        <w:tc>
          <w:tcPr>
            <w:tcW w:type="dxa" w:w="3100"/>
            <w:shd w:fill="1C2535" w:val="clear"/>
            <w:tcMar>
              <w:top w:type="dxa" w:w="80"/>
              <w:left w:type="dxa" w:w="100"/>
              <w:bottom w:type="dxa" w:w="80"/>
              <w:right w:type="dxa" w:w="100"/>
            </w:tcMar>
            <w:vAlign w:val="center"/>
          </w:tcPr>
          <w:p>
            <w:pPr>
              <w:jc w:val="left"/>
            </w:pPr>
            <w:r>
              <w:rPr>
                <w:b/>
                <w:bCs/>
                <w:color w:val="FFFFFF"/>
                <w:sz w:val="18"/>
                <w:szCs w:val="18"/>
              </w:rPr>
              <w:t xml:space="preserve">Naturaleza del coste</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Infraestructura</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Supabase, Vercel, APIs de IA (Anthropic, Voyage AI), transcripción de voz, Stripe</w:t>
            </w:r>
          </w:p>
        </w:tc>
        <w:tc>
          <w:tcPr>
            <w:tcW w:type="dxa" w:w="3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Variable — escala con el número de clientes activos (≈ 5 €/cliente/mes)</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Marketing y adquisición</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Contenido, canal de asociaciones, eventos sectoriales, publicidad digital</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Variable — dependiente del canal (CAC de 95-150 € según escenario)</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Equipo</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Fundador, CTO/desarrollo, perfil de datos e IA, responsable comercial, soporte</w:t>
            </w:r>
          </w:p>
        </w:tc>
        <w:tc>
          <w:tcPr>
            <w:tcW w:type="dxa" w:w="31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Fijo o semi-fijo, escalonado por fases de crecimiento (apartado 11)</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Legal y operaciones</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Gestoría (Sialco Asesores), asesoría legal, cumplimiento RGPD, constitución societaria</w:t>
            </w:r>
          </w:p>
        </w:tc>
        <w:tc>
          <w:tcPr>
            <w:tcW w:type="dxa" w:w="31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Fijo, recurrente de baja cuantía</w:t>
            </w:r>
          </w:p>
        </w:tc>
      </w:tr>
    </w:tbl>
    <w:p>
      <w:pPr>
        <w:spacing w:after="150" w:line="270"/>
        <w:jc w:val="both"/>
      </w:pPr>
      <w:r>
        <w:rPr>
          <w:color w:val="222222"/>
          <w:sz w:val="20"/>
          <w:szCs w:val="20"/>
        </w:rPr>
        <w:t xml:space="preserve">El coste por presupuesto generado con IA —una métrica de eficiencia operativa específica del modelo, distinta del coste de infraestructura por cliente— se sitúa en un objetivo de menos de 0,025 € por presupuesto, con optimización continua de prompts si esta cifra se incrementa por el volumen de uso.</w:t>
      </w:r>
    </w:p>
    <w:p>
      <w:pPr>
        <w:pStyle w:val="Heading1"/>
        <w:pageBreakBefore/>
        <w:spacing w:after="240" w:before="200"/>
      </w:pPr>
      <w:r>
        <w:rPr>
          <w:b/>
          <w:bCs/>
          <w:color w:val="1C2535"/>
          <w:sz w:val="30"/>
          <w:szCs w:val="30"/>
        </w:rPr>
        <w:t xml:space="preserve">8. Estrategia de comercialización y go-to-market</w:t>
      </w:r>
    </w:p>
    <w:p>
      <w:pPr>
        <w:spacing w:after="150" w:line="270"/>
        <w:jc w:val="both"/>
      </w:pPr>
      <w:r>
        <w:rPr>
          <w:color w:val="222222"/>
          <w:sz w:val="20"/>
          <w:szCs w:val="20"/>
        </w:rPr>
        <w:t xml:space="preserve">La premisa central de la estrategia comercial es que este mercado no se conquista con publicidad digital genérica desde el primer día: el instalador autónomo confía en la prescripción de sus pares y en el respaldo de su gremio profesional, no en un anuncio. La estrategia combina, por tanto, dos canales principales:</w:t>
      </w:r>
    </w:p>
    <w:p>
      <w:pPr>
        <w:pStyle w:val="Heading2"/>
        <w:spacing w:after="150" w:before="300"/>
      </w:pPr>
      <w:r>
        <w:rPr>
          <w:b/>
          <w:bCs/>
          <w:color w:val="1A5A96"/>
          <w:sz w:val="24"/>
          <w:szCs w:val="24"/>
        </w:rPr>
        <w:t xml:space="preserve">8.1. Asociaciones y federaciones sectoriales</w:t>
      </w:r>
    </w:p>
    <w:p>
      <w:pPr>
        <w:spacing w:after="150" w:line="270"/>
        <w:jc w:val="both"/>
      </w:pPr>
      <w:r>
        <w:rPr>
          <w:color w:val="222222"/>
          <w:sz w:val="20"/>
          <w:szCs w:val="20"/>
        </w:rPr>
        <w:t xml:space="preserve">CONAIF, FENIE y APIEM actúan como canal de distribución de confianza hacia sus asociados. FENIE agrupa más de 35.000 empresas eléctricas, para las que la obligatoriedad de VeriFactu actúa como catalizador de adopción; APIEM ofrece un canal de confianza local en la Comunidad de Madrid, extensible a asociaciones equivalentes en otras regiones conforme avance la expansión geográfica.</w:t>
      </w:r>
    </w:p>
    <w:p>
      <w:pPr>
        <w:pStyle w:val="Heading2"/>
        <w:spacing w:after="150" w:before="300"/>
      </w:pPr>
      <w:r>
        <w:rPr>
          <w:b/>
          <w:bCs/>
          <w:color w:val="1A5A96"/>
          <w:sz w:val="24"/>
          <w:szCs w:val="24"/>
        </w:rPr>
        <w:t xml:space="preserve">8.2. Distribuidores y fabricantes de material</w:t>
      </w:r>
    </w:p>
    <w:p>
      <w:pPr>
        <w:spacing w:after="150" w:line="270"/>
        <w:jc w:val="both"/>
      </w:pPr>
      <w:r>
        <w:rPr>
          <w:color w:val="222222"/>
          <w:sz w:val="20"/>
          <w:szCs w:val="20"/>
        </w:rPr>
        <w:t xml:space="preserve">OBRAMAT (catálogo integrado en el flujo de presupuestación, piloto de 69 referencias), Saltoki (fontanería y climatización), Sonepar (material eléctrico, con posibilidad de pedido desde el propio presupuesto) y fabricantes como Ariston o Daikin (prescripción de producto en presupuestos de agua caliente sanitaria) constituyen un canal doble: prescripción de producto para el distribuidor y argumento comercial de adopción para TrabFlow. A fecha de esta memoria, estas negociaciones se encuentran en fase prospectiva.</w:t>
      </w:r>
    </w:p>
    <w:p>
      <w:pPr>
        <w:pStyle w:val="Heading2"/>
        <w:spacing w:after="150" w:before="300"/>
      </w:pPr>
      <w:r>
        <w:rPr>
          <w:b/>
          <w:bCs/>
          <w:color w:val="1A5A96"/>
          <w:sz w:val="24"/>
          <w:szCs w:val="24"/>
        </w:rPr>
        <w:t xml:space="preserve">8.3. Por qué no funciona la publicidad digital masiva en esta fase</w:t>
      </w:r>
    </w:p>
    <w:p>
      <w:pPr>
        <w:spacing w:after="150" w:line="270"/>
        <w:jc w:val="both"/>
      </w:pPr>
      <w:r>
        <w:rPr>
          <w:color w:val="222222"/>
          <w:sz w:val="20"/>
          <w:szCs w:val="20"/>
        </w:rPr>
        <w:t xml:space="preserve">El instalador medio tiene una edad media de 45 años y llega, cuando lo hace, desde una búsqueda genérica en Google con vocabulario de oficio («presupuestos electricista», «facturación fontanero»), no con vocabulario de categoría de producto («SaaS», «IA», «automatización»). La estrategia de contenido y posicionamiento debe reflejar el lenguaje real de búsqueda del usuario, no el lenguaje de categoría tecnológica que emplearía un comprador B2B tradicional de software.</w:t>
      </w:r>
    </w:p>
    <w:p>
      <w:pPr>
        <w:pStyle w:val="Heading1"/>
        <w:pageBreakBefore/>
        <w:spacing w:after="240" w:before="200"/>
      </w:pPr>
      <w:r>
        <w:rPr>
          <w:b/>
          <w:bCs/>
          <w:color w:val="1C2535"/>
          <w:sz w:val="30"/>
          <w:szCs w:val="30"/>
        </w:rPr>
        <w:t xml:space="preserve">9. Roadmap de crecimiento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4200"/>
        <w:gridCol w:w="27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Fase</w:t>
            </w:r>
          </w:p>
        </w:tc>
        <w:tc>
          <w:tcPr>
            <w:tcW w:type="dxa" w:w="4200"/>
            <w:shd w:fill="1C2535" w:val="clear"/>
            <w:tcMar>
              <w:top w:type="dxa" w:w="80"/>
              <w:left w:type="dxa" w:w="100"/>
              <w:bottom w:type="dxa" w:w="80"/>
              <w:right w:type="dxa" w:w="100"/>
            </w:tcMar>
            <w:vAlign w:val="center"/>
          </w:tcPr>
          <w:p>
            <w:pPr>
              <w:jc w:val="left"/>
            </w:pPr>
            <w:r>
              <w:rPr>
                <w:b/>
                <w:bCs/>
                <w:color w:val="FFFFFF"/>
                <w:sz w:val="18"/>
                <w:szCs w:val="18"/>
              </w:rPr>
              <w:t xml:space="preserve">Foco</w:t>
            </w:r>
          </w:p>
        </w:tc>
        <w:tc>
          <w:tcPr>
            <w:tcW w:type="dxa" w:w="2700"/>
            <w:shd w:fill="1C2535" w:val="clear"/>
            <w:tcMar>
              <w:top w:type="dxa" w:w="80"/>
              <w:left w:type="dxa" w:w="100"/>
              <w:bottom w:type="dxa" w:w="80"/>
              <w:right w:type="dxa" w:w="100"/>
            </w:tcMar>
            <w:vAlign w:val="center"/>
          </w:tcPr>
          <w:p>
            <w:pPr>
              <w:jc w:val="left"/>
            </w:pPr>
            <w:r>
              <w:rPr>
                <w:b/>
                <w:bCs/>
                <w:color w:val="FFFFFF"/>
                <w:sz w:val="18"/>
                <w:szCs w:val="18"/>
              </w:rPr>
              <w:t xml:space="preserve">Hito de salida</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 España — Product-Market Fit</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Beta gratuita con instaladores autónomos y microempresas, primeras cohortes</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Retención validada, canal de adquisición identificado</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2. Asociaciones</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CONAIF, FENIE y gremios locales como canal de distribución de confianza</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Acuerdo formal con al menos una asociación sectorial</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3. Marketplace de proveedores</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Integración de proveedores, compra de materiales, financiación embebida</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Al menos 3 distribuidores integrados en producción</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4. LATAM</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México, Colombia y Chile — ≈ 2,1 millones de instaladores adicionales</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Adaptación a normativa fiscal local (CFDI en México) y primer ciclo de adquisición</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5. Infraestructura completa</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Extensión de la matriz tecnológica a verticales adyacentes (certificación energética, inmobiliario, hostelería)</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Licenciamiento de tecnología y marca a nuevas unidades de negocio</w:t>
            </w:r>
          </w:p>
        </w:tc>
      </w:tr>
    </w:tbl>
    <w:p>
      <w:pPr>
        <w:spacing w:after="150" w:line="270"/>
        <w:jc w:val="both"/>
      </w:pPr>
      <w:r>
        <w:rPr>
          <w:color w:val="222222"/>
          <w:sz w:val="20"/>
          <w:szCs w:val="20"/>
        </w:rPr>
        <w:t xml:space="preserve">El indicador North Star que gobierna la priorización de producto y de canal en todas las fases es el número de presupuestos enviados por WhatsApp por usuario activo en los últimos 30 días, métrica que captura simultáneamente activación, retención y valor entregado. El objetivo fijado es de 15 o más presupuestos por usuario activo al mes en el sexto mes de operación.</w:t>
      </w:r>
    </w:p>
    <w:p>
      <w:pPr>
        <w:pStyle w:val="Heading2"/>
        <w:spacing w:after="150" w:before="300"/>
      </w:pPr>
      <w:r>
        <w:rPr>
          <w:b/>
          <w:bCs/>
          <w:color w:val="1A5A96"/>
          <w:sz w:val="24"/>
          <w:szCs w:val="24"/>
        </w:rPr>
        <w:t xml:space="preserve">9.1. Definición operativa de Product-Market Fit</w:t>
      </w:r>
    </w:p>
    <w:p>
      <w:pPr>
        <w:spacing w:after="150" w:line="270"/>
        <w:jc w:val="both"/>
      </w:pPr>
      <w:r>
        <w:rPr>
          <w:color w:val="222222"/>
          <w:sz w:val="20"/>
          <w:szCs w:val="20"/>
        </w:rPr>
        <w:t xml:space="preserve">El proyecto fija cuatro condiciones cuantitativas y verificables para considerar alcanzado el ajuste producto-mercado, evitando la ambigüedad frecuente en esta afirmación:</w:t>
      </w:r>
    </w:p>
    <w:p>
      <w:pPr>
        <w:spacing w:after="85"/>
        <w:ind w:left="380" w:hanging="260"/>
        <w:jc w:val="both"/>
      </w:pPr>
      <w:r>
        <w:rPr>
          <w:b/>
          <w:bCs/>
          <w:color w:val="1A5A96"/>
          <w:sz w:val="20"/>
          <w:szCs w:val="20"/>
        </w:rPr>
        <w:t xml:space="preserve">1.  </w:t>
      </w:r>
      <w:r>
        <w:rPr>
          <w:sz w:val="20"/>
          <w:szCs w:val="20"/>
        </w:rPr>
        <w:t xml:space="preserve">100 instaladores de pago activos (uso de la aplicación al menos tres veces por semana).</w:t>
      </w:r>
    </w:p>
    <w:p>
      <w:pPr>
        <w:spacing w:after="85"/>
        <w:ind w:left="380" w:hanging="260"/>
        <w:jc w:val="both"/>
      </w:pPr>
      <w:r>
        <w:rPr>
          <w:b/>
          <w:bCs/>
          <w:color w:val="1A5A96"/>
          <w:sz w:val="20"/>
          <w:szCs w:val="20"/>
        </w:rPr>
        <w:t xml:space="preserve">2.  </w:t>
      </w:r>
      <w:r>
        <w:rPr>
          <w:sz w:val="20"/>
          <w:szCs w:val="20"/>
        </w:rPr>
        <w:t xml:space="preserve">Al menos el 40% de los usuarios declara que estaría "muy decepcionado" si TrabFlow desapareciera (metodología de encuesta de Sean Ellis).</w:t>
      </w:r>
    </w:p>
    <w:p>
      <w:pPr>
        <w:spacing w:after="85"/>
        <w:ind w:left="380" w:hanging="260"/>
        <w:jc w:val="both"/>
      </w:pPr>
      <w:r>
        <w:rPr>
          <w:b/>
          <w:bCs/>
          <w:color w:val="1A5A96"/>
          <w:sz w:val="20"/>
          <w:szCs w:val="20"/>
        </w:rPr>
        <w:t xml:space="preserve">3.  </w:t>
      </w:r>
      <w:r>
        <w:rPr>
          <w:sz w:val="20"/>
          <w:szCs w:val="20"/>
        </w:rPr>
        <w:t xml:space="preserve">Churn mensual inferior al 5%.</w:t>
      </w:r>
    </w:p>
    <w:p>
      <w:pPr>
        <w:spacing w:after="85"/>
        <w:ind w:left="380" w:hanging="260"/>
        <w:jc w:val="both"/>
      </w:pPr>
      <w:r>
        <w:rPr>
          <w:b/>
          <w:bCs/>
          <w:color w:val="1A5A96"/>
          <w:sz w:val="20"/>
          <w:szCs w:val="20"/>
        </w:rPr>
        <w:t xml:space="preserve">4.  </w:t>
      </w:r>
      <w:r>
        <w:rPr>
          <w:sz w:val="20"/>
          <w:szCs w:val="20"/>
        </w:rPr>
        <w:t xml:space="preserve">Al menos un acuerdo formalizado con una asociación sectorial del gremio de instaladores.</w:t>
      </w:r>
    </w:p>
    <w:p>
      <w:pPr>
        <w:pStyle w:val="Heading1"/>
        <w:pageBreakBefore/>
        <w:spacing w:after="240" w:before="200"/>
      </w:pPr>
      <w:r>
        <w:rPr>
          <w:b/>
          <w:bCs/>
          <w:color w:val="1C2535"/>
          <w:sz w:val="30"/>
          <w:szCs w:val="30"/>
        </w:rPr>
        <w:t xml:space="preserve">10. Plan de contratación</w:t>
      </w:r>
    </w:p>
    <w:p>
      <w:pPr>
        <w:spacing w:after="150" w:line="270"/>
        <w:jc w:val="both"/>
      </w:pPr>
      <w:r>
        <w:rPr>
          <w:color w:val="222222"/>
          <w:sz w:val="20"/>
          <w:szCs w:val="20"/>
        </w:rPr>
        <w:t xml:space="preserve">La incorporación de equipo se plantea de forma escalonada y condicionada a los hitos de tracción y financiación descritos en este documento, no como un plan de contratación inmediata. La estructura actual —fundador único, CEO y Administrador, responsable de la totalidad de las funciones técnicas, de producto y comerciales— es una fortaleza de velocidad de ejecución en la fase de validación, y una limitación de capacidad que debe resolverse en cuanto la tracción lo justifique.</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200"/>
        <w:gridCol w:w="35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Rol</w:t>
            </w:r>
          </w:p>
        </w:tc>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Momento de incorporación</w:t>
            </w:r>
          </w:p>
        </w:tc>
        <w:tc>
          <w:tcPr>
            <w:tcW w:type="dxa" w:w="3500"/>
            <w:shd w:fill="1C2535" w:val="clear"/>
            <w:tcMar>
              <w:top w:type="dxa" w:w="80"/>
              <w:left w:type="dxa" w:w="100"/>
              <w:bottom w:type="dxa" w:w="80"/>
              <w:right w:type="dxa" w:w="100"/>
            </w:tcMar>
            <w:vAlign w:val="center"/>
          </w:tcPr>
          <w:p>
            <w:pPr>
              <w:jc w:val="left"/>
            </w:pPr>
            <w:r>
              <w:rPr>
                <w:b/>
                <w:bCs/>
                <w:color w:val="FFFFFF"/>
                <w:sz w:val="18"/>
                <w:szCs w:val="18"/>
              </w:rPr>
              <w:t xml:space="preserve">Función</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CTO / responsable de desarrollo</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Corto plazo, condicionado a financiación no dilutiva o ronda seed</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Apoyo en la optimización del motor de IA y en el Centro de Validación de IA (WP1-WP2 de la Memoria Técnica)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Asesor sectorial (instalador senior)</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Corto plazo</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Validación de decisiones de producto, apertura de puertas en asociaciones (CONAIF, FENIE)</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Responsable comercial y de alianzas</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Medio plazo, tras validar canal en la beta</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Desarrollo de negocio con distribuidores y asociaciones</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Perfil de datos e inteligencia artificial</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Medio plazo</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Mantenimiento y evolución del motor de IA y del ciclo de aprendizaje continuo</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Asesor legal especializado en startups</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Medio plazo, a partir de la primera negociación de inversión</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Pactos de socios, term sheets, contratos de colaboración</w:t>
            </w:r>
          </w:p>
        </w:tc>
      </w:tr>
    </w:tbl>
    <w:p>
      <w:pPr>
        <w:pStyle w:val="Heading1"/>
        <w:pageBreakBefore/>
        <w:spacing w:after="240" w:before="200"/>
      </w:pPr>
      <w:r>
        <w:rPr>
          <w:b/>
          <w:bCs/>
          <w:color w:val="1C2535"/>
          <w:sz w:val="30"/>
          <w:szCs w:val="30"/>
        </w:rPr>
        <w:t xml:space="preserve">11. Escalabilidad e internacionalización</w:t>
      </w:r>
    </w:p>
    <w:p>
      <w:pPr>
        <w:spacing w:after="150" w:line="270"/>
        <w:jc w:val="both"/>
      </w:pPr>
      <w:r>
        <w:rPr>
          <w:color w:val="222222"/>
          <w:sz w:val="20"/>
          <w:szCs w:val="20"/>
        </w:rPr>
        <w:t xml:space="preserve">El modelo de negocio presenta escalabilidad estructural en tres dimensiones. Escalabilidad de producto: el coste marginal de servir a un cliente adicional está dominado por el coste de inferencia de IA (≈ 5 €/mes), muy inferior al ARPU (45-60 € según escenario), lo que genera un apalancamiento operativo característico del software puro. Escalabilidad geográfica: la Base Maestra y la arquitectura son replicables a nuevos mercados hispanohablantes con un esfuerzo de adaptación normativa y de catálogo de proveedores acotado. Escalabilidad de categoría: la misma infraestructura de interpretación de lenguaje de dominio y recuperación normativa es extensible a verticales adyacentes.</w:t>
      </w:r>
    </w:p>
    <w:tbl>
      <w:tblPr>
        <w:tblW w:type="dxa" w:w="9600"/>
        <w:tblBorders>
          <w:top w:val="single" w:color="999999" w:sz="2"/>
          <w:left w:val="single" w:color="999999" w:sz="2"/>
          <w:bottom w:val="single" w:color="999999" w:sz="2"/>
          <w:right w:val="single" w:color="999999" w:sz="2"/>
          <w:insideH w:val="single" w:color="CCCCCC" w:sz="1"/>
          <w:insideV w:val="single" w:color="CCCCCC" w:sz="1"/>
        </w:tblBorders>
      </w:tblPr>
      <w:tblGrid>
        <w:gridCol w:w="2200"/>
        <w:gridCol w:w="1400"/>
        <w:gridCol w:w="3000"/>
        <w:gridCol w:w="3000"/>
      </w:tblGrid>
      <w:tr>
        <w:trPr>
          <w:cantSplit/>
          <w:tblHeader/>
        </w:trPr>
        <w:tc>
          <w:tcPr>
            <w:tcW w:type="dxa" w:w="2200"/>
            <w:shd w:fill="1C2535" w:val="clear"/>
            <w:tcMar>
              <w:top w:type="dxa" w:w="80"/>
              <w:left w:type="dxa" w:w="100"/>
              <w:bottom w:type="dxa" w:w="80"/>
              <w:right w:type="dxa" w:w="100"/>
            </w:tcMar>
            <w:vAlign w:val="center"/>
          </w:tcPr>
          <w:p>
            <w:pPr>
              <w:jc w:val="left"/>
            </w:pPr>
            <w:r>
              <w:rPr>
                <w:b/>
                <w:bCs/>
                <w:color w:val="FFFFFF"/>
                <w:sz w:val="18"/>
                <w:szCs w:val="18"/>
              </w:rPr>
              <w:t xml:space="preserve">Mercado</w:t>
            </w:r>
          </w:p>
        </w:tc>
        <w:tc>
          <w:tcPr>
            <w:tcW w:type="dxa" w:w="1400"/>
            <w:shd w:fill="1C2535" w:val="clear"/>
            <w:tcMar>
              <w:top w:type="dxa" w:w="80"/>
              <w:left w:type="dxa" w:w="100"/>
              <w:bottom w:type="dxa" w:w="80"/>
              <w:right w:type="dxa" w:w="100"/>
            </w:tcMar>
            <w:vAlign w:val="center"/>
          </w:tcPr>
          <w:p>
            <w:pPr>
              <w:jc w:val="left"/>
            </w:pPr>
            <w:r>
              <w:rPr>
                <w:b/>
                <w:bCs/>
                <w:color w:val="FFFFFF"/>
                <w:sz w:val="18"/>
                <w:szCs w:val="18"/>
              </w:rPr>
              <w:t xml:space="preserve">Fase</w:t>
            </w:r>
          </w:p>
        </w:tc>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Tamaño potencial</w:t>
            </w:r>
          </w:p>
        </w:tc>
        <w:tc>
          <w:tcPr>
            <w:tcW w:type="dxa" w:w="3000"/>
            <w:shd w:fill="1C2535" w:val="clear"/>
            <w:tcMar>
              <w:top w:type="dxa" w:w="80"/>
              <w:left w:type="dxa" w:w="100"/>
              <w:bottom w:type="dxa" w:w="80"/>
              <w:right w:type="dxa" w:w="100"/>
            </w:tcMar>
            <w:vAlign w:val="center"/>
          </w:tcPr>
          <w:p>
            <w:pPr>
              <w:jc w:val="left"/>
            </w:pPr>
            <w:r>
              <w:rPr>
                <w:b/>
                <w:bCs/>
                <w:color w:val="FFFFFF"/>
                <w:sz w:val="18"/>
                <w:szCs w:val="18"/>
              </w:rPr>
              <w:t xml:space="preserve">Barrera principal</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España</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1 (actual)</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650.000+ instaladores</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Adopción y activación</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Portugal</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3</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Estimación pendiente de cuantificar con fuente propia</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Adaptación normativa fiscal ligera</w:t>
            </w:r>
          </w:p>
        </w:tc>
      </w:tr>
      <w:tr>
        <w:trPr>
          <w:cantSplit/>
        </w:trPr>
        <w:tc>
          <w:tcPr>
            <w:tcW w:type="dxa" w:w="2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México</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4</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Parte de los ≈ 2,1 M de instaladores LATAM estimados</w:t>
            </w:r>
          </w:p>
        </w:tc>
        <w:tc>
          <w:tcPr>
            <w:tcW w:type="dxa" w:w="3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Adaptación al esquema CFDI (Comprobante Fiscal Digital) y equipo comercial local</w:t>
            </w:r>
          </w:p>
        </w:tc>
      </w:tr>
      <w:tr>
        <w:trPr>
          <w:cantSplit/>
        </w:trPr>
        <w:tc>
          <w:tcPr>
            <w:tcW w:type="dxa" w:w="2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Colombia / Chile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4</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Parte de los ≈ 2,1 M de instaladores LATAM estimados</w:t>
            </w:r>
          </w:p>
        </w:tc>
        <w:tc>
          <w:tcPr>
            <w:tcW w:type="dxa" w:w="3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Normativa fiscal local y canal de distribución</w:t>
            </w:r>
          </w:p>
        </w:tc>
      </w:tr>
    </w:tbl>
    <w:p>
      <w:pPr>
        <w:pStyle w:val="Heading1"/>
        <w:pageBreakBefore/>
        <w:spacing w:after="240" w:before="200"/>
      </w:pPr>
      <w:r>
        <w:rPr>
          <w:b/>
          <w:bCs/>
          <w:color w:val="1C2535"/>
          <w:sz w:val="30"/>
          <w:szCs w:val="30"/>
        </w:rPr>
        <w:t xml:space="preserve">12. Estrategia de financiación</w:t>
      </w:r>
    </w:p>
    <w:p>
      <w:pPr>
        <w:spacing w:after="150" w:line="270"/>
        <w:jc w:val="both"/>
      </w:pPr>
      <w:r>
        <w:rPr>
          <w:color w:val="222222"/>
          <w:sz w:val="20"/>
          <w:szCs w:val="20"/>
        </w:rPr>
        <w:t xml:space="preserve">La estrategia de financiación combina, de forma secuencial, fuentes no dilutivas y dilutivas: en una primera fase, financiación pública no dilutiva (ENISA Jóvenes Emprendedores, préstamo participativo de hasta 75.000 € sin dilución; Kit Digital como Agente Digitalizador; y la presente solicitud a SODERCAN/CDTI) para validar el Product-Market Fit sin ceder participación societaria; en una segunda fase, una ronda de capital semilla de entre 300.000 € y 500.000 €, una vez alcanzados los 100 primeros clientes de pago y un canal de adquisición repetible.</w:t>
      </w:r>
    </w:p>
    <w:p>
      <w:pPr>
        <w:pStyle w:val="Heading2"/>
        <w:spacing w:after="150" w:before="300"/>
      </w:pPr>
      <w:r>
        <w:rPr>
          <w:b/>
          <w:bCs/>
          <w:color w:val="1A5A96"/>
          <w:sz w:val="24"/>
          <w:szCs w:val="24"/>
        </w:rPr>
        <w:t xml:space="preserve">12.1. Perfil de inversor objetivo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500"/>
        <w:gridCol w:w="32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Perfil</w:t>
            </w:r>
          </w:p>
        </w:tc>
        <w:tc>
          <w:tcPr>
            <w:tcW w:type="dxa" w:w="3500"/>
            <w:shd w:fill="1C2535" w:val="clear"/>
            <w:tcMar>
              <w:top w:type="dxa" w:w="80"/>
              <w:left w:type="dxa" w:w="100"/>
              <w:bottom w:type="dxa" w:w="80"/>
              <w:right w:type="dxa" w:w="100"/>
            </w:tcMar>
            <w:vAlign w:val="center"/>
          </w:tcPr>
          <w:p>
            <w:pPr>
              <w:jc w:val="left"/>
            </w:pPr>
            <w:r>
              <w:rPr>
                <w:b/>
                <w:bCs/>
                <w:color w:val="FFFFFF"/>
                <w:sz w:val="18"/>
                <w:szCs w:val="18"/>
              </w:rPr>
              <w:t xml:space="preserve">Qué aporta</w:t>
            </w:r>
          </w:p>
        </w:tc>
        <w:tc>
          <w:tcPr>
            <w:tcW w:type="dxa" w:w="3200"/>
            <w:shd w:fill="1C2535" w:val="clear"/>
            <w:tcMar>
              <w:top w:type="dxa" w:w="80"/>
              <w:left w:type="dxa" w:w="100"/>
              <w:bottom w:type="dxa" w:w="80"/>
              <w:right w:type="dxa" w:w="100"/>
            </w:tcMar>
            <w:vAlign w:val="center"/>
          </w:tcPr>
          <w:p>
            <w:pPr>
              <w:jc w:val="left"/>
            </w:pPr>
            <w:r>
              <w:rPr>
                <w:b/>
                <w:bCs/>
                <w:color w:val="FFFFFF"/>
                <w:sz w:val="18"/>
                <w:szCs w:val="18"/>
              </w:rPr>
              <w:t xml:space="preserve">Qué no debe imponer</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Business angel especializado en SaaS</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Experiencia en escala, contactos de fase temprana</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Cláusulas de exclusividad o control sobre la contratación</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Fondo seed (categoría: fondos españoles especializados en SaaS B2B)</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Capital, red de contactos, credibilidad institucional</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Derechos de información excesivos sin aporte real</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Estratégico sectorial</w:t>
            </w:r>
          </w:p>
        </w:tc>
        <w:tc>
          <w:tcPr>
            <w:tcW w:type="dxa" w:w="35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Acceso directo a canal (asociaciones, distribuidores)</w:t>
            </w:r>
          </w:p>
        </w:tc>
        <w:tc>
          <w:tcPr>
            <w:tcW w:type="dxa" w:w="32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Exclusividad que impida integrar a la competencia del estratégico</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Family office</w:t>
            </w:r>
          </w:p>
        </w:tc>
        <w:tc>
          <w:tcPr>
            <w:tcW w:type="dxa" w:w="35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Capital paciente, sin presión de retorno a corto plazo</w:t>
            </w:r>
          </w:p>
        </w:tc>
        <w:tc>
          <w:tcPr>
            <w:tcW w:type="dxa" w:w="32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Participación en decisiones operativas del día a día</w:t>
            </w:r>
          </w:p>
        </w:tc>
      </w:tr>
    </w:tbl>
    <w:p>
      <w:pPr>
        <w:pStyle w:val="Heading2"/>
        <w:spacing w:after="150" w:before="300"/>
      </w:pPr>
      <w:r>
        <w:rPr>
          <w:b/>
          <w:bCs/>
          <w:color w:val="1A5A96"/>
          <w:sz w:val="24"/>
          <w:szCs w:val="24"/>
        </w:rPr>
        <w:t xml:space="preserve">12.2. Componentes del data room de inversión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4700"/>
        <w:gridCol w:w="20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Documento</w:t>
            </w:r>
          </w:p>
        </w:tc>
        <w:tc>
          <w:tcPr>
            <w:tcW w:type="dxa" w:w="4700"/>
            <w:shd w:fill="1C2535" w:val="clear"/>
            <w:tcMar>
              <w:top w:type="dxa" w:w="80"/>
              <w:left w:type="dxa" w:w="100"/>
              <w:bottom w:type="dxa" w:w="80"/>
              <w:right w:type="dxa" w:w="100"/>
            </w:tcMar>
            <w:vAlign w:val="center"/>
          </w:tcPr>
          <w:p>
            <w:pPr>
              <w:jc w:val="left"/>
            </w:pPr>
            <w:r>
              <w:rPr>
                <w:b/>
                <w:bCs/>
                <w:color w:val="FFFFFF"/>
                <w:sz w:val="18"/>
                <w:szCs w:val="18"/>
              </w:rPr>
              <w:t xml:space="preserve">Contenido</w:t>
            </w:r>
          </w:p>
        </w:tc>
        <w:tc>
          <w:tcPr>
            <w:tcW w:type="dxa" w:w="2000"/>
            <w:shd w:fill="1C2535" w:val="clear"/>
            <w:tcMar>
              <w:top w:type="dxa" w:w="80"/>
              <w:left w:type="dxa" w:w="100"/>
              <w:bottom w:type="dxa" w:w="80"/>
              <w:right w:type="dxa" w:w="100"/>
            </w:tcMar>
            <w:vAlign w:val="center"/>
          </w:tcPr>
          <w:p>
            <w:pPr>
              <w:jc w:val="left"/>
            </w:pPr>
            <w:r>
              <w:rPr>
                <w:b/>
                <w:bCs/>
                <w:color w:val="FFFFFF"/>
                <w:sz w:val="18"/>
                <w:szCs w:val="18"/>
              </w:rPr>
              <w:t xml:space="preserve">Prioridad</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Pitch deck</w:t>
            </w:r>
          </w:p>
        </w:tc>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Versión actualizada con métricas reales de la beta</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Crítica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Vídeo demo</w:t>
            </w:r>
          </w:p>
        </w:tc>
        <w:tc>
          <w:tcPr>
            <w:tcW w:type="dxa" w:w="4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60-90 segundos, caso real, sin cortes</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Crítica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Métricas de beta</w:t>
            </w:r>
          </w:p>
        </w:tc>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Usuarios, presupuestos, retención, NPS, intención de pago</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Crítica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Modelo financiero</w:t>
            </w:r>
          </w:p>
        </w:tc>
        <w:tc>
          <w:tcPr>
            <w:tcW w:type="dxa" w:w="4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Tres escenarios reconciliados, supuestos explícitos</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Alta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Cap table</w:t>
            </w:r>
          </w:p>
        </w:tc>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Estructura accionarial actual</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Alta</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Documentación societaria</w:t>
            </w:r>
          </w:p>
        </w:tc>
        <w:tc>
          <w:tcPr>
            <w:tcW w:type="dxa" w:w="4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Constitución, estatutos, marca OEPM, CIF</w:t>
            </w:r>
          </w:p>
        </w:tc>
        <w:tc>
          <w:tcPr>
            <w:tcW w:type="dxa" w:w="2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Alta</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Ficha resumen ejecutiva (one-pager)</w:t>
            </w:r>
          </w:p>
        </w:tc>
        <w:tc>
          <w:tcPr>
            <w:tcW w:type="dxa" w:w="4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Una página: qué es, mercado, modelo, equipo, ronda</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Alta</w:t>
            </w:r>
          </w:p>
        </w:tc>
      </w:tr>
    </w:tbl>
    <w:tbl>
      <w:tblPr>
        <w:tblW w:type="dxa" w:w="9300"/>
        <w:tblBorders>
          <w:top w:val="single" w:color="C8922A" w:sz="6"/>
          <w:left w:val="single" w:color="C8922A" w:sz="6"/>
          <w:bottom w:val="single" w:color="C8922A" w:sz="6"/>
          <w:right w:val="single" w:color="C8922A" w:sz="6"/>
          <w:insideH w:val="none" w:color="FFFFFF" w:sz="0"/>
          <w:insideV w:val="none" w:color="FFFFFF" w:sz="0"/>
        </w:tblBorders>
      </w:tblPr>
      <w:tblGrid>
        <w:gridCol w:w="9300"/>
      </w:tblGrid>
      <w:tr>
        <w:tc>
          <w:tcPr>
            <w:tcW w:type="dxa" w:w="9300"/>
            <w:shd w:fill="FBEFE4" w:val="clear"/>
            <w:tcMar>
              <w:top w:type="dxa" w:w="140"/>
              <w:left w:type="dxa" w:w="180"/>
              <w:bottom w:type="dxa" w:w="140"/>
              <w:right w:type="dxa" w:w="180"/>
            </w:tcMar>
          </w:tcPr>
          <w:p>
            <w:pPr>
              <w:spacing w:after="60"/>
            </w:pPr>
            <w:r>
              <w:rPr>
                <w:b/>
                <w:bCs/>
                <w:color w:val="B84E35"/>
                <w:sz w:val="17"/>
                <w:szCs w:val="17"/>
              </w:rPr>
              <w:t xml:space="preserve">⚠ PENDIENTE DE DEFINICIÓN POR EL PROMOTOR — REGLAS DE NEGOCIACIÓN DE LA RONDA</w:t>
            </w:r>
          </w:p>
          <w:p>
            <w:pPr>
              <w:jc w:val="both"/>
            </w:pPr>
            <w:r>
              <w:rPr>
                <w:i/>
                <w:iCs/>
                <w:color w:val="3A3A3A"/>
                <w:sz w:val="18"/>
                <w:szCs w:val="18"/>
              </w:rPr>
              <w:t xml:space="preserve">El equipo promotor ha fijado, como principio de negociación ya documentado internamente, no aceptar exclusividad de un distribuidor que impida integrar a otros proveedores, no negociar una ronda de inversión sin asesoría de un abogado especializado en startups, y no presentar la necesidad de capital como una cuestión de supervivencia sino como una aceleración de una validación ya en marcha. Estos principios deben mantenerse en cualquier proceso de negociación futuro.</w:t>
            </w:r>
          </w:p>
        </w:tc>
      </w:tr>
    </w:tbl>
    <w:p>
      <w:pPr>
        <w:pStyle w:val="Heading1"/>
        <w:pageBreakBefore/>
        <w:spacing w:after="240" w:before="200"/>
      </w:pPr>
      <w:r>
        <w:rPr>
          <w:b/>
          <w:bCs/>
          <w:color w:val="1C2535"/>
          <w:sz w:val="30"/>
          <w:szCs w:val="30"/>
        </w:rPr>
        <w:t xml:space="preserve">13. Propiedad intelectual y barreras de entrada</w:t>
      </w:r>
    </w:p>
    <w:p>
      <w:pPr>
        <w:spacing w:after="150" w:line="270"/>
        <w:jc w:val="both"/>
      </w:pPr>
      <w:r>
        <w:rPr>
          <w:color w:val="222222"/>
          <w:sz w:val="20"/>
          <w:szCs w:val="20"/>
        </w:rPr>
        <w:t xml:space="preserve">El desarrollo completo de la estrategia de propiedad intelectual del proyecto —marca, secreto empresarial de la Base Maestra, cesión de derechos de código, know-how del Centro de Validación de IA— se recoge en el documento independiente Estrategia de Propiedad Intelectual y Ventaja Competitiva. Este apartado resume, a efectos de este plan de negocio, las tres capas de defensibilidad (moat) que sostienen la barrera de entrada frente a un competidor horizontal ya establecido.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400"/>
        <w:gridCol w:w="6900"/>
      </w:tblGrid>
      <w:tr>
        <w:trPr>
          <w:cantSplit/>
          <w:tblHeader/>
        </w:trPr>
        <w:tc>
          <w:tcPr>
            <w:tcW w:type="dxa" w:w="2400"/>
            <w:shd w:fill="1C2535" w:val="clear"/>
            <w:tcMar>
              <w:top w:type="dxa" w:w="80"/>
              <w:left w:type="dxa" w:w="100"/>
              <w:bottom w:type="dxa" w:w="80"/>
              <w:right w:type="dxa" w:w="100"/>
            </w:tcMar>
            <w:vAlign w:val="center"/>
          </w:tcPr>
          <w:p>
            <w:pPr>
              <w:jc w:val="left"/>
            </w:pPr>
            <w:r>
              <w:rPr>
                <w:b/>
                <w:bCs/>
                <w:color w:val="FFFFFF"/>
                <w:sz w:val="18"/>
                <w:szCs w:val="18"/>
              </w:rPr>
              <w:t xml:space="preserve">Capa de moat</w:t>
            </w:r>
          </w:p>
        </w:tc>
        <w:tc>
          <w:tcPr>
            <w:tcW w:type="dxa" w:w="6900"/>
            <w:shd w:fill="1C2535" w:val="clear"/>
            <w:tcMar>
              <w:top w:type="dxa" w:w="80"/>
              <w:left w:type="dxa" w:w="100"/>
              <w:bottom w:type="dxa" w:w="80"/>
              <w:right w:type="dxa" w:w="100"/>
            </w:tcMar>
            <w:vAlign w:val="center"/>
          </w:tcPr>
          <w:p>
            <w:pPr>
              <w:jc w:val="left"/>
            </w:pPr>
            <w:r>
              <w:rPr>
                <w:b/>
                <w:bCs/>
                <w:color w:val="FFFFFF"/>
                <w:sz w:val="18"/>
                <w:szCs w:val="18"/>
              </w:rPr>
              <w:t xml:space="preserve">Mecanismo</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Datos del gremio</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Cada presupuesto generado por IA entrena al sistema sobre precios reales del mercado por región, tipo de trabajo y materiales; un competidor que replique la tecnología parte de cero en volumen de datos operativos</w:t>
            </w:r>
          </w:p>
        </w:tc>
      </w:tr>
      <w:tr>
        <w:trPr>
          <w:cantSplit/>
        </w:trPr>
        <w:tc>
          <w:tcPr>
            <w:tcW w:type="dxa" w:w="2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Comunidad del gremio</w:t>
            </w:r>
          </w:p>
        </w:tc>
        <w:tc>
          <w:tcPr>
            <w:tcW w:type="dxa" w:w="69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instalador que lleva meses usando TrabFlow ha construido en él su catálogo de precios, sus clientes y su histórico de trabajos; el coste de migración crece con el tiempo de uso</w:t>
            </w:r>
          </w:p>
        </w:tc>
      </w:tr>
      <w:tr>
        <w:trPr>
          <w:cantSplit/>
        </w:trPr>
        <w:tc>
          <w:tcPr>
            <w:tcW w:type="dxa" w:w="2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Marca de sector</w:t>
            </w:r>
          </w:p>
        </w:tc>
        <w:tc>
          <w:tcPr>
            <w:tcW w:type="dxa" w:w="69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Posicionamiento como referencia dentro de asociaciones y gremios; los instaladores son un colectivo cohesionado en el que el estándar tecnológico se autorrefuerza por prescripción entre pares</w:t>
            </w:r>
          </w:p>
        </w:tc>
      </w:tr>
    </w:tbl>
    <w:p>
      <w:pPr>
        <w:spacing w:after="150" w:line="270"/>
        <w:jc w:val="both"/>
      </w:pPr>
      <w:r>
        <w:rPr>
          <w:i/>
          <w:iCs/>
          <w:color w:val="222222"/>
          <w:sz w:val="20"/>
          <w:szCs w:val="20"/>
        </w:rPr>
        <w:t xml:space="preserve">La pregunta que sintetiza esta barrera de entrada —por qué Billin o Quipu no pueden simplemente añadir una función de presupuestación y replicar TrabFlow— tiene una respuesta estructural: son herramientas horizontales que sirven a la totalidad del colectivo de autónomos español, y no pueden especializar su producto en el lenguaje, las partidas y el catálogo de precios de los oficios técnicos sin abandonar, en la práctica, al resto de su base de clientes.</w:t>
      </w:r>
    </w:p>
    <w:p>
      <w:pPr>
        <w:pStyle w:val="Heading1"/>
        <w:pageBreakBefore/>
        <w:spacing w:after="240" w:before="200"/>
      </w:pPr>
      <w:r>
        <w:rPr>
          <w:b/>
          <w:bCs/>
          <w:color w:val="1C2535"/>
          <w:sz w:val="30"/>
          <w:szCs w:val="30"/>
        </w:rPr>
        <w:t xml:space="preserve">14. Riesgos comerciales y mitigación</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3400"/>
        <w:gridCol w:w="33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Riesgo</w:t>
            </w:r>
          </w:p>
        </w:tc>
        <w:tc>
          <w:tcPr>
            <w:tcW w:type="dxa" w:w="3400"/>
            <w:shd w:fill="1C2535" w:val="clear"/>
            <w:tcMar>
              <w:top w:type="dxa" w:w="80"/>
              <w:left w:type="dxa" w:w="100"/>
              <w:bottom w:type="dxa" w:w="80"/>
              <w:right w:type="dxa" w:w="100"/>
            </w:tcMar>
            <w:vAlign w:val="center"/>
          </w:tcPr>
          <w:p>
            <w:pPr>
              <w:jc w:val="left"/>
            </w:pPr>
            <w:r>
              <w:rPr>
                <w:b/>
                <w:bCs/>
                <w:color w:val="FFFFFF"/>
                <w:sz w:val="18"/>
                <w:szCs w:val="18"/>
              </w:rPr>
              <w:t xml:space="preserve">Descripción</w:t>
            </w:r>
          </w:p>
        </w:tc>
        <w:tc>
          <w:tcPr>
            <w:tcW w:type="dxa" w:w="3300"/>
            <w:shd w:fill="1C2535" w:val="clear"/>
            <w:tcMar>
              <w:top w:type="dxa" w:w="80"/>
              <w:left w:type="dxa" w:w="100"/>
              <w:bottom w:type="dxa" w:w="80"/>
              <w:right w:type="dxa" w:w="100"/>
            </w:tcMar>
            <w:vAlign w:val="center"/>
          </w:tcPr>
          <w:p>
            <w:pPr>
              <w:jc w:val="left"/>
            </w:pPr>
            <w:r>
              <w:rPr>
                <w:b/>
                <w:bCs/>
                <w:color w:val="FFFFFF"/>
                <w:sz w:val="18"/>
                <w:szCs w:val="18"/>
              </w:rPr>
              <w:t xml:space="preserve">Mitigación</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Baja disposición a pagar del instalador (willingness to pay)</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El colectivo objetivo tiene una cultura de gasto en software limitada</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Validar WTP con entrevistas directas antes de fijar precio final; periodo de prueba de 15 días; precio de entrada accesible (49 €/mes)</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Ciclo de venta institucional largo con asociaciones y distribuidores</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Las seis negociaciones actuales (OBRAMAT, Saltoki, Sonepar, Ariston, CONAIF, FENIE) están en fase prospectiva, sin acuerdo firmado</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Mantener el piloto OBRAMAT como base mínima viable; no depender de un único acuerdo institucional para ejecutar el roadmap</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Dependencia de un canal de adquisición no probado a escala</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CAC y churn son hipótesis de modelo, no datos auditados con cohortes reales</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Beta cerrada de 20 instaladores (Plan de Validación Tecnológica) antes de escalar inversión en adquisición</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Entrada de un competidor internacional (ServiceTitan y similares) en el mercado hispanohablante</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El vertical ya genera compañías de gran escala en otros mercados, lo que puede atraer entrantes</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Acelerar la consolidación de las tres capas de moat (datos, comunidad, marca de sector) antes de que un competidor con más capital pueda replicarlas</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Presión de precio de alternativas horizontales de bajo coste</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Billin o Quipu podrían añadir funcionalidades básicas de presupuestación</w:t>
            </w:r>
          </w:p>
        </w:tc>
        <w:tc>
          <w:tcPr>
            <w:tcW w:type="dxa" w:w="33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Profundizar la especialización de dominio (Base Maestra, normativa, catálogo) como barrera no replicable en el corto plazo</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Estructura de fundador único</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Concentración de conocimiento comercial y de producto en una sola persona</w:t>
            </w:r>
          </w:p>
        </w:tc>
        <w:tc>
          <w:tcPr>
            <w:tcW w:type="dxa" w:w="33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Priorizar la incorporación de un segundo perfil (comercial o técnico) en cuanto la financiación lo permita</w:t>
            </w:r>
          </w:p>
        </w:tc>
      </w:tr>
    </w:tbl>
    <w:p>
      <w:pPr>
        <w:pStyle w:val="Heading1"/>
        <w:pageBreakBefore/>
        <w:spacing w:after="240" w:before="200"/>
      </w:pPr>
      <w:r>
        <w:rPr>
          <w:b/>
          <w:bCs/>
          <w:color w:val="1C2535"/>
          <w:sz w:val="30"/>
          <w:szCs w:val="30"/>
        </w:rPr>
        <w:t xml:space="preserve">15. Métricas de seguimiento</w:t>
      </w:r>
    </w:p>
    <w:p>
      <w:pPr>
        <w:spacing w:after="150" w:line="270"/>
        <w:jc w:val="both"/>
      </w:pPr>
      <w:r>
        <w:rPr>
          <w:color w:val="222222"/>
          <w:sz w:val="20"/>
          <w:szCs w:val="20"/>
        </w:rPr>
        <w:t xml:space="preserve">El proyecto aplica una disciplina de medición semanal mediante un dashboard ejecutivo de una página, revisado todos los lunes, que consolida el estado de producto, tracción comercial y avance de la beta en un único formato de lectura rápida. El principio rector de esta disciplina, ya adoptado internamente, es medir sin maquillar: es preferible una métrica desfavorable con una explicación clara de su causa que una métrica favorable que no refleje la realidad del proyecto.</w:t>
      </w:r>
    </w:p>
    <w:tbl>
      <w:tblPr>
        <w:tblW w:type="dxa" w:w="9300"/>
        <w:tblBorders>
          <w:top w:val="single" w:color="999999" w:sz="2"/>
          <w:left w:val="single" w:color="999999" w:sz="2"/>
          <w:bottom w:val="single" w:color="999999" w:sz="2"/>
          <w:right w:val="single" w:color="999999" w:sz="2"/>
          <w:insideH w:val="single" w:color="CCCCCC" w:sz="1"/>
          <w:insideV w:val="single" w:color="CCCCCC" w:sz="1"/>
        </w:tblBorders>
      </w:tblPr>
      <w:tblGrid>
        <w:gridCol w:w="2600"/>
        <w:gridCol w:w="4000"/>
        <w:gridCol w:w="2700"/>
      </w:tblGrid>
      <w:tr>
        <w:trPr>
          <w:cantSplit/>
          <w:tblHeader/>
        </w:trPr>
        <w:tc>
          <w:tcPr>
            <w:tcW w:type="dxa" w:w="2600"/>
            <w:shd w:fill="1C2535" w:val="clear"/>
            <w:tcMar>
              <w:top w:type="dxa" w:w="80"/>
              <w:left w:type="dxa" w:w="100"/>
              <w:bottom w:type="dxa" w:w="80"/>
              <w:right w:type="dxa" w:w="100"/>
            </w:tcMar>
            <w:vAlign w:val="center"/>
          </w:tcPr>
          <w:p>
            <w:pPr>
              <w:jc w:val="left"/>
            </w:pPr>
            <w:r>
              <w:rPr>
                <w:b/>
                <w:bCs/>
                <w:color w:val="FFFFFF"/>
                <w:sz w:val="18"/>
                <w:szCs w:val="18"/>
              </w:rPr>
              <w:t xml:space="preserve">Métrica</w:t>
            </w:r>
          </w:p>
        </w:tc>
        <w:tc>
          <w:tcPr>
            <w:tcW w:type="dxa" w:w="4000"/>
            <w:shd w:fill="1C2535" w:val="clear"/>
            <w:tcMar>
              <w:top w:type="dxa" w:w="80"/>
              <w:left w:type="dxa" w:w="100"/>
              <w:bottom w:type="dxa" w:w="80"/>
              <w:right w:type="dxa" w:w="100"/>
            </w:tcMar>
            <w:vAlign w:val="center"/>
          </w:tcPr>
          <w:p>
            <w:pPr>
              <w:jc w:val="left"/>
            </w:pPr>
            <w:r>
              <w:rPr>
                <w:b/>
                <w:bCs/>
                <w:color w:val="FFFFFF"/>
                <w:sz w:val="18"/>
                <w:szCs w:val="18"/>
              </w:rPr>
              <w:t xml:space="preserve">Qué mide</w:t>
            </w:r>
          </w:p>
        </w:tc>
        <w:tc>
          <w:tcPr>
            <w:tcW w:type="dxa" w:w="2700"/>
            <w:shd w:fill="1C2535" w:val="clear"/>
            <w:tcMar>
              <w:top w:type="dxa" w:w="80"/>
              <w:left w:type="dxa" w:w="100"/>
              <w:bottom w:type="dxa" w:w="80"/>
              <w:right w:type="dxa" w:w="100"/>
            </w:tcMar>
            <w:vAlign w:val="center"/>
          </w:tcPr>
          <w:p>
            <w:pPr>
              <w:jc w:val="left"/>
            </w:pPr>
            <w:r>
              <w:rPr>
                <w:b/>
                <w:bCs/>
                <w:color w:val="FFFFFF"/>
                <w:sz w:val="18"/>
                <w:szCs w:val="18"/>
              </w:rPr>
              <w:t xml:space="preserve">Objetivo inicial</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Activación</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usuarios que generan su primer presupuesto en la primera sesión</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sin maquillar, sin umbral prefijado que sesgue la interpretación</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Tiempo al primer presupuesto</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Minutos desde el alta hasta un presupuesto listo para enviar</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&lt; 5 minutos</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Uso semanal</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Usuarios que generan al menos un presupuesto por semana</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Medir sin maquillar</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Tasa de conversión presupuesto → factura</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 de presupuestos aceptados que generan una factura</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&gt; 70%</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Churn mensual</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 de usuarios de pago que cancelan en un mes</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&lt; 5%</w:t>
            </w:r>
          </w:p>
        </w:tc>
      </w:tr>
      <w:tr>
        <w:trPr>
          <w:cantSplit/>
        </w:trPr>
        <w:tc>
          <w:tcPr>
            <w:tcW w:type="dxa" w:w="26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NPS</w:t>
            </w:r>
          </w:p>
        </w:tc>
        <w:tc>
          <w:tcPr>
            <w:tcW w:type="dxa" w:w="40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¿Recomendarías TrabFlow a otro instalador? (0-10)</w:t>
            </w:r>
          </w:p>
        </w:tc>
        <w:tc>
          <w:tcPr>
            <w:tcW w:type="dxa" w:w="2700"/>
            <w:shd w:fill="F2F2F2" w:val="clear"/>
            <w:tcMar>
              <w:top w:type="dxa" w:w="80"/>
              <w:left w:type="dxa" w:w="100"/>
              <w:bottom w:type="dxa" w:w="80"/>
              <w:right w:type="dxa" w:w="100"/>
            </w:tcMar>
            <w:vAlign w:val="center"/>
          </w:tcPr>
          <w:p>
            <w:pPr>
              <w:jc w:val="left"/>
            </w:pPr>
            <w:r>
              <w:rPr>
                <w:b w:val="false"/>
                <w:bCs w:val="false"/>
                <w:color w:val="222222"/>
                <w:sz w:val="18"/>
                <w:szCs w:val="18"/>
              </w:rPr>
              <w:t xml:space="preserve">&gt; 40</w:t>
            </w:r>
          </w:p>
        </w:tc>
      </w:tr>
      <w:tr>
        <w:trPr>
          <w:cantSplit/>
        </w:trPr>
        <w:tc>
          <w:tcPr>
            <w:tcW w:type="dxa" w:w="26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Coste por presupuesto generado con IA</w:t>
            </w:r>
          </w:p>
        </w:tc>
        <w:tc>
          <w:tcPr>
            <w:tcW w:type="dxa" w:w="40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Coste de inferencia por presupuesto</w:t>
            </w:r>
          </w:p>
        </w:tc>
        <w:tc>
          <w:tcPr>
            <w:tcW w:type="dxa" w:w="2700"/>
            <w:shd w:fill="FFFFFF" w:val="clear"/>
            <w:tcMar>
              <w:top w:type="dxa" w:w="80"/>
              <w:left w:type="dxa" w:w="100"/>
              <w:bottom w:type="dxa" w:w="80"/>
              <w:right w:type="dxa" w:w="100"/>
            </w:tcMar>
            <w:vAlign w:val="center"/>
          </w:tcPr>
          <w:p>
            <w:pPr>
              <w:jc w:val="left"/>
            </w:pPr>
            <w:r>
              <w:rPr>
                <w:b w:val="false"/>
                <w:bCs w:val="false"/>
                <w:color w:val="222222"/>
                <w:sz w:val="18"/>
                <w:szCs w:val="18"/>
              </w:rPr>
              <w:t xml:space="preserve">&lt; 0,025 €, con optimización de prompts si se incrementa</w:t>
            </w:r>
          </w:p>
        </w:tc>
      </w:tr>
    </w:tbl>
    <w:p>
      <w:pPr>
        <w:spacing w:after="150" w:line="270"/>
        <w:jc w:val="both"/>
      </w:pPr>
      <w:r>
        <w:rPr>
          <w:color w:val="222222"/>
          <w:sz w:val="20"/>
          <w:szCs w:val="20"/>
        </w:rPr>
        <w:t xml:space="preserve">A partir de la validación del Product-Market Fit, el conjunto de métricas se amplía con indicadores de negocio estándar de SaaS: MRR, ARR, LTV por cliente, CAC por canal, periodo de recuperación del CAC (payback) e ingreso de expansión por upgrade de plan.</w:t>
      </w:r>
    </w:p>
    <w:p>
      <w:pPr>
        <w:pStyle w:val="Heading1"/>
        <w:pageBreakBefore/>
        <w:spacing w:after="240" w:before="200"/>
      </w:pPr>
      <w:r>
        <w:rPr>
          <w:b/>
          <w:bCs/>
          <w:color w:val="1C2535"/>
          <w:sz w:val="30"/>
          <w:szCs w:val="30"/>
        </w:rPr>
        <w:t xml:space="preserve">16. Conclusiones</w:t>
      </w:r>
    </w:p>
    <w:p>
      <w:pPr>
        <w:spacing w:after="150" w:line="270"/>
        <w:jc w:val="both"/>
      </w:pPr>
      <w:r>
        <w:rPr>
          <w:color w:val="222222"/>
          <w:sz w:val="20"/>
          <w:szCs w:val="20"/>
        </w:rPr>
        <w:t xml:space="preserve">TrabFlow presenta la combinación de atributos que un inversor o un evaluador de I+D buscan en un proyecto de este tipo: un mercado de dimensión suficiente y con comparables de valoración excepcional en otros mercados; un producto ya construido y validado técnicamente en su núcleo de innovación; una economía unitaria saludable incluso en el escenario más conservador del modelo financiero; y una hoja de ruta de crecimiento por fases, con hitos de validación explícitos en cada una, que reduce el riesgo de ejecución frente a un plan de expansión indiferenciado.</w:t>
      </w:r>
    </w:p>
    <w:p>
      <w:pPr>
        <w:spacing w:after="150" w:line="270"/>
        <w:jc w:val="both"/>
      </w:pPr>
      <w:r>
        <w:rPr>
          <w:color w:val="222222"/>
          <w:sz w:val="20"/>
          <w:szCs w:val="20"/>
        </w:rPr>
        <w:t xml:space="preserve">El riesgo principal identificado en este documento no es de mercado ni de producto, sino de ejecución: la concentración de conocimiento comercial, técnico y de producto en una sola persona. La incorporación progresiva de equipo, condicionada a los hitos de financiación y tracción descritos, es la acción que más reduce este riesgo residual.</w:t>
      </w:r>
    </w:p>
    <w:p>
      <w:pPr>
        <w:pStyle w:val="Heading1"/>
        <w:pageBreakBefore/>
        <w:spacing w:after="240" w:before="200"/>
      </w:pPr>
      <w:r>
        <w:rPr>
          <w:b/>
          <w:bCs/>
          <w:color w:val="1C2535"/>
          <w:sz w:val="30"/>
          <w:szCs w:val="30"/>
        </w:rPr>
        <w:t xml:space="preserve">17. Recomendaciones para futuras versiones</w:t>
      </w:r>
    </w:p>
    <w:p>
      <w:pPr>
        <w:spacing w:after="150" w:line="270"/>
        <w:jc w:val="both"/>
      </w:pPr>
      <w:r>
        <w:rPr>
          <w:i/>
          <w:iCs/>
          <w:color w:val="222222"/>
          <w:sz w:val="20"/>
          <w:szCs w:val="20"/>
        </w:rPr>
        <w:t xml:space="preserve">Las siguientes recomendaciones afectan exclusivamente a la forma y trazabilidad documental de futuras versiones de este plan, no a decisiones estratégicas o financieras en sí mismas.</w:t>
      </w:r>
    </w:p>
    <w:p>
      <w:pPr>
        <w:spacing w:after="85"/>
        <w:ind w:left="380" w:hanging="260"/>
        <w:jc w:val="both"/>
      </w:pPr>
      <w:r>
        <w:rPr>
          <w:b/>
          <w:bCs/>
          <w:color w:val="1A5A96"/>
          <w:sz w:val="20"/>
          <w:szCs w:val="20"/>
        </w:rPr>
        <w:t xml:space="preserve">1.  </w:t>
      </w:r>
      <w:r>
        <w:rPr>
          <w:sz w:val="20"/>
          <w:szCs w:val="20"/>
        </w:rPr>
        <w:t xml:space="preserve">Incorporar como anexo el modelo financiero completo en hoja de cálculo (desglose mensual de MRR, altas, bajas, burn rate y runway), referenciado pero no reconstruido en el cuerpo de este documento.</w:t>
      </w:r>
    </w:p>
    <w:p>
      <w:pPr>
        <w:spacing w:after="85"/>
        <w:ind w:left="380" w:hanging="260"/>
        <w:jc w:val="both"/>
      </w:pPr>
      <w:r>
        <w:rPr>
          <w:b/>
          <w:bCs/>
          <w:color w:val="1A5A96"/>
          <w:sz w:val="20"/>
          <w:szCs w:val="20"/>
        </w:rPr>
        <w:t xml:space="preserve">2.  </w:t>
      </w:r>
      <w:r>
        <w:rPr>
          <w:sz w:val="20"/>
          <w:szCs w:val="20"/>
        </w:rPr>
        <w:t xml:space="preserve">Actualizar el apartado de tracción (resumen ejecutivo y roadmap) en cuanto se disponga de datos reales de la beta cerrada, sustituyendo las proyecciones por resultados verificados y manteniendo ambos claramente diferenciados.</w:t>
      </w:r>
    </w:p>
    <w:p>
      <w:pPr>
        <w:spacing w:after="85"/>
        <w:ind w:left="380" w:hanging="260"/>
        <w:jc w:val="both"/>
      </w:pPr>
      <w:r>
        <w:rPr>
          <w:b/>
          <w:bCs/>
          <w:color w:val="1A5A96"/>
          <w:sz w:val="20"/>
          <w:szCs w:val="20"/>
        </w:rPr>
        <w:t xml:space="preserve">3.  </w:t>
      </w:r>
      <w:r>
        <w:rPr>
          <w:sz w:val="20"/>
          <w:szCs w:val="20"/>
        </w:rPr>
        <w:t xml:space="preserve">Cuantificar con fuente propia el tamaño del mercado portugués (apartado 11), actualmente señalado como estimación pendiente, antes de avanzar la fase 3 del roadmap.</w:t>
      </w:r>
    </w:p>
    <w:p>
      <w:pPr>
        <w:spacing w:after="85"/>
        <w:ind w:left="380" w:hanging="260"/>
        <w:jc w:val="both"/>
      </w:pPr>
      <w:r>
        <w:rPr>
          <w:b/>
          <w:bCs/>
          <w:color w:val="1A5A96"/>
          <w:sz w:val="20"/>
          <w:szCs w:val="20"/>
        </w:rPr>
        <w:t xml:space="preserve">4.  </w:t>
      </w:r>
      <w:r>
        <w:rPr>
          <w:sz w:val="20"/>
          <w:szCs w:val="20"/>
        </w:rPr>
        <w:t xml:space="preserve">Mantener una versión actualizada de la tabla de comparables de mercado (apartado 2.3) conforme evolucionen las valoraciones de ServiceTitan, Jobber y otros referentes del sector.</w:t>
      </w:r>
    </w:p>
    <w:p>
      <w:pPr>
        <w:spacing w:after="85"/>
        <w:ind w:left="380" w:hanging="260"/>
        <w:jc w:val="both"/>
      </w:pPr>
      <w:r>
        <w:rPr>
          <w:b/>
          <w:bCs/>
          <w:color w:val="1A5A96"/>
          <w:sz w:val="20"/>
          <w:szCs w:val="20"/>
        </w:rPr>
        <w:t xml:space="preserve">5.  </w:t>
      </w:r>
      <w:r>
        <w:rPr>
          <w:sz w:val="20"/>
          <w:szCs w:val="20"/>
        </w:rPr>
        <w:t xml:space="preserve">Incorporar, tras el cierre de cualquier ronda de financiación, un anexo con los términos reales acordados (valoración, instrumento, dilución), manteniendo la trazabilidad histórica de las condiciones negociadas.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Confidencial · Página </w:t>
    </w:r>
    <w:r>
      <w:rPr>
        <w:color w:val="888888"/>
        <w:sz w:val="15"/>
        <w:szCs w:val="15"/>
      </w:rPr>
      <w:fldChar w:fldCharType="begin"/>
      <w:instrText xml:space="preserve">PAGE</w:instrText>
      <w:fldChar w:fldCharType="separate"/>
      <w:fldChar w:fldCharType="end"/>
    </w:r>
    <w:r>
      <w:rPr>
        <w:color w:val="888888"/>
        <w:sz w:val="15"/>
        <w:szCs w:val="15"/>
      </w:rPr>
      <w:t xml:space="preserve"> de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5"/>
        <w:szCs w:val="15"/>
      </w:rPr>
      <w:t xml:space="preserve">TrabFlow — Plan de Negocio y Explotación Comercial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2026-07-08T20:05:48.609Z</dcterms:created>
  <dcterms:modified xsi:type="dcterms:W3CDTF">2026-07-08T20:05:48.623Z</dcterms:modified>
</cp:coreProperties>
</file>

<file path=docProps/custom.xml><?xml version="1.0" encoding="utf-8"?>
<Properties xmlns="http://schemas.openxmlformats.org/officeDocument/2006/custom-properties" xmlns:vt="http://schemas.openxmlformats.org/officeDocument/2006/docPropsVTypes"/>
</file>