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rPr>
          <w:b/>
          <w:bCs/>
          <w:color w:val="C8922A"/>
          <w:sz w:val="22"/>
          <w:szCs w:val="22"/>
        </w:rPr>
        <w:t xml:space="preserve">PLAN DE VALIDACIÓN TECNOLÓGICA</w:t>
      </w:r>
    </w:p>
    <w:p>
      <w:pPr>
        <w:spacing w:after="60" w:before="140"/>
        <w:jc w:val="center"/>
      </w:pPr>
      <w:r>
        <w:rPr>
          <w:b/>
          <w:bCs/>
          <w:color w:val="1C2535"/>
          <w:sz w:val="52"/>
          <w:szCs w:val="52"/>
        </w:rPr>
        <w:t xml:space="preserve">TrabFlow</w:t>
      </w:r>
    </w:p>
    <w:p>
      <w:pPr>
        <w:spacing w:after="260"/>
        <w:jc w:val="center"/>
      </w:pPr>
      <w:r>
        <w:rPr>
          <w:i/>
          <w:iCs/>
          <w:color w:val="444444"/>
          <w:sz w:val="20"/>
          <w:szCs w:val="20"/>
        </w:rPr>
        <w:t xml:space="preserve">Metodología, métricas, experimentos y resultados esperados de la validación técnica y de producto</w:t>
      </w:r>
    </w:p>
    <w:p>
      <w:pPr>
        <w:spacing w:after="20"/>
        <w:jc w:val="center"/>
      </w:pPr>
      <w:r>
        <w:rPr>
          <w:color w:val="555555"/>
          <w:sz w:val="16"/>
          <w:szCs w:val="16"/>
        </w:rPr>
        <w:t xml:space="preserve">Documento complementario a la Memoria Técnica de I+D+i para SODERCAN/CDTI/ENISA</w:t>
      </w:r>
    </w:p>
    <w:p>
      <w:pPr>
        <w:spacing w:before="700"/>
      </w:pP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63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Campo</w:t>
            </w:r>
          </w:p>
        </w:tc>
        <w:tc>
          <w:tcPr>
            <w:tcW w:type="dxa" w:w="6300"/>
            <w:shd w:fill="1C2535" w:val="clear"/>
            <w:tcMar>
              <w:top w:type="dxa" w:w="80"/>
              <w:left w:type="dxa" w:w="100"/>
              <w:bottom w:type="dxa" w:w="80"/>
              <w:right w:type="dxa" w:w="100"/>
            </w:tcMar>
            <w:vAlign w:val="center"/>
          </w:tcPr>
          <w:p>
            <w:pPr>
              <w:jc w:val="left"/>
            </w:pPr>
            <w:r>
              <w:rPr>
                <w:b/>
                <w:bCs/>
                <w:color w:val="FFFFFF"/>
                <w:sz w:val="18"/>
                <w:szCs w:val="18"/>
              </w:rPr>
              <w:t xml:space="preserve">Valor</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Proyecto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TradeFlow / TrabFlow</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Promotor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TrabFlow Technologies, S.L. (en constitución)</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Domicilio social previsto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 Varas, 69 · 39699 Castillo Pedroso, Corvera de Toranzo, Cantabria</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CEO y Administrador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Fernando Carbonell Cabo</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Contacto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contacto@trabflow.com · 672 336 572 · trabflow.com</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Versión del documento</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v1.0</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Fecha</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Julio 2026</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Clasificación</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Confidencial</w:t>
            </w:r>
          </w:p>
        </w:tc>
      </w:tr>
    </w:tbl>
    <w:p>
      <w:pPr>
        <w:spacing w:before="500"/>
        <w:jc w:val="center"/>
      </w:pPr>
      <w:r>
        <w:rPr>
          <w:i/>
          <w:iCs/>
          <w:color w:val="999999"/>
          <w:sz w:val="15"/>
          <w:szCs w:val="15"/>
        </w:rPr>
        <w:t xml:space="preserve">Documento confidencial. Distribución restringida a evaluadores institucionales y personal autorizado.</w:t>
      </w:r>
    </w:p>
    <w:p>
      <w:pPr>
        <w:pageBreakBefore/>
      </w:pPr>
      <w:r>
        <w:rPr>
          <w:b/>
          <w:bCs/>
          <w:color w:val="1C2535"/>
          <w:sz w:val="30"/>
          <w:szCs w:val="30"/>
        </w:rPr>
        <w:t xml:space="preserve">ÍNDICE</w:t>
      </w:r>
    </w:p>
    <w:p>
      <w:pPr>
        <w:spacing w:after="200"/>
      </w:pP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after="240" w:before="200"/>
      </w:pPr>
      <w:r>
        <w:rPr>
          <w:b/>
          <w:bCs/>
          <w:color w:val="1C2535"/>
          <w:sz w:val="30"/>
          <w:szCs w:val="30"/>
        </w:rPr>
        <w:t xml:space="preserve">1. Introducción y objeto del documento</w:t>
      </w:r>
    </w:p>
    <w:p>
      <w:pPr>
        <w:spacing w:after="150" w:line="270"/>
        <w:jc w:val="both"/>
      </w:pPr>
      <w:r>
        <w:rPr>
          <w:color w:val="222222"/>
          <w:sz w:val="20"/>
          <w:szCs w:val="20"/>
        </w:rPr>
        <w:t xml:space="preserve">Este documento complementa la Memoria Técnica de I+D+i de TradeFlow/TrabFlow, detallando la metodología experimental, las métricas y los resultados —ya obtenidos y previstos— que sustentan la validación técnica del proyecto. Su propósito es responder, con evidencia verificable, a la pregunta que todo evaluador de I+D formula ante cualquier afirmación de innovación: ¿cómo se sabe que esto funciona, y cómo se sabrá que ha mejorado?</w:t>
      </w:r>
    </w:p>
    <w:p>
      <w:pPr>
        <w:spacing w:after="150" w:line="270"/>
        <w:jc w:val="both"/>
      </w:pPr>
      <w:r>
        <w:rPr>
          <w:color w:val="222222"/>
          <w:sz w:val="20"/>
          <w:szCs w:val="20"/>
        </w:rPr>
        <w:t xml:space="preserve">El documento cubre tres frentes de validación complementarios y ya diferenciados en la práctica del proyecto: la validación del motor de generación de presupuestos mediante baterías de consultas automatizadas y clasificación de resultados; la validación del sistema de recuperación normativa (RAG) mediante suites de preguntas de referencia con criterio de éxito de cita legal exacta; y la validación de producto con usuarios reales mediante una beta cerrada con métricas de activación, retención y satisfacción.</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Este documento es de nueva elaboración completa. Consolida y estructura, bajo el enfoque de un plan de validación tecnológica, información ya existente y dispersa en el informe de resultados del motor v51, la especificación del sistema RAG normativo, la especificación de la suite de pruebas automatizadas, y el plan operativo de la fase de beta. No se declara ningún resultado, métrica o experimento no verificable en esos documentos de origen.</w:t>
            </w:r>
          </w:p>
        </w:tc>
      </w:tr>
    </w:tbl>
    <w:p>
      <w:pPr>
        <w:pStyle w:val="Heading1"/>
        <w:pageBreakBefore/>
        <w:spacing w:after="240" w:before="200"/>
      </w:pPr>
      <w:r>
        <w:rPr>
          <w:b/>
          <w:bCs/>
          <w:color w:val="1C2535"/>
          <w:sz w:val="30"/>
          <w:szCs w:val="30"/>
        </w:rPr>
        <w:t xml:space="preserve">2. Resumen ejecutivo</w:t>
      </w:r>
    </w:p>
    <w:p>
      <w:pPr>
        <w:spacing w:after="150" w:line="270"/>
        <w:jc w:val="both"/>
      </w:pPr>
      <w:r>
        <w:rPr>
          <w:color w:val="222222"/>
          <w:sz w:val="20"/>
          <w:szCs w:val="20"/>
        </w:rPr>
        <w:t xml:space="preserve">TrabFlow dispone ya de una infraestructura de validación operativa y de resultados empíricos propios en dos de los tres frentes de validación de este plan: el motor de generación de presupuestos ha sido evaluado sobre una batería de 400 consultas reales con resultados cuantificados y reproducibles, y el sistema de recuperación normativa dispone de una suite de validación de 30 preguntas de referencia en dos verticales normativas, con métricas de recall, precisión de cita y tasa de alucinación ya definidas. El tercer frente —la validación con usuarios reales en producción— está diseñado y presupuestado (beta cerrada de 20 instaladores) pero pendiente de ejecución a fecha de esta memoria.</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4200"/>
        <w:gridCol w:w="5100"/>
      </w:tblGrid>
      <w:tr>
        <w:trPr>
          <w:cantSplit/>
          <w:tblHeader/>
        </w:trPr>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Frente de validación</w:t>
            </w:r>
          </w:p>
        </w:tc>
        <w:tc>
          <w:tcPr>
            <w:tcW w:type="dxa" w:w="5100"/>
            <w:shd w:fill="1C2535" w:val="clear"/>
            <w:tcMar>
              <w:top w:type="dxa" w:w="80"/>
              <w:left w:type="dxa" w:w="100"/>
              <w:bottom w:type="dxa" w:w="80"/>
              <w:right w:type="dxa" w:w="100"/>
            </w:tcMar>
            <w:vAlign w:val="center"/>
          </w:tcPr>
          <w:p>
            <w:pPr>
              <w:jc w:val="left"/>
            </w:pPr>
            <w:r>
              <w:rPr>
                <w:b/>
                <w:bCs/>
                <w:color w:val="FFFFFF"/>
                <w:sz w:val="18"/>
                <w:szCs w:val="18"/>
              </w:rPr>
              <w:t xml:space="preserve">Estado</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Motor de generación de presupuestos (voz/texto)</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Ejecutado — resultados v51 disponibles sobre 400 consultas; ampliación a 1.500 consultas planificada (WP1-WP2)</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Sistema de recuperación normativa (RAG)</w:t>
            </w:r>
          </w:p>
        </w:tc>
        <w:tc>
          <w:tcPr>
            <w:tcW w:type="dxa" w:w="5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Suite de validación diseñada (30 preguntas, 2 verticales); ejecución y resultados cuantitativos pendientes de reporte formal</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Validación con usuarios reales (beta cerrada)</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Diseñada y presupuestada (20 instaladores); no ejecutada a fecha de esta memoria</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Validación de experiencia de usuario (UX)</w:t>
            </w:r>
          </w:p>
        </w:tc>
        <w:tc>
          <w:tcPr>
            <w:tcW w:type="dxa" w:w="5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Metodología aplicada de forma preliminar (auditoría interna por flujo); pendiente de validación con usuarios externos al equipo promotor</w:t>
            </w:r>
          </w:p>
        </w:tc>
      </w:tr>
    </w:tbl>
    <w:p>
      <w:pPr>
        <w:pStyle w:val="Heading1"/>
        <w:pageBreakBefore/>
        <w:spacing w:after="240" w:before="200"/>
      </w:pPr>
      <w:r>
        <w:rPr>
          <w:b/>
          <w:bCs/>
          <w:color w:val="1C2535"/>
          <w:sz w:val="30"/>
          <w:szCs w:val="30"/>
        </w:rPr>
        <w:t xml:space="preserve">3. Metodología general de validación</w:t>
      </w:r>
    </w:p>
    <w:p>
      <w:pPr>
        <w:spacing w:after="150" w:line="270"/>
        <w:jc w:val="both"/>
      </w:pPr>
      <w:r>
        <w:rPr>
          <w:color w:val="222222"/>
          <w:sz w:val="20"/>
          <w:szCs w:val="20"/>
        </w:rPr>
        <w:t xml:space="preserve">Los tres frentes de validación descritos en este documento comparten cuatro principios metodológicos comunes, aplicados de forma consistente por el equipo promotor:</w:t>
      </w:r>
    </w:p>
    <w:p>
      <w:pPr>
        <w:spacing w:after="85"/>
        <w:ind w:left="380" w:hanging="260"/>
        <w:jc w:val="both"/>
      </w:pPr>
      <w:r>
        <w:rPr>
          <w:b/>
          <w:bCs/>
          <w:color w:val="1A5A96"/>
          <w:sz w:val="20"/>
          <w:szCs w:val="20"/>
        </w:rPr>
        <w:t xml:space="preserve">1.  </w:t>
      </w:r>
      <w:r>
        <w:rPr>
          <w:sz w:val="20"/>
          <w:szCs w:val="20"/>
        </w:rPr>
        <w:t xml:space="preserve">Anclaje a un baseline estable: cualquier nueva versión del motor se compara siempre contra una versión de referencia estable (baseline), no contra la versión inmediatamente anterior, para evitar el arrastre de ruido entre comparaciones sucesivas.</w:t>
      </w:r>
    </w:p>
    <w:p>
      <w:pPr>
        <w:spacing w:after="85"/>
        <w:ind w:left="380" w:hanging="260"/>
        <w:jc w:val="both"/>
      </w:pPr>
      <w:r>
        <w:rPr>
          <w:b/>
          <w:bCs/>
          <w:color w:val="1A5A96"/>
          <w:sz w:val="20"/>
          <w:szCs w:val="20"/>
        </w:rPr>
        <w:t xml:space="preserve">2.  </w:t>
      </w:r>
      <w:r>
        <w:rPr>
          <w:sz w:val="20"/>
          <w:szCs w:val="20"/>
        </w:rPr>
        <w:t xml:space="preserve">Reproducibilidad: las baterías de prueba (consultas del motor, preguntas normativas) están codificadas en ficheros versionados (queries.json y equivalentes), de forma que la misma batería produce las mismas categorías de resultado salvo cambios reales en el motor o el catálogo.</w:t>
      </w:r>
    </w:p>
    <w:p>
      <w:pPr>
        <w:spacing w:after="85"/>
        <w:ind w:left="380" w:hanging="260"/>
        <w:jc w:val="both"/>
      </w:pPr>
      <w:r>
        <w:rPr>
          <w:b/>
          <w:bCs/>
          <w:color w:val="1A5A96"/>
          <w:sz w:val="20"/>
          <w:szCs w:val="20"/>
        </w:rPr>
        <w:t xml:space="preserve">3.  </w:t>
      </w:r>
      <w:r>
        <w:rPr>
          <w:sz w:val="20"/>
          <w:szCs w:val="20"/>
        </w:rPr>
        <w:t xml:space="preserve">Clasificación causal, no solo cuantitativa: un resultado que empeora respecto al baseline se clasifica siempre por causa (regresión real del modelo, no-determinismo del modelo de lenguaje, problema de matching de catálogo, truncamiento de respuesta, error de clasificación de oficio, u otras causas), evitando conclusiones apresuradas sobre el motivo de una variación.</w:t>
      </w:r>
    </w:p>
    <w:p>
      <w:pPr>
        <w:spacing w:after="85"/>
        <w:ind w:left="380" w:hanging="260"/>
        <w:jc w:val="both"/>
      </w:pPr>
      <w:r>
        <w:rPr>
          <w:b/>
          <w:bCs/>
          <w:color w:val="1A5A96"/>
          <w:sz w:val="20"/>
          <w:szCs w:val="20"/>
        </w:rPr>
        <w:t xml:space="preserve">4.  </w:t>
      </w:r>
      <w:r>
        <w:rPr>
          <w:sz w:val="20"/>
          <w:szCs w:val="20"/>
        </w:rPr>
        <w:t xml:space="preserve">Criterio de éxito binario y explícito por prueba: cada consulta o pregunta de validación tiene un criterio de éxito definido de antemano (categoría de resultado esperada, o norma y artículo exactos esperados), no una evaluación subjetiva posterior.</w:t>
      </w:r>
    </w:p>
    <w:p>
      <w:pPr>
        <w:pStyle w:val="Heading1"/>
        <w:pageBreakBefore/>
        <w:spacing w:after="240" w:before="200"/>
      </w:pPr>
      <w:r>
        <w:rPr>
          <w:b/>
          <w:bCs/>
          <w:color w:val="1C2535"/>
          <w:sz w:val="30"/>
          <w:szCs w:val="30"/>
        </w:rPr>
        <w:t xml:space="preserve">4. Validación del motor de generación de presupuestos</w:t>
      </w:r>
    </w:p>
    <w:p>
      <w:pPr>
        <w:pStyle w:val="Heading2"/>
        <w:spacing w:after="150" w:before="300"/>
      </w:pPr>
      <w:r>
        <w:rPr>
          <w:b/>
          <w:bCs/>
          <w:color w:val="1A5A96"/>
          <w:sz w:val="24"/>
          <w:szCs w:val="24"/>
        </w:rPr>
        <w:t xml:space="preserve">4.1. Diseño experimental</w:t>
      </w:r>
    </w:p>
    <w:p>
      <w:pPr>
        <w:spacing w:after="150" w:line="270"/>
        <w:jc w:val="both"/>
      </w:pPr>
      <w:r>
        <w:rPr>
          <w:color w:val="222222"/>
          <w:sz w:val="20"/>
          <w:szCs w:val="20"/>
        </w:rPr>
        <w:t xml:space="preserve">La validación del motor trade-voice-to-quote se realiza mediante una batería de consultas automatizadas, ejecutadas contra la función de producción y clasificadas en seis categorías de resultado (éxito de catálogo, éxito mixto, solo sugeridas, vacío, truncado, error técnico). La batería vigente (400 consultas) cubre los 20 oficios de la Base Maestra a razón de 20 peticiones por oficio, redactadas en lenguaje real de instalador —incluyendo peticiones ambiguas o mal formuladas deliberadamente, para forzar el uso del sistema de fallback— y ejecutadas mediante un script de pruebas (test-motor-ia) sin intervención manual, con un tiempo de ejecución total estimado de 9 horas de desarrollo inicial de la suite.</w:t>
      </w:r>
    </w:p>
    <w:p>
      <w:pPr>
        <w:pStyle w:val="Heading2"/>
        <w:spacing w:after="150" w:before="300"/>
      </w:pPr>
      <w:r>
        <w:rPr>
          <w:b/>
          <w:bCs/>
          <w:color w:val="1A5A96"/>
          <w:sz w:val="24"/>
          <w:szCs w:val="24"/>
        </w:rPr>
        <w:t xml:space="preserve">4.2. Criterios de aceptación y resultados de la versión de referencia (v51)</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200"/>
        <w:gridCol w:w="1600"/>
        <w:gridCol w:w="2800"/>
        <w:gridCol w:w="1700"/>
      </w:tblGrid>
      <w:tr>
        <w:trPr>
          <w:cantSplit/>
          <w:tblHeader/>
        </w:trPr>
        <w:tc>
          <w:tcPr>
            <w:tcW w:type="dxa" w:w="3200"/>
            <w:shd w:fill="1C2535" w:val="clear"/>
            <w:tcMar>
              <w:top w:type="dxa" w:w="80"/>
              <w:left w:type="dxa" w:w="100"/>
              <w:bottom w:type="dxa" w:w="80"/>
              <w:right w:type="dxa" w:w="100"/>
            </w:tcMar>
            <w:vAlign w:val="center"/>
          </w:tcPr>
          <w:p>
            <w:pPr>
              <w:jc w:val="left"/>
            </w:pPr>
            <w:r>
              <w:rPr>
                <w:b/>
                <w:bCs/>
                <w:color w:val="FFFFFF"/>
                <w:sz w:val="18"/>
                <w:szCs w:val="18"/>
              </w:rPr>
              <w:t xml:space="preserve">Criterio de aceptación</w:t>
            </w:r>
          </w:p>
        </w:tc>
        <w:tc>
          <w:tcPr>
            <w:tcW w:type="dxa" w:w="1600"/>
            <w:shd w:fill="1C2535" w:val="clear"/>
            <w:tcMar>
              <w:top w:type="dxa" w:w="80"/>
              <w:left w:type="dxa" w:w="100"/>
              <w:bottom w:type="dxa" w:w="80"/>
              <w:right w:type="dxa" w:w="100"/>
            </w:tcMar>
            <w:vAlign w:val="center"/>
          </w:tcPr>
          <w:p>
            <w:pPr>
              <w:jc w:val="left"/>
            </w:pPr>
            <w:r>
              <w:rPr>
                <w:b/>
                <w:bCs/>
                <w:color w:val="FFFFFF"/>
                <w:sz w:val="18"/>
                <w:szCs w:val="18"/>
              </w:rPr>
              <w:t xml:space="preserve">Objetivo</w:t>
            </w:r>
          </w:p>
        </w:tc>
        <w:tc>
          <w:tcPr>
            <w:tcW w:type="dxa" w:w="2800"/>
            <w:shd w:fill="1C2535" w:val="clear"/>
            <w:tcMar>
              <w:top w:type="dxa" w:w="80"/>
              <w:left w:type="dxa" w:w="100"/>
              <w:bottom w:type="dxa" w:w="80"/>
              <w:right w:type="dxa" w:w="100"/>
            </w:tcMar>
            <w:vAlign w:val="center"/>
          </w:tcPr>
          <w:p>
            <w:pPr>
              <w:jc w:val="left"/>
            </w:pPr>
            <w:r>
              <w:rPr>
                <w:b/>
                <w:bCs/>
                <w:color w:val="FFFFFF"/>
                <w:sz w:val="18"/>
                <w:szCs w:val="18"/>
              </w:rPr>
              <w:t xml:space="preserve">Resultado v51</w:t>
            </w:r>
          </w:p>
        </w:tc>
        <w:tc>
          <w:tcPr>
            <w:tcW w:type="dxa" w:w="1700"/>
            <w:shd w:fill="1C2535" w:val="clear"/>
            <w:tcMar>
              <w:top w:type="dxa" w:w="80"/>
              <w:left w:type="dxa" w:w="100"/>
              <w:bottom w:type="dxa" w:w="80"/>
              <w:right w:type="dxa" w:w="100"/>
            </w:tcMar>
            <w:vAlign w:val="center"/>
          </w:tcPr>
          <w:p>
            <w:pPr>
              <w:jc w:val="left"/>
            </w:pPr>
            <w:r>
              <w:rPr>
                <w:b/>
                <w:bCs/>
                <w:color w:val="FFFFFF"/>
                <w:sz w:val="18"/>
                <w:szCs w:val="18"/>
              </w:rPr>
              <w:t xml:space="preserve">Estado</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éxito (OK_CATALOGO + OK_MIXTO)</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70%</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89% (354/400)</w:t>
            </w:r>
          </w:p>
        </w:tc>
        <w:tc>
          <w:tcPr>
            <w:tcW w:type="dxa" w:w="1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Cumple</w:t>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Respuestas VACÍO</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5%</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 (7/400)</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Cumple</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Errores técnicos (ERROR_TECNICO)</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2%</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0,5% (2/400)</w:t>
            </w:r>
          </w:p>
        </w:tc>
        <w:tc>
          <w:tcPr>
            <w:tcW w:type="dxa" w:w="1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Cumple</w:t>
            </w:r>
          </w:p>
        </w:tc>
      </w:tr>
      <w:tr>
        <w:trPr>
          <w:cantSplit/>
        </w:trPr>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Coincidencia de oficio detectado</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80%</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71% (285/400)</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cumple</w:t>
            </w:r>
          </w:p>
        </w:tc>
      </w:tr>
      <w:tr>
        <w:trPr>
          <w:cantSplit/>
        </w:trPr>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Latencia media de respuesta</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10.000 ms</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21.979 ms (P95: 43.593 ms)</w:t>
            </w:r>
          </w:p>
        </w:tc>
        <w:tc>
          <w:tcPr>
            <w:tcW w:type="dxa" w:w="1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cumple</w:t>
            </w:r>
          </w:p>
        </w:tc>
      </w:tr>
    </w:tbl>
    <w:p>
      <w:pPr>
        <w:spacing w:after="150" w:line="270"/>
        <w:jc w:val="both"/>
      </w:pPr>
      <w:r>
        <w:rPr>
          <w:color w:val="222222"/>
          <w:sz w:val="20"/>
          <w:szCs w:val="20"/>
        </w:rPr>
        <w:t xml:space="preserve">Los dos criterios no cumplidos —coincidencia de oficio y latencia— son, precisamente, el objeto central del proyecto de I+D descrito en la Memoria Técnica (objetivos específicos OE1 y OE2), y no una carencia oculta: están cuantificados, documentados y priorizados en el plan de trabajo (WP1) con hipótesis de mejora explícitas.</w:t>
      </w:r>
    </w:p>
    <w:p>
      <w:pPr>
        <w:pStyle w:val="Heading2"/>
        <w:spacing w:after="150" w:before="300"/>
      </w:pPr>
      <w:r>
        <w:rPr>
          <w:b/>
          <w:bCs/>
          <w:color w:val="1A5A96"/>
          <w:sz w:val="24"/>
          <w:szCs w:val="24"/>
        </w:rPr>
        <w:t xml:space="preserve">4.3. Evolución entre versiones — evidencia de mejora medible</w:t>
      </w:r>
    </w:p>
    <w:p>
      <w:pPr>
        <w:spacing w:after="150" w:line="270"/>
        <w:jc w:val="both"/>
      </w:pPr>
      <w:r>
        <w:rPr>
          <w:color w:val="222222"/>
          <w:sz w:val="20"/>
          <w:szCs w:val="20"/>
        </w:rPr>
        <w:t xml:space="preserve">La comparación entre la versión anterior (v50, con un error crítico ya corregido) y la versión de referencia actual (v51) ilustra el tipo de evidencia cuantitativa que este plan de validación exige para cualquier nueva iteración del motor:</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1700"/>
        <w:gridCol w:w="1900"/>
        <w:gridCol w:w="1600"/>
        <w:gridCol w:w="15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Métrica</w:t>
            </w:r>
          </w:p>
        </w:tc>
        <w:tc>
          <w:tcPr>
            <w:tcW w:type="dxa" w:w="1700"/>
            <w:shd w:fill="1C2535" w:val="clear"/>
            <w:tcMar>
              <w:top w:type="dxa" w:w="80"/>
              <w:left w:type="dxa" w:w="100"/>
              <w:bottom w:type="dxa" w:w="80"/>
              <w:right w:type="dxa" w:w="100"/>
            </w:tcMar>
            <w:vAlign w:val="center"/>
          </w:tcPr>
          <w:p>
            <w:pPr>
              <w:jc w:val="left"/>
            </w:pPr>
            <w:r>
              <w:rPr>
                <w:b/>
                <w:bCs/>
                <w:color w:val="FFFFFF"/>
                <w:sz w:val="18"/>
                <w:szCs w:val="18"/>
              </w:rPr>
              <w:t xml:space="preserve">v50 (roto)</w:t>
            </w:r>
          </w:p>
        </w:tc>
        <w:tc>
          <w:tcPr>
            <w:tcW w:type="dxa" w:w="1900"/>
            <w:shd w:fill="1C2535" w:val="clear"/>
            <w:tcMar>
              <w:top w:type="dxa" w:w="80"/>
              <w:left w:type="dxa" w:w="100"/>
              <w:bottom w:type="dxa" w:w="80"/>
              <w:right w:type="dxa" w:w="100"/>
            </w:tcMar>
            <w:vAlign w:val="center"/>
          </w:tcPr>
          <w:p>
            <w:pPr>
              <w:jc w:val="left"/>
            </w:pPr>
            <w:r>
              <w:rPr>
                <w:b/>
                <w:bCs/>
                <w:color w:val="FFFFFF"/>
                <w:sz w:val="18"/>
                <w:szCs w:val="18"/>
              </w:rPr>
              <w:t xml:space="preserve">v51 (corregido)</w:t>
            </w:r>
          </w:p>
        </w:tc>
        <w:tc>
          <w:tcPr>
            <w:tcW w:type="dxa" w:w="1600"/>
            <w:shd w:fill="1C2535" w:val="clear"/>
            <w:tcMar>
              <w:top w:type="dxa" w:w="80"/>
              <w:left w:type="dxa" w:w="100"/>
              <w:bottom w:type="dxa" w:w="80"/>
              <w:right w:type="dxa" w:w="100"/>
            </w:tcMar>
            <w:vAlign w:val="center"/>
          </w:tcPr>
          <w:p>
            <w:pPr>
              <w:jc w:val="left"/>
            </w:pPr>
            <w:r>
              <w:rPr>
                <w:b/>
                <w:bCs/>
                <w:color w:val="FFFFFF"/>
                <w:sz w:val="18"/>
                <w:szCs w:val="18"/>
              </w:rPr>
              <w:t xml:space="preserve">Δ Cambio</w:t>
            </w:r>
          </w:p>
        </w:tc>
        <w:tc>
          <w:tcPr>
            <w:tcW w:type="dxa" w:w="1500"/>
            <w:shd w:fill="1C2535" w:val="clear"/>
            <w:tcMar>
              <w:top w:type="dxa" w:w="80"/>
              <w:left w:type="dxa" w:w="100"/>
              <w:bottom w:type="dxa" w:w="80"/>
              <w:right w:type="dxa" w:w="100"/>
            </w:tcMar>
            <w:vAlign w:val="center"/>
          </w:tcPr>
          <w:p>
            <w:pPr>
              <w:jc w:val="left"/>
            </w:pPr>
            <w:r>
              <w:rPr>
                <w:b/>
                <w:bCs/>
                <w:color w:val="FFFFFF"/>
                <w:sz w:val="18"/>
                <w:szCs w:val="18"/>
              </w:rPr>
              <w:t xml:space="preserve">Objetivo</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OK (presupuesto con partidas)</w:t>
            </w:r>
          </w:p>
        </w:tc>
        <w:tc>
          <w:tcPr>
            <w:tcW w:type="dxa" w:w="1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24%</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89%</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+65 pp</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70%</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Respuestas VACÍO</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75%</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−73 pp</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&lt; 5%</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Coincidencia de oficio</w:t>
            </w:r>
          </w:p>
        </w:tc>
        <w:tc>
          <w:tcPr>
            <w:tcW w:type="dxa" w:w="1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(no medida)</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71%</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Nueva métrica</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80%</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Errores técnicos</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0,5%</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0,5%</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Sin cambio</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2%</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Latencia media</w:t>
            </w:r>
          </w:p>
        </w:tc>
        <w:tc>
          <w:tcPr>
            <w:tcW w:type="dxa" w:w="1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20.322 ms</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21.979 ms</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+1.657 ms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10.000 ms</w:t>
            </w:r>
          </w:p>
        </w:tc>
      </w:tr>
    </w:tbl>
    <w:p>
      <w:pPr>
        <w:spacing w:after="150" w:line="270"/>
        <w:jc w:val="both"/>
      </w:pPr>
      <w:r>
        <w:rPr>
          <w:color w:val="222222"/>
          <w:sz w:val="20"/>
          <w:szCs w:val="20"/>
        </w:rPr>
        <w:t xml:space="preserve">El caso v50→v51 documenta el hallazgo más relevante de esta comparación: la tasa de respuestas vacías (VACÍO) —el fallo más grave desde la perspectiva del usuario final, un presupuesto en blanco— pasó del 75% al 2% mediante la corrección de un único error identificado, lo que ilustra tanto la utilidad de la batería de validación para detectar regresiones graves como la velocidad de corrección una vez identificada la causa.</w:t>
      </w:r>
    </w:p>
    <w:p>
      <w:pPr>
        <w:pStyle w:val="Heading2"/>
        <w:spacing w:after="150" w:before="300"/>
      </w:pPr>
      <w:r>
        <w:rPr>
          <w:b/>
          <w:bCs/>
          <w:color w:val="1A5A96"/>
          <w:sz w:val="24"/>
          <w:szCs w:val="24"/>
        </w:rPr>
        <w:t xml:space="preserve">4.4. Próximos experimentos (batería ampliada y versiones v60-v62)</w:t>
      </w:r>
    </w:p>
    <w:p>
      <w:pPr>
        <w:spacing w:after="150" w:line="270"/>
        <w:jc w:val="both"/>
      </w:pPr>
      <w:r>
        <w:rPr>
          <w:color w:val="222222"/>
          <w:sz w:val="20"/>
          <w:szCs w:val="20"/>
        </w:rPr>
        <w:t xml:space="preserve">El plan de trabajo de la Memoria Técnica de I+D+i (WP1-WP2) contempla la ampliación de la batería de 400 a 1.500 consultas y la evaluación de las versiones v60, v61 y v62 del motor contra el baseline v56-stable (versión intermedia ya estabilizada tras v51), con un semáforo de decisión automatizado que determina si una versión candidata puede sustituir a la de producción:</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600"/>
        <w:gridCol w:w="5700"/>
      </w:tblGrid>
      <w:tr>
        <w:trPr>
          <w:cantSplit/>
          <w:tblHeader/>
        </w:trPr>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Criterio del semáforo</w:t>
            </w:r>
          </w:p>
        </w:tc>
        <w:tc>
          <w:tcPr>
            <w:tcW w:type="dxa" w:w="5700"/>
            <w:shd w:fill="1C2535" w:val="clear"/>
            <w:tcMar>
              <w:top w:type="dxa" w:w="80"/>
              <w:left w:type="dxa" w:w="100"/>
              <w:bottom w:type="dxa" w:w="80"/>
              <w:right w:type="dxa" w:w="100"/>
            </w:tcMar>
            <w:vAlign w:val="center"/>
          </w:tcPr>
          <w:p>
            <w:pPr>
              <w:jc w:val="left"/>
            </w:pPr>
            <w:r>
              <w:rPr>
                <w:b/>
                <w:bCs/>
                <w:color w:val="FFFFFF"/>
                <w:sz w:val="18"/>
                <w:szCs w:val="18"/>
              </w:rPr>
              <w:t xml:space="preserve">Condición verde</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VACÍO</w:t>
            </w:r>
          </w:p>
        </w:tc>
        <w:tc>
          <w:tcPr>
            <w:tcW w:type="dxa" w:w="5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0 (no debe haber ningún caso sin actuación detectada)</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TRUNCADO</w:t>
            </w:r>
          </w:p>
        </w:tc>
        <w:tc>
          <w:tcPr>
            <w:tcW w:type="dxa" w:w="5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empeora respecto al baseline</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OK</w:t>
            </w:r>
          </w:p>
        </w:tc>
        <w:tc>
          <w:tcPr>
            <w:tcW w:type="dxa" w:w="5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baseline − 1 punto porcentual</w:t>
            </w:r>
          </w:p>
        </w:tc>
      </w:tr>
      <w:tr>
        <w:trPr>
          <w:cantSplit/>
        </w:trPr>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Coincidencia de oficio</w:t>
            </w:r>
          </w:p>
        </w:tc>
        <w:tc>
          <w:tcPr>
            <w:tcW w:type="dxa" w:w="5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Mejora o no empeora más de 1 punto porcentual</w:t>
            </w:r>
          </w:p>
        </w:tc>
      </w:tr>
      <w:tr>
        <w:trPr>
          <w:cantSplit/>
        </w:trPr>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Regresiones de causa A (regresión real)</w:t>
            </w:r>
          </w:p>
        </w:tc>
        <w:tc>
          <w:tcPr>
            <w:tcW w:type="dxa" w:w="5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0</w:t>
            </w:r>
          </w:p>
        </w:tc>
      </w:tr>
    </w:tbl>
    <w:p>
      <w:pPr>
        <w:spacing w:after="150" w:line="270"/>
        <w:jc w:val="both"/>
      </w:pPr>
      <w:r>
        <w:rPr>
          <w:color w:val="222222"/>
          <w:sz w:val="20"/>
          <w:szCs w:val="20"/>
        </w:rPr>
        <w:t xml:space="preserve">Cuando una versión candidata no cumple alguno de estos criterios, el protocolo ya definido exige reversión (rollback) inmediata a la versión de producción anterior, evitando la exposición de usuarios reales a una regresión detectada.</w:t>
      </w:r>
    </w:p>
    <w:p>
      <w:pPr>
        <w:pStyle w:val="Heading1"/>
        <w:pageBreakBefore/>
        <w:spacing w:after="240" w:before="200"/>
      </w:pPr>
      <w:r>
        <w:rPr>
          <w:b/>
          <w:bCs/>
          <w:color w:val="1C2535"/>
          <w:sz w:val="30"/>
          <w:szCs w:val="30"/>
        </w:rPr>
        <w:t xml:space="preserve">5. Validación del sistema de recuperación normativa (RAG)</w:t>
      </w:r>
    </w:p>
    <w:p>
      <w:pPr>
        <w:spacing w:after="150" w:line="270"/>
        <w:jc w:val="both"/>
      </w:pPr>
      <w:r>
        <w:rPr>
          <w:color w:val="222222"/>
          <w:sz w:val="20"/>
          <w:szCs w:val="20"/>
        </w:rPr>
        <w:t xml:space="preserve">El criterio de éxito del asistente normativo no es que el sistema responda algo, sino que cite el artículo correcto de la norma correcta, con aplicación correcta al caso planteado por el instalador. Este criterio, sensiblemente más exigente que el de un chatbot conversacional genérico, exige una suite de validación específica por vertical normativa, con preguntas de referencia y criterio de éxito definido pregunta a pregunta.</w:t>
      </w:r>
    </w:p>
    <w:p>
      <w:pPr>
        <w:pStyle w:val="Heading2"/>
        <w:spacing w:after="150" w:before="300"/>
      </w:pPr>
      <w:r>
        <w:rPr>
          <w:b/>
          <w:bCs/>
          <w:color w:val="1A5A96"/>
          <w:sz w:val="24"/>
          <w:szCs w:val="24"/>
        </w:rPr>
        <w:t xml:space="preserve">5.1. Suites de validación diseñadas</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400"/>
        <w:gridCol w:w="1400"/>
        <w:gridCol w:w="4500"/>
      </w:tblGrid>
      <w:tr>
        <w:trPr>
          <w:cantSplit/>
          <w:tblHeader/>
        </w:trPr>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Vertical normativa</w:t>
            </w:r>
          </w:p>
        </w:tc>
        <w:tc>
          <w:tcPr>
            <w:tcW w:type="dxa" w:w="1400"/>
            <w:shd w:fill="1C2535" w:val="clear"/>
            <w:tcMar>
              <w:top w:type="dxa" w:w="80"/>
              <w:left w:type="dxa" w:w="100"/>
              <w:bottom w:type="dxa" w:w="80"/>
              <w:right w:type="dxa" w:w="100"/>
            </w:tcMar>
            <w:vAlign w:val="center"/>
          </w:tcPr>
          <w:p>
            <w:pPr>
              <w:jc w:val="left"/>
            </w:pPr>
            <w:r>
              <w:rPr>
                <w:b/>
                <w:bCs/>
                <w:color w:val="FFFFFF"/>
                <w:sz w:val="18"/>
                <w:szCs w:val="18"/>
              </w:rPr>
              <w:t xml:space="preserve">Preguntas</w:t>
            </w:r>
          </w:p>
        </w:tc>
        <w:tc>
          <w:tcPr>
            <w:tcW w:type="dxa" w:w="4500"/>
            <w:shd w:fill="1C2535" w:val="clear"/>
            <w:tcMar>
              <w:top w:type="dxa" w:w="80"/>
              <w:left w:type="dxa" w:w="100"/>
              <w:bottom w:type="dxa" w:w="80"/>
              <w:right w:type="dxa" w:w="100"/>
            </w:tcMar>
            <w:vAlign w:val="center"/>
          </w:tcPr>
          <w:p>
            <w:pPr>
              <w:jc w:val="left"/>
            </w:pPr>
            <w:r>
              <w:rPr>
                <w:b/>
                <w:bCs/>
                <w:color w:val="FFFFFF"/>
                <w:sz w:val="18"/>
                <w:szCs w:val="18"/>
              </w:rPr>
              <w:t xml:space="preserve">Normas de referencia cubiertas</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Recarga de vehículo eléctrico</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15</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ITC-BT-52, ITC-BT-19, Ley de Propiedad Horizontal (art. 17), RD 266/2021 (MOVES III), RD 1514/2010, Reglamento UE 2023/1804 (AFIR), IEC 61851, IEC 62196, OCPP 1.6</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Fotovoltaica industrial y autoconsumo</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15</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RD 244/2019, RD 1183/2020, IEC 62446-1/-3, IEC 61724, IEC 62548, IEC 62109, RD 1699/2011, IEC 61215</w:t>
            </w:r>
          </w:p>
        </w:tc>
      </w:tr>
    </w:tbl>
    <w:p>
      <w:pPr>
        <w:spacing w:after="150" w:line="270"/>
        <w:jc w:val="both"/>
      </w:pPr>
      <w:r>
        <w:rPr>
          <w:color w:val="222222"/>
          <w:sz w:val="20"/>
          <w:szCs w:val="20"/>
        </w:rPr>
        <w:t xml:space="preserve">A modo de ilustración del nivel de exigencia de estas preguntas, dos ejemplos representativos de la suite de vehículo eléctrico: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4200"/>
        <w:gridCol w:w="2100"/>
        <w:gridCol w:w="3000"/>
      </w:tblGrid>
      <w:tr>
        <w:trPr>
          <w:cantSplit/>
          <w:tblHeader/>
        </w:trPr>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Pregunta del instalador</w:t>
            </w:r>
          </w:p>
        </w:tc>
        <w:tc>
          <w:tcPr>
            <w:tcW w:type="dxa" w:w="2100"/>
            <w:shd w:fill="1C2535" w:val="clear"/>
            <w:tcMar>
              <w:top w:type="dxa" w:w="80"/>
              <w:left w:type="dxa" w:w="100"/>
              <w:bottom w:type="dxa" w:w="80"/>
              <w:right w:type="dxa" w:w="100"/>
            </w:tcMar>
            <w:vAlign w:val="center"/>
          </w:tcPr>
          <w:p>
            <w:pPr>
              <w:jc w:val="left"/>
            </w:pPr>
            <w:r>
              <w:rPr>
                <w:b/>
                <w:bCs/>
                <w:color w:val="FFFFFF"/>
                <w:sz w:val="18"/>
                <w:szCs w:val="18"/>
              </w:rPr>
              <w:t xml:space="preserve">Norma esperada</w:t>
            </w:r>
          </w:p>
        </w:tc>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Criterio de éxito</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¿Qué sección de cable necesito para un wallbox de 22 kW trifásico a 10 metros del cuadro?</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ITC-BT-52 + ITC-BT-19</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Cita ITC-BT-52 (tabla de secciones) y menciona 10mm² mínimo</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¿Cuántos votos necesito en la comunidad para instalar un wallbox en garaje comunitario?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Ley 49/1960, art. 17</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Cita el art. 17.3: no requiere mayoría, solo notificación</w:t>
            </w:r>
          </w:p>
        </w:tc>
      </w:tr>
    </w:tbl>
    <w:p>
      <w:pPr>
        <w:pStyle w:val="Heading2"/>
        <w:spacing w:after="150" w:before="300"/>
      </w:pPr>
      <w:r>
        <w:rPr>
          <w:b/>
          <w:bCs/>
          <w:color w:val="1A5A96"/>
          <w:sz w:val="24"/>
          <w:szCs w:val="24"/>
        </w:rPr>
        <w:t xml:space="preserve">5.2. Métricas de calidad del RAG</w:t>
      </w:r>
    </w:p>
    <w:tbl>
      <w:tblPr>
        <w:tblW w:type="dxa" w:w="92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3400"/>
        <w:gridCol w:w="1500"/>
        <w:gridCol w:w="19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Métrica</w:t>
            </w:r>
          </w:p>
        </w:tc>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Definición</w:t>
            </w:r>
          </w:p>
        </w:tc>
        <w:tc>
          <w:tcPr>
            <w:tcW w:type="dxa" w:w="1500"/>
            <w:shd w:fill="1C2535" w:val="clear"/>
            <w:tcMar>
              <w:top w:type="dxa" w:w="80"/>
              <w:left w:type="dxa" w:w="100"/>
              <w:bottom w:type="dxa" w:w="80"/>
              <w:right w:type="dxa" w:w="100"/>
            </w:tcMar>
            <w:vAlign w:val="center"/>
          </w:tcPr>
          <w:p>
            <w:pPr>
              <w:jc w:val="left"/>
            </w:pPr>
            <w:r>
              <w:rPr>
                <w:b/>
                <w:bCs/>
                <w:color w:val="FFFFFF"/>
                <w:sz w:val="18"/>
                <w:szCs w:val="18"/>
              </w:rPr>
              <w:t xml:space="preserve">Objetivo</w:t>
            </w:r>
          </w:p>
        </w:tc>
        <w:tc>
          <w:tcPr>
            <w:tcW w:type="dxa" w:w="1900"/>
            <w:shd w:fill="1C2535" w:val="clear"/>
            <w:tcMar>
              <w:top w:type="dxa" w:w="80"/>
              <w:left w:type="dxa" w:w="100"/>
              <w:bottom w:type="dxa" w:w="80"/>
              <w:right w:type="dxa" w:w="100"/>
            </w:tcMar>
            <w:vAlign w:val="center"/>
          </w:tcPr>
          <w:p>
            <w:pPr>
              <w:jc w:val="left"/>
            </w:pPr>
            <w:r>
              <w:rPr>
                <w:b/>
                <w:bCs/>
                <w:color w:val="FFFFFF"/>
                <w:sz w:val="18"/>
                <w:szCs w:val="18"/>
              </w:rPr>
              <w:t xml:space="preserve">Medición</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Recall normativo</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de preguntas donde la norma correcta aparece en los chunks recuperados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85%</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Suite de 30 preguntas de referencia</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Precisión de cita</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de respuestas que citan el artículo o sección exactos</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75%</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Revisión manual</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Ausencia de alucinación normativa</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de respuestas sin datos normativos inventados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95%</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Revisión manual</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Latencia P95</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Tiempo total desde la pregunta hasta la respuesta (embedding + búsqueda + modelo de lenguaje)</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3 segundos</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Registros de la función edge</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activación del RAG</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de preguntas al asistente que activan búsqueda normativa (frente a respuesta conversacional general)</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10-30%</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Registros y métricas de uso</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NPS específico del asistente normativo</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Satisfacción del instalador con las respuestas normativas recibidas</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4,2 / 5</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Encuesta dentro de la aplicación</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EJECUCIÓN FORMAL DE LA SUITE DE VALIDACIÓN DEL RAG</w:t>
            </w:r>
          </w:p>
          <w:p>
            <w:pPr>
              <w:jc w:val="both"/>
            </w:pPr>
            <w:r>
              <w:rPr>
                <w:i/>
                <w:iCs/>
                <w:color w:val="3A3A3A"/>
                <w:sz w:val="18"/>
                <w:szCs w:val="18"/>
              </w:rPr>
              <w:t xml:space="preserve">La suite de 30 preguntas y las métricas de calidad están diseñadas y documentadas, pero no consta en la documentación revisada un informe de resultados ya ejecutado y cuantificado, equivalente en formato al informe de resultados v51 del motor de presupuestos. Se recomienda ejecutar y documentar esta suite con la misma disciplina de reporte (criterio de aceptación, resultado obtenido, estado cumple/no cumple) antes de presentar esta memoria como evidencia de validación completa.</w:t>
            </w:r>
          </w:p>
        </w:tc>
      </w:tr>
    </w:tbl>
    <w:p>
      <w:pPr>
        <w:pStyle w:val="Heading2"/>
        <w:spacing w:after="150" w:before="300"/>
      </w:pPr>
      <w:r>
        <w:rPr>
          <w:b/>
          <w:bCs/>
          <w:color w:val="1A5A96"/>
          <w:sz w:val="24"/>
          <w:szCs w:val="24"/>
        </w:rPr>
        <w:t xml:space="preserve">5.3. Mantenimiento y actualización ante cambios normativos</w:t>
      </w:r>
    </w:p>
    <w:p>
      <w:pPr>
        <w:spacing w:after="150" w:line="270"/>
        <w:jc w:val="both"/>
      </w:pPr>
      <w:r>
        <w:rPr>
          <w:color w:val="222222"/>
          <w:sz w:val="20"/>
          <w:szCs w:val="20"/>
        </w:rPr>
        <w:t xml:space="preserve">El sistema RAG incorpora un proceso definido de actualización ante cambios normativos: detección del cambio (suscripción a alertas del BOE con palabras clave del sector, boletines de asociaciones sectoriales como AEDIVE y UNEF, revisión trimestral del catálogo de normas activas), evaluación de impacto sobre los fragmentos ya indexados, reindexación parcial o completa, ejecución de la suite de validación correspondiente, y registro en una tabla de auditoría de cambios normativos (trade_normativa_changelog) que documenta versión anterior, versión nueva, tipo de cambio y nivel de impacto. Este proceso constituye, en sí mismo, un mecanismo de validación continua frente al riesgo de desactualización normativa, no solo una validación puntual previa al lanzamiento.</w:t>
      </w:r>
    </w:p>
    <w:p>
      <w:pPr>
        <w:pStyle w:val="Heading1"/>
        <w:pageBreakBefore/>
        <w:spacing w:after="240" w:before="200"/>
      </w:pPr>
      <w:r>
        <w:rPr>
          <w:b/>
          <w:bCs/>
          <w:color w:val="1C2535"/>
          <w:sz w:val="30"/>
          <w:szCs w:val="30"/>
        </w:rPr>
        <w:t xml:space="preserve">6. Validación con usuarios reales (beta cerrada)</w:t>
      </w:r>
    </w:p>
    <w:p>
      <w:pPr>
        <w:spacing w:after="150" w:line="270"/>
        <w:jc w:val="both"/>
      </w:pPr>
      <w:r>
        <w:rPr>
          <w:color w:val="222222"/>
          <w:sz w:val="20"/>
          <w:szCs w:val="20"/>
        </w:rPr>
        <w:t xml:space="preserve">Los dos frentes anteriores validan el motor de IA en un entorno de test, sin catálogo de empresa activo ni presión de uso real. La validación de producto con usuarios reales —diseñada como beta cerrada de 20 instaladores— es el tercer frente, necesario porque la precisión técnica del motor no garantiza por sí sola la adopción ni la utilidad percibida por el usuario final.</w:t>
      </w:r>
    </w:p>
    <w:p>
      <w:pPr>
        <w:pStyle w:val="Heading2"/>
        <w:spacing w:after="150" w:before="300"/>
      </w:pPr>
      <w:r>
        <w:rPr>
          <w:b/>
          <w:bCs/>
          <w:color w:val="1A5A96"/>
          <w:sz w:val="24"/>
          <w:szCs w:val="24"/>
        </w:rPr>
        <w:t xml:space="preserve">6.1. Metodología de la beta</w:t>
      </w:r>
    </w:p>
    <w:p>
      <w:pPr>
        <w:spacing w:after="85"/>
        <w:ind w:left="340" w:hanging="220"/>
        <w:jc w:val="both"/>
      </w:pPr>
      <w:r>
        <w:rPr>
          <w:b/>
          <w:bCs/>
          <w:color w:val="1A5A96"/>
          <w:sz w:val="20"/>
          <w:szCs w:val="20"/>
        </w:rPr>
        <w:t xml:space="preserve">•  </w:t>
      </w:r>
      <w:r>
        <w:rPr>
          <w:sz w:val="20"/>
          <w:szCs w:val="20"/>
        </w:rPr>
        <w:t xml:space="preserve">Captación de 20 instaladores beta mediante contactos directos, asociaciones y canales profesionales del sector.</w:t>
      </w:r>
    </w:p>
    <w:p>
      <w:pPr>
        <w:spacing w:after="85"/>
        <w:ind w:left="340" w:hanging="220"/>
        <w:jc w:val="both"/>
      </w:pPr>
      <w:r>
        <w:rPr>
          <w:b/>
          <w:bCs/>
          <w:color w:val="1A5A96"/>
          <w:sz w:val="20"/>
          <w:szCs w:val="20"/>
        </w:rPr>
        <w:t xml:space="preserve">•  </w:t>
      </w:r>
      <w:r>
        <w:rPr>
          <w:sz w:val="20"/>
          <w:szCs w:val="20"/>
        </w:rPr>
        <w:t xml:space="preserve">Onboarding manual uno a uno (no automatizado en esta fase), con una reunión inicial de 20 minutos por usuario para entender su flujo de trabajo actual antes de la primera prueba.</w:t>
      </w:r>
    </w:p>
    <w:p>
      <w:pPr>
        <w:spacing w:after="85"/>
        <w:ind w:left="340" w:hanging="220"/>
        <w:jc w:val="both"/>
      </w:pPr>
      <w:r>
        <w:rPr>
          <w:b/>
          <w:bCs/>
          <w:color w:val="1A5A96"/>
          <w:sz w:val="20"/>
          <w:szCs w:val="20"/>
        </w:rPr>
        <w:t xml:space="preserve">•  </w:t>
      </w:r>
      <w:r>
        <w:rPr>
          <w:sz w:val="20"/>
          <w:szCs w:val="20"/>
        </w:rPr>
        <w:t xml:space="preserve">Medición individual de: presupuestos creados, tiempo medio de creación, errores o correcciones necesarias, satisfacción declarada, e intención de pago.</w:t>
      </w:r>
    </w:p>
    <w:p>
      <w:pPr>
        <w:spacing w:after="85"/>
        <w:ind w:left="340" w:hanging="220"/>
        <w:jc w:val="both"/>
      </w:pPr>
      <w:r>
        <w:rPr>
          <w:b/>
          <w:bCs/>
          <w:color w:val="1A5A96"/>
          <w:sz w:val="20"/>
          <w:szCs w:val="20"/>
        </w:rPr>
        <w:t xml:space="preserve">•  </w:t>
      </w:r>
      <w:r>
        <w:rPr>
          <w:sz w:val="20"/>
          <w:szCs w:val="20"/>
        </w:rPr>
        <w:t xml:space="preserve">Recogida de testimonios (anónimos o nominales, con permiso expreso del usuario) para su uso en materiales comerciales y de solicitud de ayuda.</w:t>
      </w:r>
    </w:p>
    <w:p>
      <w:pPr>
        <w:pStyle w:val="Heading2"/>
        <w:spacing w:after="150" w:before="300"/>
      </w:pPr>
      <w:r>
        <w:rPr>
          <w:b/>
          <w:bCs/>
          <w:color w:val="1A5A96"/>
          <w:sz w:val="24"/>
          <w:szCs w:val="24"/>
        </w:rPr>
        <w:t xml:space="preserve">6.2. Indicadores de producto y umbrales de decisión</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4200"/>
        <w:gridCol w:w="27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Indicador</w:t>
            </w:r>
          </w:p>
        </w:tc>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Qué mide</w:t>
            </w:r>
          </w:p>
        </w:tc>
        <w:tc>
          <w:tcPr>
            <w:tcW w:type="dxa" w:w="2700"/>
            <w:shd w:fill="1C2535" w:val="clear"/>
            <w:tcMar>
              <w:top w:type="dxa" w:w="80"/>
              <w:left w:type="dxa" w:w="100"/>
              <w:bottom w:type="dxa" w:w="80"/>
              <w:right w:type="dxa" w:w="100"/>
            </w:tcMar>
            <w:vAlign w:val="center"/>
          </w:tcPr>
          <w:p>
            <w:pPr>
              <w:jc w:val="left"/>
            </w:pPr>
            <w:r>
              <w:rPr>
                <w:b/>
                <w:bCs/>
                <w:color w:val="FFFFFF"/>
                <w:sz w:val="18"/>
                <w:szCs w:val="18"/>
              </w:rPr>
              <w:t xml:space="preserve">Objetivo</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Activación</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de usuarios que generan su primer presupuesto en la primera sesión</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Medir de forma honesta, sin objetivo prefijado que sesgue la interpretación</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Tiempo al primer presupuesto</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Minutos desde el alta hasta tener un presupuesto listo para enviar</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&lt; 5 minutos</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Uso semanal</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Usuarios que vuelven y generan al menos un presupuesto por semana</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Medir de forma honesta</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Precisión percibida</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de presupuestos generados por IA que requieren una corrección relevante por parte del instalador</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&lt; 20%</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Ahorro de tiempo percibido</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Horas ahorradas según declaración del propio usuario, mediante encuesta posterior al uso</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Medir de forma honesta</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Intención de pago</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de usuarios beta que declaran que pagarían el precio de lanzamiento tras haber usado el producto</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&gt; 40%</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NPS / satisfacción</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¿Recomendarías TrabFlow a otro instalador? (escala 0-10)</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&gt; 40</w:t>
            </w:r>
          </w:p>
        </w:tc>
      </w:tr>
    </w:tbl>
    <w:p>
      <w:pPr>
        <w:pStyle w:val="Heading2"/>
        <w:spacing w:after="150" w:before="300"/>
      </w:pPr>
      <w:r>
        <w:rPr>
          <w:b/>
          <w:bCs/>
          <w:color w:val="1A5A96"/>
          <w:sz w:val="24"/>
          <w:szCs w:val="24"/>
        </w:rPr>
        <w:t xml:space="preserve">6.3. Definición de Product-Market Fit del proyecto</w:t>
      </w:r>
    </w:p>
    <w:p>
      <w:pPr>
        <w:spacing w:after="150" w:line="270"/>
        <w:jc w:val="both"/>
      </w:pPr>
      <w:r>
        <w:rPr>
          <w:color w:val="222222"/>
          <w:sz w:val="20"/>
          <w:szCs w:val="20"/>
        </w:rPr>
        <w:t xml:space="preserve">El proyecto define de forma explícita y cuantitativa el umbral a partir del cual considera alcanzado el ajuste producto-mercado (Product-Market Fit), evitando la ambigüedad frecuente en este tipo de afirmaciones:</w:t>
      </w:r>
    </w:p>
    <w:p>
      <w:pPr>
        <w:spacing w:after="85"/>
        <w:ind w:left="380" w:hanging="260"/>
        <w:jc w:val="both"/>
      </w:pPr>
      <w:r>
        <w:rPr>
          <w:b/>
          <w:bCs/>
          <w:color w:val="1A5A96"/>
          <w:sz w:val="20"/>
          <w:szCs w:val="20"/>
        </w:rPr>
        <w:t xml:space="preserve">1.  </w:t>
      </w:r>
      <w:r>
        <w:rPr>
          <w:sz w:val="20"/>
          <w:szCs w:val="20"/>
        </w:rPr>
        <w:t xml:space="preserve">100 instaladores de pago activos, entendiendo por activo el uso de la aplicación al menos tres veces por semana.</w:t>
      </w:r>
    </w:p>
    <w:p>
      <w:pPr>
        <w:spacing w:after="85"/>
        <w:ind w:left="380" w:hanging="260"/>
        <w:jc w:val="both"/>
      </w:pPr>
      <w:r>
        <w:rPr>
          <w:b/>
          <w:bCs/>
          <w:color w:val="1A5A96"/>
          <w:sz w:val="20"/>
          <w:szCs w:val="20"/>
        </w:rPr>
        <w:t xml:space="preserve">2.  </w:t>
      </w:r>
      <w:r>
        <w:rPr>
          <w:sz w:val="20"/>
          <w:szCs w:val="20"/>
        </w:rPr>
        <w:t xml:space="preserve">Al menos el 40% de los usuarios declara que estaría "muy decepcionado" si TrabFlow desapareciera (metodología de encuesta de Sean Ellis, estándar de facto para la medición de ajuste producto-mercado en producto digital).</w:t>
      </w:r>
    </w:p>
    <w:p>
      <w:pPr>
        <w:spacing w:after="85"/>
        <w:ind w:left="380" w:hanging="260"/>
        <w:jc w:val="both"/>
      </w:pPr>
      <w:r>
        <w:rPr>
          <w:b/>
          <w:bCs/>
          <w:color w:val="1A5A96"/>
          <w:sz w:val="20"/>
          <w:szCs w:val="20"/>
        </w:rPr>
        <w:t xml:space="preserve">3.  </w:t>
      </w:r>
      <w:r>
        <w:rPr>
          <w:sz w:val="20"/>
          <w:szCs w:val="20"/>
        </w:rPr>
        <w:t xml:space="preserve">Churn mensual inferior al 5%.</w:t>
      </w:r>
    </w:p>
    <w:p>
      <w:pPr>
        <w:spacing w:after="85"/>
        <w:ind w:left="380" w:hanging="260"/>
        <w:jc w:val="both"/>
      </w:pPr>
      <w:r>
        <w:rPr>
          <w:b/>
          <w:bCs/>
          <w:color w:val="1A5A96"/>
          <w:sz w:val="20"/>
          <w:szCs w:val="20"/>
        </w:rPr>
        <w:t xml:space="preserve">4.  </w:t>
      </w:r>
      <w:r>
        <w:rPr>
          <w:sz w:val="20"/>
          <w:szCs w:val="20"/>
        </w:rPr>
        <w:t xml:space="preserve">Al menos un acuerdo formalizado con una asociación sectorial del gremio de instaladores.</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EJECUCIÓN DE LA BETA CERRADA</w:t>
            </w:r>
          </w:p>
          <w:p>
            <w:pPr>
              <w:jc w:val="both"/>
            </w:pPr>
            <w:r>
              <w:rPr>
                <w:i/>
                <w:iCs/>
                <w:color w:val="3A3A3A"/>
                <w:sz w:val="18"/>
                <w:szCs w:val="18"/>
              </w:rPr>
              <w:t xml:space="preserve">A fecha de esta memoria, la beta cerrada de 20 instaladores está diseñada, presupuestada y calendarizada, pero no ejecutada. Los indicadores del apartado 6.2 y el umbral de Product-Market Fit del apartado 6.3 son, por tanto, objetivos de validación del proyecto de I+D, no resultados ya obtenidos; no deben presentarse ante un evaluador como si ya se hubieran alcanzado.</w:t>
            </w:r>
          </w:p>
        </w:tc>
      </w:tr>
    </w:tbl>
    <w:p>
      <w:pPr>
        <w:pStyle w:val="Heading1"/>
        <w:pageBreakBefore/>
        <w:spacing w:after="240" w:before="200"/>
      </w:pPr>
      <w:r>
        <w:rPr>
          <w:b/>
          <w:bCs/>
          <w:color w:val="1C2535"/>
          <w:sz w:val="30"/>
          <w:szCs w:val="30"/>
        </w:rPr>
        <w:t xml:space="preserve">7. Validación de experiencia de usuario (UX)</w:t>
      </w:r>
    </w:p>
    <w:p>
      <w:pPr>
        <w:spacing w:after="150" w:line="270"/>
        <w:jc w:val="both"/>
      </w:pPr>
      <w:r>
        <w:rPr>
          <w:color w:val="222222"/>
          <w:sz w:val="20"/>
          <w:szCs w:val="20"/>
        </w:rPr>
        <w:t xml:space="preserve">De forma complementaria a la validación funcional y de precisión del motor, el proyecto aplica una metodología de auditoría de experiencia de usuario que recorre el flujo completo desde la perspectiva de un usuario nuevo, puntuando cada paso en tres dimensiones: claridad (¿se entiende sin explicación adicional?), fricción (¿cuántos clics o decisiones innecesarias exige?) y emoción (¿genera satisfacción o frustración en el usuario?).</w:t>
      </w:r>
    </w:p>
    <w:p>
      <w:pPr>
        <w:spacing w:after="150" w:line="270"/>
        <w:jc w:val="both"/>
      </w:pPr>
      <w:r>
        <w:rPr>
          <w:color w:val="222222"/>
          <w:sz w:val="20"/>
          <w:szCs w:val="20"/>
        </w:rPr>
        <w:t xml:space="preserve">Esta metodología, aplicada ya de forma preliminar por el propio equipo promotor sobre los módulos principales de la plataforma (presupuesto por voz, presupuesto por foto, facturación, gestión de equipo, panel principal, entre otros), ha permitido priorizar de forma objetiva las áreas de mejora antes del lanzamiento de la beta: por ejemplo, el proceso de registro (onboarding) ha sido identificado como el módulo de menor puntuación y máxima prioridad de mejora, con una propuesta concreta de simplificación (reducir el alta inicial a nombre, email y oficio, posponiendo el resto de datos a después del primer presupuesto).</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VALIDACIÓN DE UX CON USUARIOS EXTERNOS AL EQUIPO PROMOTOR</w:t>
            </w:r>
          </w:p>
          <w:p>
            <w:pPr>
              <w:jc w:val="both"/>
            </w:pPr>
            <w:r>
              <w:rPr>
                <w:i/>
                <w:iCs/>
                <w:color w:val="3A3A3A"/>
                <w:sz w:val="18"/>
                <w:szCs w:val="18"/>
              </w:rPr>
              <w:t xml:space="preserve">La auditoría de UX descrita ha sido realizada, hasta la fecha, por el propio equipo promotor recorriendo el flujo como si fuera un usuario nuevo, no por instaladores reales ajenos al proyecto. Su valor como ejercicio de priorización interna es alto, pero no sustituye a una validación con usuarios externos, que se obtendrá mediante las entrevistas estructuradas de la beta cerrada (apartado 6).</w:t>
            </w:r>
          </w:p>
        </w:tc>
      </w:tr>
    </w:tbl>
    <w:p>
      <w:pPr>
        <w:pStyle w:val="Heading1"/>
        <w:pageBreakBefore/>
        <w:spacing w:after="240" w:before="200"/>
      </w:pPr>
      <w:r>
        <w:rPr>
          <w:b/>
          <w:bCs/>
          <w:color w:val="1C2535"/>
          <w:sz w:val="30"/>
          <w:szCs w:val="30"/>
        </w:rPr>
        <w:t xml:space="preserve">8. Gobernanza de la validación — Centro de Validación de IA</w:t>
      </w:r>
    </w:p>
    <w:p>
      <w:pPr>
        <w:spacing w:after="150" w:line="270"/>
        <w:jc w:val="both"/>
      </w:pPr>
      <w:r>
        <w:rPr>
          <w:color w:val="222222"/>
          <w:sz w:val="20"/>
          <w:szCs w:val="20"/>
        </w:rPr>
        <w:t xml:space="preserve">Los experimentos descritos en los apartados 4 y 5 no son ejercicios puntuales, sino que se sustentan en una infraestructura permanente de validación —el Centro de Validación de IA (AI Validation Center)— diseñada para sustituir la ejecución manual de benchmarks por un panel con historial de versiones, comparador y control de acceso por rol, descrito con detalle en la Memoria Técnica de I+D+i (objetivo específico OE4).</w:t>
      </w:r>
    </w:p>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Nueva versión candidata del motor (v6x)</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Ejecución de benchmark (400 → 1.500 consultas)</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Comparador — siempre contra baseline v56-stable, nunca contra la versión anterior</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Clasificación causal de cualquier empeoramiento (causas A–F)</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Semáforo de decisión (verde / amarillo / rojo)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         ▼</w:t>
            </w:r>
          </w:p>
          <w:p>
            <w:pPr>
              <w:spacing w:after="0"/>
            </w:pPr>
            <w:r>
              <w:rPr>
                <w:rFonts w:ascii="Consolas" w:cs="Consolas" w:eastAsia="Consolas" w:hAnsi="Consolas"/>
                <w:color w:val="D7E3EF"/>
                <w:sz w:val="17"/>
                <w:szCs w:val="17"/>
              </w:rPr>
              <w:t xml:space="preserve"> VERDE      ROJO</w:t>
            </w:r>
          </w:p>
          <w:p>
            <w:pPr>
              <w:spacing w:after="0"/>
            </w:pPr>
            <w:r>
              <w:rPr>
                <w:rFonts w:ascii="Consolas" w:cs="Consolas" w:eastAsia="Consolas" w:hAnsi="Consolas"/>
                <w:color w:val="D7E3EF"/>
                <w:sz w:val="17"/>
                <w:szCs w:val="17"/>
              </w:rPr>
              <w:t xml:space="preserve"> Sustituye  Rollback inmediato</w:t>
            </w:r>
          </w:p>
          <w:p>
            <w:pPr>
              <w:spacing w:after="0"/>
            </w:pPr>
            <w:r>
              <w:rPr>
                <w:rFonts w:ascii="Consolas" w:cs="Consolas" w:eastAsia="Consolas" w:hAnsi="Consolas"/>
                <w:color w:val="D7E3EF"/>
                <w:sz w:val="17"/>
                <w:szCs w:val="17"/>
              </w:rPr>
              <w:t xml:space="preserve"> a producción a la versión anterior</w:t>
            </w:r>
          </w:p>
        </w:tc>
      </w:tr>
    </w:tbl>
    <w:p>
      <w:pPr>
        <w:spacing w:after="200" w:before="60"/>
        <w:jc w:val="center"/>
      </w:pPr>
      <w:r>
        <w:rPr>
          <w:i/>
          <w:iCs/>
          <w:color w:val="666666"/>
          <w:sz w:val="17"/>
          <w:szCs w:val="17"/>
        </w:rPr>
        <w:t xml:space="preserve">Figura VAL-1. Ciclo de gobernanza de una nueva versión del motor de IA.</w:t>
      </w:r>
    </w:p>
    <w:p>
      <w:pPr>
        <w:pStyle w:val="Heading2"/>
        <w:spacing w:after="150" w:before="300"/>
      </w:pPr>
      <w:r>
        <w:rPr>
          <w:b/>
          <w:bCs/>
          <w:color w:val="1A5A96"/>
          <w:sz w:val="24"/>
          <w:szCs w:val="24"/>
        </w:rPr>
        <w:t xml:space="preserve">8.1. Control de acceso a la validación</w:t>
      </w:r>
    </w:p>
    <w:p>
      <w:pPr>
        <w:spacing w:after="150" w:line="270"/>
        <w:jc w:val="both"/>
      </w:pPr>
      <w:r>
        <w:rPr>
          <w:color w:val="222222"/>
          <w:sz w:val="20"/>
          <w:szCs w:val="20"/>
        </w:rPr>
        <w:t xml:space="preserve">El acceso a las distintas fases del Centro de Validación de IA está segmentado por rol (staff, QA, producto, cliente piloto, proveedor), de forma que, por ejemplo, un proveedor de catálogo integrado (OBRAMAT y sucesivos) puede consultar el benchmark de cobertura específico de su propio catálogo sin acceso a los datos de otros proveedores ni a la capacidad de ejecutar benchmarks o revertir versiones, reservada al personal técnico interno (staff).</w:t>
      </w:r>
    </w:p>
    <w:p>
      <w:pPr>
        <w:pStyle w:val="Heading1"/>
        <w:pageBreakBefore/>
        <w:spacing w:after="240" w:before="200"/>
      </w:pPr>
      <w:r>
        <w:rPr>
          <w:b/>
          <w:bCs/>
          <w:color w:val="1C2535"/>
          <w:sz w:val="30"/>
          <w:szCs w:val="30"/>
        </w:rPr>
        <w:t xml:space="preserve">9. Riesgos de validación</w:t>
      </w:r>
    </w:p>
    <w:tbl>
      <w:tblPr>
        <w:tblW w:type="dxa" w:w="91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3400"/>
        <w:gridCol w:w="33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Riesgo</w:t>
            </w:r>
          </w:p>
        </w:tc>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Mitigación</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Sobreajuste a la batería de test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Una mejora de las métricas sobre las 400/1.500 consultas de la batería podría no trasladarse a la variedad real de peticiones de instaladores en producción</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Validación adicional con usuarios reales (beta cerrada, apartado 6), que expone al motor a lenguaje no incluido en la batería diseñada</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No-determinismo del modelo de lenguaje</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Los modelos de lenguaje de gran escala no son deterministas; una misma consulta puede producir respuestas distintas en ejecuciones diferentes</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Clasificación causal explícita (causa B) que distingue esta variación de una regresión real del motor, evitando conclusiones erróneas sobre una versión</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Latencia del entorno de test no representativa de producción</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El propio informe de resultados v51 señala que la latencia medida es "parcialmente artificial del entorno de test"</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Medir la latencia también en el entorno de producción durante la beta cerrada, no solo en el entorno de test aislado</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Retraso o cancelación de la ejecución de la beta cerrada</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Al depender de la captación de 20 instaladores externos, la beta puede sufrir retrasos por disponibilidad de los participantes</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Onboarding manual uno a uno ya planificado para maximizar la tasa de participación efectiva</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Validación del RAG sin informe de resultados formalizado</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La suite de 30 preguntas está diseñada pero no consta ejecutada y reportada con el mismo rigor que el informe v51 del motor de presupuestos</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Ejecutar y documentar la suite del RAG con el mismo formato de informe (criterio, resultado, estado) antes de la presentación final de esta memoria</w:t>
            </w:r>
          </w:p>
        </w:tc>
      </w:tr>
    </w:tbl>
    <w:p>
      <w:pPr>
        <w:pStyle w:val="Heading1"/>
        <w:pageBreakBefore/>
        <w:spacing w:after="240" w:before="200"/>
      </w:pPr>
      <w:r>
        <w:rPr>
          <w:b/>
          <w:bCs/>
          <w:color w:val="1C2535"/>
          <w:sz w:val="30"/>
          <w:szCs w:val="30"/>
        </w:rPr>
        <w:t xml:space="preserve">10. Resultados esperados consolidados</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63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Frente de validación</w:t>
            </w:r>
          </w:p>
        </w:tc>
        <w:tc>
          <w:tcPr>
            <w:tcW w:type="dxa" w:w="6300"/>
            <w:shd w:fill="1C2535" w:val="clear"/>
            <w:tcMar>
              <w:top w:type="dxa" w:w="80"/>
              <w:left w:type="dxa" w:w="100"/>
              <w:bottom w:type="dxa" w:w="80"/>
              <w:right w:type="dxa" w:w="100"/>
            </w:tcMar>
            <w:vAlign w:val="center"/>
          </w:tcPr>
          <w:p>
            <w:pPr>
              <w:jc w:val="left"/>
            </w:pPr>
            <w:r>
              <w:rPr>
                <w:b/>
                <w:bCs/>
                <w:color w:val="FFFFFF"/>
                <w:sz w:val="18"/>
                <w:szCs w:val="18"/>
              </w:rPr>
              <w:t xml:space="preserve">Resultado esperado al cierre del proyecto de I+D</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Motor de presupuestos</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Tasa de éxito ≥ 95%, coincidencia de oficio ≥ 80%, latencia media ≤ 10 s, sobre batería ampliada de 1.500 consultas</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Sistema RAG normativo</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Recall normativo ≥ 85%, precisión de cita ≥ 75%, ausencia de alucinación ≥ 95%, validado en al menos tres verticales normativas</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Centro de Validación de IA</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Panel operativo con historial de versiones, comparador y control de acceso por rol, sustituyendo la ejecución manual por scripts</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Beta cerrada con usuarios reales</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Informe de resultados de 20 instaladores con métricas de activación, retención, precisión percibida y NPS</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Validación de UX</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Auditoría de flujo completo repetida con usuarios externos al equipo promotor, no solo con el propio equipo</w:t>
            </w:r>
          </w:p>
        </w:tc>
      </w:tr>
    </w:tbl>
    <w:p>
      <w:pPr>
        <w:pStyle w:val="Heading1"/>
        <w:pageBreakBefore/>
        <w:spacing w:after="240" w:before="200"/>
      </w:pPr>
      <w:r>
        <w:rPr>
          <w:b/>
          <w:bCs/>
          <w:color w:val="1C2535"/>
          <w:sz w:val="30"/>
          <w:szCs w:val="30"/>
        </w:rPr>
        <w:t xml:space="preserve">11. Conclusiones</w:t>
      </w:r>
    </w:p>
    <w:p>
      <w:pPr>
        <w:spacing w:after="150" w:line="270"/>
        <w:jc w:val="both"/>
      </w:pPr>
      <w:r>
        <w:rPr>
          <w:color w:val="222222"/>
          <w:sz w:val="20"/>
          <w:szCs w:val="20"/>
        </w:rPr>
        <w:t xml:space="preserve">El proyecto TrabFlow presenta una disciplina de validación técnica infrecuente en proyectos de software en fase temprana: dos de los tres frentes de validación descritos en este documento cuentan ya con metodología aplicada y resultados empíricos propios y reproducibles, no con afirmaciones genéricas de calidad. El tercer frente —la validación con usuarios reales— está completamente diseñado y presupuestado, pendiente únicamente de ejecución. Esta combinación de rigor metodológico ya demostrado y un plan de ejecución concreto para lo pendiente es, a juicio de este análisis, uno de los argumentos más sólidos del proyecto ante un evaluador técnico de I+D, siempre que se presente con la misma honestidad que caracteriza a la documentación de origen: distinguiendo con claridad lo ya validado de lo todavía por validar.</w:t>
      </w:r>
    </w:p>
    <w:p>
      <w:pPr>
        <w:pStyle w:val="Heading1"/>
        <w:pageBreakBefore/>
        <w:spacing w:after="240" w:before="200"/>
      </w:pPr>
      <w:r>
        <w:rPr>
          <w:b/>
          <w:bCs/>
          <w:color w:val="1C2535"/>
          <w:sz w:val="30"/>
          <w:szCs w:val="30"/>
        </w:rPr>
        <w:t xml:space="preserve">12. Recomendaciones para futuras versiones</w:t>
      </w:r>
    </w:p>
    <w:p>
      <w:pPr>
        <w:spacing w:after="150" w:line="270"/>
        <w:jc w:val="both"/>
      </w:pPr>
      <w:r>
        <w:rPr>
          <w:i/>
          <w:iCs/>
          <w:color w:val="222222"/>
          <w:sz w:val="20"/>
          <w:szCs w:val="20"/>
        </w:rPr>
        <w:t xml:space="preserve">Las siguientes recomendaciones afectan exclusivamente a la forma y trazabilidad documental de futuras versiones de este plan, no a la metodología de validación en sí misma.</w:t>
      </w:r>
    </w:p>
    <w:p>
      <w:pPr>
        <w:spacing w:after="85"/>
        <w:ind w:left="380" w:hanging="260"/>
        <w:jc w:val="both"/>
      </w:pPr>
      <w:r>
        <w:rPr>
          <w:b/>
          <w:bCs/>
          <w:color w:val="1A5A96"/>
          <w:sz w:val="20"/>
          <w:szCs w:val="20"/>
        </w:rPr>
        <w:t xml:space="preserve">1.  </w:t>
      </w:r>
      <w:r>
        <w:rPr>
          <w:sz w:val="20"/>
          <w:szCs w:val="20"/>
        </w:rPr>
        <w:t xml:space="preserve">Actualizar este documento en cuanto se ejecute y reporte formalmente la suite de validación del RAG (apartado 5.2), sustituyendo el recuadro de información pendiente por la tabla de resultados obtenidos, en el mismo formato ya usado para el motor de presupuestos.</w:t>
      </w:r>
    </w:p>
    <w:p>
      <w:pPr>
        <w:spacing w:after="85"/>
        <w:ind w:left="380" w:hanging="260"/>
        <w:jc w:val="both"/>
      </w:pPr>
      <w:r>
        <w:rPr>
          <w:b/>
          <w:bCs/>
          <w:color w:val="1A5A96"/>
          <w:sz w:val="20"/>
          <w:szCs w:val="20"/>
        </w:rPr>
        <w:t xml:space="preserve">2.  </w:t>
      </w:r>
      <w:r>
        <w:rPr>
          <w:sz w:val="20"/>
          <w:szCs w:val="20"/>
        </w:rPr>
        <w:t xml:space="preserve">Incorporar, tras la ejecución de la beta cerrada, un apartado de resultados reales junto al de metodología, manteniendo ambos claramente diferenciados (objetivo de validación frente a resultado obtenido).</w:t>
      </w:r>
    </w:p>
    <w:p>
      <w:pPr>
        <w:spacing w:after="85"/>
        <w:ind w:left="380" w:hanging="260"/>
        <w:jc w:val="both"/>
      </w:pPr>
      <w:r>
        <w:rPr>
          <w:b/>
          <w:bCs/>
          <w:color w:val="1A5A96"/>
          <w:sz w:val="20"/>
          <w:szCs w:val="20"/>
        </w:rPr>
        <w:t xml:space="preserve">3.  </w:t>
      </w:r>
      <w:r>
        <w:rPr>
          <w:sz w:val="20"/>
          <w:szCs w:val="20"/>
        </w:rPr>
        <w:t xml:space="preserve">Mantener el informe de resultados de cada nueva versión del motor de IA (v60, v61, v62…) como anexo consecutivo de este documento, en el mismo formato que el informe v51 ya existente, para preservar la comparabilidad histórica.</w:t>
      </w:r>
    </w:p>
    <w:p>
      <w:pPr>
        <w:spacing w:after="85"/>
        <w:ind w:left="380" w:hanging="260"/>
        <w:jc w:val="both"/>
      </w:pPr>
      <w:r>
        <w:rPr>
          <w:b/>
          <w:bCs/>
          <w:color w:val="1A5A96"/>
          <w:sz w:val="20"/>
          <w:szCs w:val="20"/>
        </w:rPr>
        <w:t xml:space="preserve">4.  </w:t>
      </w:r>
      <w:r>
        <w:rPr>
          <w:sz w:val="20"/>
          <w:szCs w:val="20"/>
        </w:rPr>
        <w:t xml:space="preserve">Considerar la incorporación de un cuarto frente de validación cuando el volumen de datos lo permita: validación estadística del corpus de precios por zona geográfica y oficio frente a fuentes de mercado externas, como evidencia adicional de la calidad del activo de datos descrito en la Estrategia de Propiedad Intelectual.</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Confidencial · Página </w:t>
    </w:r>
    <w:r>
      <w:rPr>
        <w:color w:val="888888"/>
        <w:sz w:val="15"/>
        <w:szCs w:val="15"/>
      </w:rPr>
      <w:fldChar w:fldCharType="begin"/>
      <w:instrText xml:space="preserve">PAGE</w:instrText>
      <w:fldChar w:fldCharType="separate"/>
      <w:fldChar w:fldCharType="end"/>
    </w:r>
    <w:r>
      <w:rPr>
        <w:color w:val="888888"/>
        <w:sz w:val="15"/>
        <w:szCs w:val="15"/>
      </w:rPr>
      <w:t xml:space="preserve"> de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5"/>
        <w:szCs w:val="15"/>
      </w:rPr>
      <w:t xml:space="preserve">TrabFlow — Plan de Validación Tecnológica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2026-07-08T19:58:47.655Z</dcterms:created>
  <dcterms:modified xsi:type="dcterms:W3CDTF">2026-07-08T19:58:47.655Z</dcterms:modified>
</cp:coreProperties>
</file>

<file path=docProps/custom.xml><?xml version="1.0" encoding="utf-8"?>
<Properties xmlns="http://schemas.openxmlformats.org/officeDocument/2006/custom-properties" xmlns:vt="http://schemas.openxmlformats.org/officeDocument/2006/docPropsVTypes"/>
</file>