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shd w:fill="1C2535" w:val="clear"/>
            <w:tcMar>
              <w:top w:type="dxa" w:w="200"/>
              <w:left w:type="dxa" w:w="240"/>
              <w:bottom w:type="dxa" w:w="200"/>
              <w:right w:type="dxa" w:w="240"/>
            </w:tcMar>
          </w:tcPr>
          <w:p>
            <w:r>
              <w:drawing>
                <wp:inline distT="0" distB="0" distL="0" distR="0">
                  <wp:extent cx="19050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905000" cy="952500"/>
                          </a:xfrm>
                          <a:prstGeom prst="rect">
                            <a:avLst/>
                          </a:prstGeom>
                        </pic:spPr>
                      </pic:pic>
                    </a:graphicData>
                  </a:graphic>
                </wp:inline>
              </w:drawing>
            </w:r>
          </w:p>
        </w:tc>
        <w:tc>
          <w:tcPr>
            <w:tcW w:type="dxa" w:w="4680"/>
            <w:tcBorders>
              <w:top w:val="none" w:color="FFFFFF" w:sz="0"/>
              <w:left w:val="none" w:color="FFFFFF" w:sz="0"/>
              <w:bottom w:val="none" w:color="FFFFFF" w:sz="0"/>
              <w:right w:val="none" w:color="FFFFFF" w:sz="0"/>
            </w:tcBorders>
            <w:shd w:fill="1A5A96" w:val="clear"/>
            <w:tcMar>
              <w:top w:type="dxa" w:w="200"/>
              <w:left w:type="dxa" w:w="240"/>
              <w:bottom w:type="dxa" w:w="200"/>
              <w:right w:type="dxa" w:w="240"/>
            </w:tcMar>
            <w:vAlign w:val="center"/>
          </w:tcPr>
          <w:p>
            <w:pPr>
              <w:jc w:val="right"/>
            </w:pPr>
            <w:r>
              <w:rPr>
                <w:rFonts w:ascii="Arial" w:cs="Arial" w:eastAsia="Arial" w:hAnsi="Arial"/>
                <w:b/>
                <w:bCs/>
                <w:color w:val="FFFFFF"/>
                <w:sz w:val="20"/>
                <w:szCs w:val="20"/>
              </w:rPr>
              <w:t xml:space="preserve">ANÁLISIS ESTRATÉGICO DE PRODUCTO</w:t>
            </w:r>
          </w:p>
          <w:p>
            <w:pPr>
              <w:jc w:val="right"/>
            </w:pPr>
            <w:r>
              <w:rPr>
                <w:rFonts w:ascii="Arial" w:cs="Arial" w:eastAsia="Arial" w:hAnsi="Arial"/>
                <w:color w:val="D5E8F0"/>
                <w:sz w:val="18"/>
                <w:szCs w:val="18"/>
              </w:rPr>
              <w:t xml:space="preserve">Documento interno · Junio 2026</w:t>
            </w:r>
          </w:p>
        </w:tc>
      </w:tr>
    </w:tbl>
    <w:p>
      <w:pPr>
        <w:spacing w:after="400" w:before="400"/>
      </w:pPr>
    </w:p>
    <w:p>
      <w:pPr>
        <w:jc w:val="center"/>
      </w:pPr>
      <w:r>
        <w:rPr>
          <w:rFonts w:ascii="Arial" w:cs="Arial" w:eastAsia="Arial" w:hAnsi="Arial"/>
          <w:b/>
          <w:bCs/>
          <w:color w:val="1C2535"/>
          <w:sz w:val="52"/>
          <w:szCs w:val="52"/>
        </w:rPr>
        <w:t xml:space="preserve">Nuevos Verticales Estratégicos</w:t>
      </w:r>
    </w:p>
    <w:p>
      <w:pPr>
        <w:spacing w:after="100" w:before="100"/>
      </w:pPr>
    </w:p>
    <w:p>
      <w:pPr>
        <w:jc w:val="center"/>
      </w:pPr>
      <w:r>
        <w:rPr>
          <w:rFonts w:ascii="Arial" w:cs="Arial" w:eastAsia="Arial" w:hAnsi="Arial"/>
          <w:b/>
          <w:bCs/>
          <w:color w:val="1A5A96"/>
          <w:sz w:val="36"/>
          <w:szCs w:val="36"/>
        </w:rPr>
        <w:t xml:space="preserve">Cargadores de Vehículo Eléctrico</w:t>
      </w:r>
    </w:p>
    <w:p>
      <w:pPr>
        <w:jc w:val="center"/>
      </w:pPr>
      <w:r>
        <w:rPr>
          <w:rFonts w:ascii="Arial" w:cs="Arial" w:eastAsia="Arial" w:hAnsi="Arial"/>
          <w:color w:val="C8922A"/>
          <w:sz w:val="30"/>
          <w:szCs w:val="30"/>
        </w:rPr>
        <w:t xml:space="preserve">&amp;</w:t>
      </w:r>
    </w:p>
    <w:p>
      <w:pPr>
        <w:jc w:val="center"/>
      </w:pPr>
      <w:r>
        <w:rPr>
          <w:rFonts w:ascii="Arial" w:cs="Arial" w:eastAsia="Arial" w:hAnsi="Arial"/>
          <w:b/>
          <w:bCs/>
          <w:color w:val="1A5A96"/>
          <w:sz w:val="36"/>
          <w:szCs w:val="36"/>
        </w:rPr>
        <w:t xml:space="preserve">Fotovoltaica Industrial</w:t>
      </w:r>
    </w:p>
    <w:p>
      <w:pPr>
        <w:spacing w:after="200" w:before="200"/>
      </w:pPr>
    </w:p>
    <w:p>
      <w:pPr>
        <w:jc w:val="center"/>
      </w:pPr>
      <w:r>
        <w:rPr>
          <w:rFonts w:ascii="Arial" w:cs="Arial" w:eastAsia="Arial" w:hAnsi="Arial"/>
          <w:color w:val="666666"/>
          <w:sz w:val="22"/>
          <w:szCs w:val="22"/>
        </w:rPr>
        <w:t xml:space="preserve">Viabilidad · Mercado · Roadmap · Recomendación</w:t>
      </w:r>
    </w:p>
    <w:p>
      <w:pPr>
        <w:spacing w:after="30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rPr>
        <w:tc>
          <w:tcPr>
            <w:tcW w:type="dxa" w:w="2340"/>
            <w:tcBorders>
              <w:top w:val="none" w:color="FFFFFF" w:sz="0"/>
              <w:left w:val="none" w:color="FFFFFF" w:sz="0"/>
              <w:bottom w:val="none" w:color="FFFFFF" w:sz="0"/>
              <w:right w:val="none" w:color="FFFFFF" w:sz="0"/>
            </w:tcBorders>
            <w:shd w:fill="1C2535" w:val="clear"/>
            <w:tcMar>
              <w:top w:type="dxa" w:w="140"/>
              <w:left w:type="dxa" w:w="120"/>
              <w:bottom w:type="dxa" w:w="140"/>
              <w:right w:type="dxa" w:w="120"/>
            </w:tcMar>
          </w:tcPr>
          <w:p>
            <w:pPr>
              <w:jc w:val="center"/>
            </w:pPr>
            <w:r>
              <w:rPr>
                <w:rFonts w:ascii="Arial" w:cs="Arial" w:eastAsia="Arial" w:hAnsi="Arial"/>
                <w:b/>
                <w:bCs/>
                <w:color w:val="FFFFFF"/>
                <w:sz w:val="28"/>
                <w:szCs w:val="28"/>
              </w:rPr>
              <w:t xml:space="preserve">14
Secciones</w:t>
            </w:r>
          </w:p>
        </w:tc>
        <w:tc>
          <w:tcPr>
            <w:tcW w:type="dxa" w:w="2340"/>
            <w:tcBorders>
              <w:top w:val="none" w:color="FFFFFF" w:sz="0"/>
              <w:left w:val="none" w:color="FFFFFF" w:sz="0"/>
              <w:bottom w:val="none" w:color="FFFFFF" w:sz="0"/>
              <w:right w:val="none" w:color="FFFFFF" w:sz="0"/>
            </w:tcBorders>
            <w:shd w:fill="1A5A96" w:val="clear"/>
            <w:tcMar>
              <w:top w:type="dxa" w:w="140"/>
              <w:left w:type="dxa" w:w="120"/>
              <w:bottom w:type="dxa" w:w="140"/>
              <w:right w:type="dxa" w:w="120"/>
            </w:tcMar>
          </w:tcPr>
          <w:p>
            <w:pPr>
              <w:jc w:val="center"/>
            </w:pPr>
            <w:r>
              <w:rPr>
                <w:rFonts w:ascii="Arial" w:cs="Arial" w:eastAsia="Arial" w:hAnsi="Arial"/>
                <w:b/>
                <w:bCs/>
                <w:color w:val="FFFFFF"/>
                <w:sz w:val="28"/>
                <w:szCs w:val="28"/>
              </w:rPr>
              <w:t xml:space="preserve">150+
Actuaciones</w:t>
            </w:r>
          </w:p>
        </w:tc>
        <w:tc>
          <w:tcPr>
            <w:tcW w:type="dxa" w:w="2340"/>
            <w:tcBorders>
              <w:top w:val="none" w:color="FFFFFF" w:sz="0"/>
              <w:left w:val="none" w:color="FFFFFF" w:sz="0"/>
              <w:bottom w:val="none" w:color="FFFFFF" w:sz="0"/>
              <w:right w:val="none" w:color="FFFFFF" w:sz="0"/>
            </w:tcBorders>
            <w:shd w:fill="C8922A" w:val="clear"/>
            <w:tcMar>
              <w:top w:type="dxa" w:w="140"/>
              <w:left w:type="dxa" w:w="120"/>
              <w:bottom w:type="dxa" w:w="140"/>
              <w:right w:type="dxa" w:w="120"/>
            </w:tcMar>
          </w:tcPr>
          <w:p>
            <w:pPr>
              <w:jc w:val="center"/>
            </w:pPr>
            <w:r>
              <w:rPr>
                <w:rFonts w:ascii="Arial" w:cs="Arial" w:eastAsia="Arial" w:hAnsi="Arial"/>
                <w:b/>
                <w:bCs/>
                <w:color w:val="FFFFFF"/>
                <w:sz w:val="28"/>
                <w:szCs w:val="28"/>
              </w:rPr>
              <w:t xml:space="preserve">8.000+
Palabras</w:t>
            </w:r>
          </w:p>
        </w:tc>
        <w:tc>
          <w:tcPr>
            <w:tcW w:type="dxa" w:w="2340"/>
            <w:tcBorders>
              <w:top w:val="none" w:color="FFFFFF" w:sz="0"/>
              <w:left w:val="none" w:color="FFFFFF" w:sz="0"/>
              <w:bottom w:val="none" w:color="FFFFFF" w:sz="0"/>
              <w:right w:val="none" w:color="FFFFFF" w:sz="0"/>
            </w:tcBorders>
            <w:shd w:fill="1C2535" w:val="clear"/>
            <w:tcMar>
              <w:top w:type="dxa" w:w="140"/>
              <w:left w:type="dxa" w:w="120"/>
              <w:bottom w:type="dxa" w:w="140"/>
              <w:right w:type="dxa" w:w="120"/>
            </w:tcMar>
          </w:tcPr>
          <w:p>
            <w:pPr>
              <w:jc w:val="center"/>
            </w:pPr>
            <w:r>
              <w:rPr>
                <w:rFonts w:ascii="Arial" w:cs="Arial" w:eastAsia="Arial" w:hAnsi="Arial"/>
                <w:b/>
                <w:bCs/>
                <w:color w:val="FFFFFF"/>
                <w:sz w:val="28"/>
                <w:szCs w:val="28"/>
              </w:rPr>
              <w:t xml:space="preserve">2
Verticales</w:t>
            </w:r>
          </w:p>
        </w:tc>
      </w:tr>
    </w:tbl>
    <w:p>
      <w:pPr>
        <w:spacing w:after="200" w:before="200"/>
      </w:pPr>
    </w:p>
    <w:p>
      <w:pPr>
        <w:jc w:val="center"/>
      </w:pPr>
      <w:r>
        <w:rPr>
          <w:rFonts w:ascii="Arial" w:cs="Arial" w:eastAsia="Arial" w:hAnsi="Arial"/>
          <w:color w:val="999999"/>
          <w:sz w:val="18"/>
          <w:szCs w:val="18"/>
        </w:rPr>
        <w:t xml:space="preserve">TrabFlow Technologies, S.L.  ·  Majadahonda, Madrid  ·  2026</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none" w:color="FFFFFF" w:sz="0"/>
              <w:bottom w:val="none" w:color="FFFFFF" w:sz="0"/>
              <w:right w:val="none" w:color="FFFFFF" w:sz="0"/>
            </w:tcBorders>
            <w:shd w:fill="1C2535" w:val="clear"/>
            <w:tcMar>
              <w:top w:type="dxa" w:w="160"/>
              <w:left w:type="dxa" w:w="240"/>
              <w:bottom w:type="dxa" w:w="160"/>
              <w:right w:type="dxa" w:w="240"/>
            </w:tcMar>
          </w:tcPr>
          <w:p>
            <w:r>
              <w:rPr>
                <w:rFonts w:ascii="Arial" w:cs="Arial" w:eastAsia="Arial" w:hAnsi="Arial"/>
                <w:b/>
                <w:bCs/>
                <w:color w:val="FFFFFF"/>
                <w:sz w:val="30"/>
                <w:szCs w:val="30"/>
              </w:rPr>
              <w:t xml:space="preserve">01. Resumen Ejecutivo</w:t>
            </w:r>
          </w:p>
          <w:p>
            <w:r>
              <w:rPr>
                <w:rFonts w:ascii="Arial" w:cs="Arial" w:eastAsia="Arial" w:hAnsi="Arial"/>
                <w:color w:val="D5E8F0"/>
                <w:sz w:val="20"/>
                <w:szCs w:val="20"/>
              </w:rPr>
              <w:t xml:space="preserve">Potencial de mercado · Encaje · Prioridad · Dificultad · Ingresos</w:t>
            </w:r>
          </w:p>
        </w:tc>
      </w:tr>
    </w:tbl>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8922A" w:sz="4"/>
              <w:left w:val="single" w:color="C8922A" w:sz="4"/>
              <w:bottom w:val="none" w:color="FFFFFF" w:sz="0"/>
              <w:right w:val="none" w:color="FFFFFF" w:sz="0"/>
            </w:tcBorders>
            <w:shd w:fill="FDF3E3" w:val="clear"/>
            <w:tcMar>
              <w:top w:type="dxa" w:w="140"/>
              <w:left w:type="dxa" w:w="200"/>
              <w:bottom w:type="dxa" w:w="140"/>
              <w:right w:type="dxa" w:w="200"/>
            </w:tcMar>
          </w:tcPr>
          <w:p>
            <w:r>
              <w:rPr>
                <w:rFonts w:ascii="Arial" w:cs="Arial" w:eastAsia="Arial" w:hAnsi="Arial"/>
                <w:color w:val="1C2535"/>
                <w:sz w:val="21"/>
                <w:szCs w:val="21"/>
              </w:rPr>
              <w:t xml:space="preserve">Conclusión principal: Ambos verticales son estratégicamente prioritarios para TrabFlow en 2026-2028. Los cargadores VE tienen un perfil de entrada más rápido y un volumen de actuaciones más accesible. La fotovoltaica industrial ofrece tickets más altos y recurrencia estructural vía contratos O&amp;M, pero requiere mayor inversión en Base Maestra y normativa RAG. La recomendación es entrar en paralelo con distinta velocidad: VE en Q3 2026, Fotovoltaica Industrial en Q1 2027.</w:t>
            </w:r>
          </w:p>
        </w:tc>
      </w:tr>
    </w:tbl>
    <w:p>
      <w:pPr>
        <w:spacing w:after="120" w:before="120"/>
      </w:pPr>
    </w:p>
    <w:p>
      <w:pPr>
        <w:spacing w:after="120" w:before="240"/>
      </w:pPr>
      <w:r>
        <w:rPr>
          <w:rFonts w:ascii="Arial" w:cs="Arial" w:eastAsia="Arial" w:hAnsi="Arial"/>
          <w:b/>
          <w:bCs/>
          <w:color w:val="1C2535"/>
          <w:sz w:val="26"/>
          <w:szCs w:val="26"/>
        </w:rPr>
        <w:t xml:space="preserve">Mapa de prioridad estratégica</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1560"/>
        <w:gridCol w:w="1560"/>
        <w:gridCol w:w="1560"/>
        <w:gridCol w:w="660"/>
      </w:tblGrid>
      <w:tr>
        <w:trPr>
          <w:cantSplit/>
        </w:trPr>
        <w:tc>
          <w:tcPr>
            <w:tcW w:type="dxa" w:w="24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Vertical</w:t>
            </w:r>
          </w:p>
        </w:tc>
        <w:tc>
          <w:tcPr>
            <w:tcW w:type="dxa" w:w="156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Mercado ESP</w:t>
            </w:r>
          </w:p>
        </w:tc>
        <w:tc>
          <w:tcPr>
            <w:tcW w:type="dxa" w:w="156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Ticket medio</w:t>
            </w:r>
          </w:p>
        </w:tc>
        <w:tc>
          <w:tcPr>
            <w:tcW w:type="dxa" w:w="156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Recurrencia</w:t>
            </w:r>
          </w:p>
        </w:tc>
        <w:tc>
          <w:tcPr>
            <w:tcW w:type="dxa" w:w="156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Dificultad</w:t>
            </w:r>
          </w:p>
        </w:tc>
        <w:tc>
          <w:tcPr>
            <w:tcW w:type="dxa" w:w="66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Score</w:t>
            </w:r>
          </w:p>
        </w:tc>
      </w:tr>
      <w:tr>
        <w:trPr>
          <w:cantSplit/>
        </w:trP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Cargadores VE</w:t>
            </w:r>
          </w:p>
        </w:tc>
        <w:tc>
          <w:tcPr>
            <w:tcW w:type="dxa" w:w="1560"/>
            <w:tcBorders>
              <w:top w:val="single" w:color="CCCCCC" w:sz="1"/>
              <w:left w:val="single" w:color="CCCCCC" w:sz="1"/>
              <w:bottom w:val="single" w:color="CCCCCC" w:sz="1"/>
              <w:right w:val="single" w:color="CCCCCC" w:sz="1"/>
            </w:tcBorders>
            <w:shd w:fill="D8F3DC" w:val="clear"/>
            <w:tcMar>
              <w:top w:type="dxa" w:w="70"/>
              <w:left w:type="dxa" w:w="110"/>
              <w:bottom w:type="dxa" w:w="70"/>
              <w:right w:type="dxa" w:w="110"/>
            </w:tcMar>
          </w:tcPr>
          <w:p>
            <w:pPr>
              <w:jc w:val="center"/>
            </w:pPr>
            <w:r>
              <w:rPr>
                <w:rFonts w:ascii="Arial" w:cs="Arial" w:eastAsia="Arial" w:hAnsi="Arial"/>
                <w:color w:val="1C2535"/>
                <w:sz w:val="20"/>
                <w:szCs w:val="20"/>
              </w:rPr>
              <w:t xml:space="preserve">€2.100M (2025)</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€600–2.500</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Alta (O&amp;M)</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Media</w:t>
            </w:r>
          </w:p>
        </w:tc>
        <w:tc>
          <w:tcPr>
            <w:tcW w:type="dxa" w:w="660"/>
            <w:tcBorders>
              <w:top w:val="single" w:color="CCCCCC" w:sz="1"/>
              <w:left w:val="single" w:color="CCCCCC" w:sz="1"/>
              <w:bottom w:val="single" w:color="CCCCCC" w:sz="1"/>
              <w:right w:val="single" w:color="CCCCCC" w:sz="1"/>
            </w:tcBorders>
            <w:shd w:fill="D8F3DC" w:val="clear"/>
            <w:tcMar>
              <w:top w:type="dxa" w:w="70"/>
              <w:left w:type="dxa" w:w="110"/>
              <w:bottom w:type="dxa" w:w="70"/>
              <w:right w:type="dxa" w:w="110"/>
            </w:tcMar>
          </w:tcPr>
          <w:p>
            <w:pPr>
              <w:jc w:val="center"/>
            </w:pPr>
            <w:r>
              <w:rPr>
                <w:rFonts w:ascii="Arial" w:cs="Arial" w:eastAsia="Arial" w:hAnsi="Arial"/>
                <w:color w:val="1C2535"/>
                <w:sz w:val="20"/>
                <w:szCs w:val="20"/>
              </w:rPr>
              <w:t xml:space="preserve">9/10</w:t>
            </w:r>
          </w:p>
        </w:tc>
      </w:tr>
      <w:tr>
        <w:trPr>
          <w:cantSplit/>
        </w:trP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Fotovoltaica Industrial</w:t>
            </w:r>
          </w:p>
        </w:tc>
        <w:tc>
          <w:tcPr>
            <w:tcW w:type="dxa" w:w="1560"/>
            <w:tcBorders>
              <w:top w:val="single" w:color="CCCCCC" w:sz="1"/>
              <w:left w:val="single" w:color="CCCCCC" w:sz="1"/>
              <w:bottom w:val="single" w:color="CCCCCC" w:sz="1"/>
              <w:right w:val="single" w:color="CCCCCC" w:sz="1"/>
            </w:tcBorders>
            <w:shd w:fill="D8F3DC" w:val="clear"/>
            <w:tcMar>
              <w:top w:type="dxa" w:w="70"/>
              <w:left w:type="dxa" w:w="110"/>
              <w:bottom w:type="dxa" w:w="70"/>
              <w:right w:type="dxa" w:w="110"/>
            </w:tcMar>
          </w:tcPr>
          <w:p>
            <w:pPr>
              <w:jc w:val="center"/>
            </w:pPr>
            <w:r>
              <w:rPr>
                <w:rFonts w:ascii="Arial" w:cs="Arial" w:eastAsia="Arial" w:hAnsi="Arial"/>
                <w:color w:val="1C2535"/>
                <w:sz w:val="20"/>
                <w:szCs w:val="20"/>
              </w:rPr>
              <w:t xml:space="preserve">€4.800M (2025)</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€2.000–15.000</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Muy alta (O&amp;M)</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Alta</w:t>
            </w:r>
          </w:p>
        </w:tc>
        <w:tc>
          <w:tcPr>
            <w:tcW w:type="dxa" w:w="66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pPr>
              <w:jc w:val="center"/>
            </w:pPr>
            <w:r>
              <w:rPr>
                <w:rFonts w:ascii="Arial" w:cs="Arial" w:eastAsia="Arial" w:hAnsi="Arial"/>
                <w:color w:val="1C2535"/>
                <w:sz w:val="20"/>
                <w:szCs w:val="20"/>
              </w:rPr>
              <w:t xml:space="preserve">8/10</w:t>
            </w:r>
          </w:p>
        </w:tc>
      </w:tr>
      <w:tr>
        <w:trPr>
          <w:cantSplit/>
        </w:trP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Electricidad (ref.)</w:t>
            </w:r>
          </w:p>
        </w:tc>
        <w:tc>
          <w:tcPr>
            <w:tcW w:type="dxa" w:w="1560"/>
            <w:tcBorders>
              <w:top w:val="single" w:color="CCCCCC" w:sz="1"/>
              <w:left w:val="single" w:color="CCCCCC" w:sz="1"/>
              <w:bottom w:val="single" w:color="CCCCCC" w:sz="1"/>
              <w:right w:val="single" w:color="CCCCCC" w:sz="1"/>
            </w:tcBorders>
            <w:shd w:fill="E2E8F0" w:val="clear"/>
            <w:tcMar>
              <w:top w:type="dxa" w:w="70"/>
              <w:left w:type="dxa" w:w="110"/>
              <w:bottom w:type="dxa" w:w="70"/>
              <w:right w:type="dxa" w:w="110"/>
            </w:tcMar>
          </w:tcPr>
          <w:p>
            <w:pPr>
              <w:jc w:val="center"/>
            </w:pPr>
            <w:r>
              <w:rPr>
                <w:rFonts w:ascii="Arial" w:cs="Arial" w:eastAsia="Arial" w:hAnsi="Arial"/>
                <w:color w:val="1C2535"/>
                <w:sz w:val="20"/>
                <w:szCs w:val="20"/>
              </w:rPr>
              <w:t xml:space="preserve">€19.300M</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€300–1.200</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Media</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Baja</w:t>
            </w:r>
          </w:p>
        </w:tc>
        <w:tc>
          <w:tcPr>
            <w:tcW w:type="dxa" w:w="660"/>
            <w:tcBorders>
              <w:top w:val="single" w:color="CCCCCC" w:sz="1"/>
              <w:left w:val="single" w:color="CCCCCC" w:sz="1"/>
              <w:bottom w:val="single" w:color="CCCCCC" w:sz="1"/>
              <w:right w:val="single" w:color="CCCCCC" w:sz="1"/>
            </w:tcBorders>
            <w:shd w:fill="E2E8F0" w:val="clear"/>
            <w:tcMar>
              <w:top w:type="dxa" w:w="70"/>
              <w:left w:type="dxa" w:w="110"/>
              <w:bottom w:type="dxa" w:w="70"/>
              <w:right w:type="dxa" w:w="110"/>
            </w:tcMar>
          </w:tcPr>
          <w:p>
            <w:pPr>
              <w:jc w:val="center"/>
            </w:pPr>
            <w:r>
              <w:rPr>
                <w:rFonts w:ascii="Arial" w:cs="Arial" w:eastAsia="Arial" w:hAnsi="Arial"/>
                <w:color w:val="1C2535"/>
                <w:sz w:val="20"/>
                <w:szCs w:val="20"/>
              </w:rPr>
              <w:t xml:space="preserve">—</w:t>
            </w:r>
          </w:p>
        </w:tc>
      </w:tr>
      <w:tr>
        <w:trPr>
          <w:cantSplit/>
        </w:trP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Fontanería (ref.)</w:t>
            </w:r>
          </w:p>
        </w:tc>
        <w:tc>
          <w:tcPr>
            <w:tcW w:type="dxa" w:w="1560"/>
            <w:tcBorders>
              <w:top w:val="single" w:color="CCCCCC" w:sz="1"/>
              <w:left w:val="single" w:color="CCCCCC" w:sz="1"/>
              <w:bottom w:val="single" w:color="CCCCCC" w:sz="1"/>
              <w:right w:val="single" w:color="CCCCCC" w:sz="1"/>
            </w:tcBorders>
            <w:shd w:fill="E2E8F0" w:val="clear"/>
            <w:tcMar>
              <w:top w:type="dxa" w:w="70"/>
              <w:left w:type="dxa" w:w="110"/>
              <w:bottom w:type="dxa" w:w="70"/>
              <w:right w:type="dxa" w:w="110"/>
            </w:tcMar>
          </w:tcPr>
          <w:p>
            <w:pPr>
              <w:jc w:val="center"/>
            </w:pPr>
            <w:r>
              <w:rPr>
                <w:rFonts w:ascii="Arial" w:cs="Arial" w:eastAsia="Arial" w:hAnsi="Arial"/>
                <w:color w:val="1C2535"/>
                <w:sz w:val="20"/>
                <w:szCs w:val="20"/>
              </w:rPr>
              <w:t xml:space="preserve">€8.200M</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€250–900</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Media</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Baja</w:t>
            </w:r>
          </w:p>
        </w:tc>
        <w:tc>
          <w:tcPr>
            <w:tcW w:type="dxa" w:w="660"/>
            <w:tcBorders>
              <w:top w:val="single" w:color="CCCCCC" w:sz="1"/>
              <w:left w:val="single" w:color="CCCCCC" w:sz="1"/>
              <w:bottom w:val="single" w:color="CCCCCC" w:sz="1"/>
              <w:right w:val="single" w:color="CCCCCC" w:sz="1"/>
            </w:tcBorders>
            <w:shd w:fill="E2E8F0" w:val="clear"/>
            <w:tcMar>
              <w:top w:type="dxa" w:w="70"/>
              <w:left w:type="dxa" w:w="110"/>
              <w:bottom w:type="dxa" w:w="70"/>
              <w:right w:type="dxa" w:w="110"/>
            </w:tcMar>
          </w:tcPr>
          <w:p>
            <w:pPr>
              <w:jc w:val="center"/>
            </w:pPr>
            <w:r>
              <w:rPr>
                <w:rFonts w:ascii="Arial" w:cs="Arial" w:eastAsia="Arial" w:hAnsi="Arial"/>
                <w:color w:val="1C2535"/>
                <w:sz w:val="20"/>
                <w:szCs w:val="20"/>
              </w:rPr>
              <w:t xml:space="preserve">—</w:t>
            </w:r>
          </w:p>
        </w:tc>
      </w:tr>
    </w:tbl>
    <w:p>
      <w:pPr>
        <w:spacing w:after="120" w:before="120"/>
      </w:pPr>
    </w:p>
    <w:p>
      <w:pPr>
        <w:spacing w:after="120" w:before="240"/>
      </w:pPr>
      <w:r>
        <w:rPr>
          <w:rFonts w:ascii="Arial" w:cs="Arial" w:eastAsia="Arial" w:hAnsi="Arial"/>
          <w:b/>
          <w:bCs/>
          <w:color w:val="1C2535"/>
          <w:sz w:val="26"/>
          <w:szCs w:val="26"/>
        </w:rPr>
        <w:t xml:space="preserve">Encaje con TrabFlow — Resumen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cantSplit/>
        </w:trPr>
        <w:tc>
          <w:tcPr>
            <w:tcW w:type="dxa" w:w="36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Dimensión</w:t>
            </w:r>
          </w:p>
        </w:tc>
        <w:tc>
          <w:tcPr>
            <w:tcW w:type="dxa" w:w="288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Cargadores VE</w:t>
            </w:r>
          </w:p>
        </w:tc>
        <w:tc>
          <w:tcPr>
            <w:tcW w:type="dxa" w:w="288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Fotovoltaica Industrial</w:t>
            </w:r>
          </w:p>
        </w:tc>
      </w:tr>
      <w:tr>
        <w:trPr>
          <w:cantSplit/>
        </w:trPr>
        <w:tc>
          <w:tcPr>
            <w:tcW w:type="dxa" w:w="3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Módulos TrabFlow aplicables</w:t>
            </w:r>
          </w:p>
        </w:tc>
        <w:tc>
          <w:tcPr>
            <w:tcW w:type="dxa" w:w="288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Presupuestos IA, Contratos O&amp;M, Normativa REBT/ITC-BT-52, Partes, CRM</w:t>
            </w:r>
          </w:p>
        </w:tc>
        <w:tc>
          <w:tcPr>
            <w:tcW w:type="dxa" w:w="288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Presupuestos IA, Contratos O&amp;M, Monitorización, Partes, Termografía, CRM</w:t>
            </w:r>
          </w:p>
        </w:tc>
      </w:tr>
      <w:tr>
        <w:trPr>
          <w:cantSplit/>
        </w:trPr>
        <w:tc>
          <w:tcPr>
            <w:tcW w:type="dxa" w:w="3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Actuaciones Base Maestra</w:t>
            </w:r>
          </w:p>
        </w:tc>
        <w:tc>
          <w:tcPr>
            <w:tcW w:type="dxa" w:w="288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50+ (propuestas en §6)</w:t>
            </w:r>
          </w:p>
        </w:tc>
        <w:tc>
          <w:tcPr>
            <w:tcW w:type="dxa" w:w="288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100+ (propuestas en §6)</w:t>
            </w:r>
          </w:p>
        </w:tc>
      </w:tr>
      <w:tr>
        <w:trPr>
          <w:cantSplit/>
        </w:trPr>
        <w:tc>
          <w:tcPr>
            <w:tcW w:type="dxa" w:w="3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Asociaciones clave</w:t>
            </w:r>
          </w:p>
        </w:tc>
        <w:tc>
          <w:tcPr>
            <w:tcW w:type="dxa" w:w="288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AEDIVE, FENIE, APIEM</w:t>
            </w:r>
          </w:p>
        </w:tc>
        <w:tc>
          <w:tcPr>
            <w:tcW w:type="dxa" w:w="288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UNEF, ANES, FENIE</w:t>
            </w:r>
          </w:p>
        </w:tc>
      </w:tr>
      <w:tr>
        <w:trPr>
          <w:cantSplit/>
        </w:trPr>
        <w:tc>
          <w:tcPr>
            <w:tcW w:type="dxa" w:w="3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Distribuidores clave</w:t>
            </w:r>
          </w:p>
        </w:tc>
        <w:tc>
          <w:tcPr>
            <w:tcW w:type="dxa" w:w="288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Wallbox, ABB, Schneider, Circutor</w:t>
            </w:r>
          </w:p>
        </w:tc>
        <w:tc>
          <w:tcPr>
            <w:tcW w:type="dxa" w:w="288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Huawei, Sungrow, SolarEdge, Fronius</w:t>
            </w:r>
          </w:p>
        </w:tc>
      </w:tr>
      <w:tr>
        <w:trPr>
          <w:cantSplit/>
        </w:trPr>
        <w:tc>
          <w:tcPr>
            <w:tcW w:type="dxa" w:w="3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Tiempo hasta MVP</w:t>
            </w:r>
          </w:p>
        </w:tc>
        <w:tc>
          <w:tcPr>
            <w:tcW w:type="dxa" w:w="288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10-12 semanas</w:t>
            </w:r>
          </w:p>
        </w:tc>
        <w:tc>
          <w:tcPr>
            <w:tcW w:type="dxa" w:w="288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16-20 semanas</w:t>
            </w:r>
          </w:p>
        </w:tc>
      </w:tr>
      <w:tr>
        <w:trPr>
          <w:cantSplit/>
        </w:trPr>
        <w:tc>
          <w:tcPr>
            <w:tcW w:type="dxa" w:w="3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Inversión estimada en Base Maestra</w:t>
            </w:r>
          </w:p>
        </w:tc>
        <w:tc>
          <w:tcPr>
            <w:tcW w:type="dxa" w:w="288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 (50 actuaciones)</w:t>
            </w:r>
          </w:p>
        </w:tc>
        <w:tc>
          <w:tcPr>
            <w:tcW w:type="dxa" w:w="288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 (100+ actuaciones)</w:t>
            </w:r>
          </w:p>
        </w:tc>
      </w:tr>
    </w:tbl>
    <w:p>
      <w:pPr>
        <w:spacing w:after="120" w:before="120"/>
      </w:pPr>
    </w:p>
    <w:p>
      <w:pPr>
        <w:spacing w:after="120" w:before="240"/>
      </w:pPr>
      <w:r>
        <w:rPr>
          <w:rFonts w:ascii="Arial" w:cs="Arial" w:eastAsia="Arial" w:hAnsi="Arial"/>
          <w:b/>
          <w:bCs/>
          <w:color w:val="1C2535"/>
          <w:sz w:val="26"/>
          <w:szCs w:val="26"/>
        </w:rPr>
        <w:t xml:space="preserve">Potencial de ingresos para TrabFlow (3 años)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A5A96" w:sz="4"/>
              <w:left w:val="single" w:color="1A5A96" w:sz="4"/>
              <w:bottom w:val="none" w:color="FFFFFF" w:sz="0"/>
              <w:right w:val="none" w:color="FFFFFF" w:sz="0"/>
            </w:tcBorders>
            <w:shd w:fill="D5E8F0" w:val="clear"/>
            <w:tcMar>
              <w:top w:type="dxa" w:w="140"/>
              <w:left w:type="dxa" w:w="200"/>
              <w:bottom w:type="dxa" w:w="140"/>
              <w:right w:type="dxa" w:w="200"/>
            </w:tcMar>
          </w:tcPr>
          <w:p>
            <w:r>
              <w:rPr>
                <w:rFonts w:ascii="Arial" w:cs="Arial" w:eastAsia="Arial" w:hAnsi="Arial"/>
                <w:color w:val="1C2535"/>
                <w:sz w:val="21"/>
                <w:szCs w:val="21"/>
              </w:rPr>
              <w:t xml:space="preserve">Hipótesis conservadora: penetración del 0,5% del mercado de instaladores especializados en cada vertical en Año 1, creciendo al 2% en Año 3. Plan Profesional (€49/mes) como ticket base.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rPr>
          <w:cantSplit/>
        </w:trPr>
        <w:tc>
          <w:tcPr>
            <w:tcW w:type="dxa" w:w="312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Vertical</w:t>
            </w:r>
          </w:p>
        </w:tc>
        <w:tc>
          <w:tcPr>
            <w:tcW w:type="dxa" w:w="208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Año 1</w:t>
            </w:r>
          </w:p>
        </w:tc>
        <w:tc>
          <w:tcPr>
            <w:tcW w:type="dxa" w:w="208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Año 2</w:t>
            </w:r>
          </w:p>
        </w:tc>
        <w:tc>
          <w:tcPr>
            <w:tcW w:type="dxa" w:w="208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Año 3</w:t>
            </w:r>
          </w:p>
        </w:tc>
      </w:tr>
      <w:tr>
        <w:trPr>
          <w:cantSplit/>
        </w:trPr>
        <w:tc>
          <w:tcPr>
            <w:tcW w:type="dxa" w:w="312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pPr>
              <w:jc w:val="center"/>
            </w:pPr>
            <w:r>
              <w:rPr>
                <w:rFonts w:ascii="Arial" w:cs="Arial" w:eastAsia="Arial" w:hAnsi="Arial"/>
                <w:color w:val="1C2535"/>
                <w:sz w:val="20"/>
                <w:szCs w:val="20"/>
              </w:rPr>
              <w:t xml:space="preserve">Cargadores VE</w:t>
            </w:r>
          </w:p>
        </w:tc>
        <w:tc>
          <w:tcPr>
            <w:tcW w:type="dxa" w:w="208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pPr>
              <w:jc w:val="center"/>
            </w:pPr>
            <w:r>
              <w:rPr>
                <w:rFonts w:ascii="Arial" w:cs="Arial" w:eastAsia="Arial" w:hAnsi="Arial"/>
                <w:color w:val="1C2535"/>
                <w:sz w:val="20"/>
                <w:szCs w:val="20"/>
              </w:rPr>
              <w:t xml:space="preserve">€18.000 – €35.000</w:t>
            </w:r>
          </w:p>
        </w:tc>
        <w:tc>
          <w:tcPr>
            <w:tcW w:type="dxa" w:w="208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pPr>
              <w:jc w:val="center"/>
            </w:pPr>
            <w:r>
              <w:rPr>
                <w:rFonts w:ascii="Arial" w:cs="Arial" w:eastAsia="Arial" w:hAnsi="Arial"/>
                <w:color w:val="1C2535"/>
                <w:sz w:val="20"/>
                <w:szCs w:val="20"/>
              </w:rPr>
              <w:t xml:space="preserve">€55.000 – €90.000</w:t>
            </w:r>
          </w:p>
        </w:tc>
        <w:tc>
          <w:tcPr>
            <w:tcW w:type="dxa" w:w="208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pPr>
              <w:jc w:val="center"/>
            </w:pPr>
            <w:r>
              <w:rPr>
                <w:rFonts w:ascii="Arial" w:cs="Arial" w:eastAsia="Arial" w:hAnsi="Arial"/>
                <w:color w:val="1C2535"/>
                <w:sz w:val="20"/>
                <w:szCs w:val="20"/>
              </w:rPr>
              <w:t xml:space="preserve">€120.000 – €200.000</w:t>
            </w:r>
          </w:p>
        </w:tc>
      </w:tr>
      <w:tr>
        <w:trPr>
          <w:cantSplit/>
        </w:trPr>
        <w:tc>
          <w:tcPr>
            <w:tcW w:type="dxa" w:w="312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pPr>
              <w:jc w:val="center"/>
            </w:pPr>
            <w:r>
              <w:rPr>
                <w:rFonts w:ascii="Arial" w:cs="Arial" w:eastAsia="Arial" w:hAnsi="Arial"/>
                <w:color w:val="1C2535"/>
                <w:sz w:val="20"/>
                <w:szCs w:val="20"/>
              </w:rPr>
              <w:t xml:space="preserve">Fotovoltaica Industrial</w:t>
            </w:r>
          </w:p>
        </w:tc>
        <w:tc>
          <w:tcPr>
            <w:tcW w:type="dxa" w:w="208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pPr>
              <w:jc w:val="center"/>
            </w:pPr>
            <w:r>
              <w:rPr>
                <w:rFonts w:ascii="Arial" w:cs="Arial" w:eastAsia="Arial" w:hAnsi="Arial"/>
                <w:color w:val="1C2535"/>
                <w:sz w:val="20"/>
                <w:szCs w:val="20"/>
              </w:rPr>
              <w:t xml:space="preserve">€12.000 – €25.000</w:t>
            </w:r>
          </w:p>
        </w:tc>
        <w:tc>
          <w:tcPr>
            <w:tcW w:type="dxa" w:w="208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pPr>
              <w:jc w:val="center"/>
            </w:pPr>
            <w:r>
              <w:rPr>
                <w:rFonts w:ascii="Arial" w:cs="Arial" w:eastAsia="Arial" w:hAnsi="Arial"/>
                <w:color w:val="1C2535"/>
                <w:sz w:val="20"/>
                <w:szCs w:val="20"/>
              </w:rPr>
              <w:t xml:space="preserve">€45.000 – €80.000</w:t>
            </w:r>
          </w:p>
        </w:tc>
        <w:tc>
          <w:tcPr>
            <w:tcW w:type="dxa" w:w="208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pPr>
              <w:jc w:val="center"/>
            </w:pPr>
            <w:r>
              <w:rPr>
                <w:rFonts w:ascii="Arial" w:cs="Arial" w:eastAsia="Arial" w:hAnsi="Arial"/>
                <w:color w:val="1C2535"/>
                <w:sz w:val="20"/>
                <w:szCs w:val="20"/>
              </w:rPr>
              <w:t xml:space="preserve">€150.000 – €280.000</w:t>
            </w:r>
          </w:p>
        </w:tc>
      </w:tr>
      <w:tr>
        <w:trPr>
          <w:cantSplit/>
        </w:trPr>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TOTAL combinado</w:t>
            </w:r>
          </w:p>
        </w:tc>
        <w:tc>
          <w:tcPr>
            <w:tcW w:type="dxa" w:w="20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€30.000 – €60.000</w:t>
            </w:r>
          </w:p>
        </w:tc>
        <w:tc>
          <w:tcPr>
            <w:tcW w:type="dxa" w:w="20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€100.000 – €170.000</w:t>
            </w:r>
          </w:p>
        </w:tc>
        <w:tc>
          <w:tcPr>
            <w:tcW w:type="dxa" w:w="2080"/>
            <w:tcBorders>
              <w:top w:val="single" w:color="CCCCCC" w:sz="1"/>
              <w:left w:val="single" w:color="CCCCCC" w:sz="1"/>
              <w:bottom w:val="single" w:color="CCCCCC" w:sz="1"/>
              <w:right w:val="single" w:color="CCCCCC" w:sz="1"/>
            </w:tcBorders>
            <w:shd w:fill="D8F3DC" w:val="clear"/>
            <w:tcMar>
              <w:top w:type="dxa" w:w="70"/>
              <w:left w:type="dxa" w:w="110"/>
              <w:bottom w:type="dxa" w:w="70"/>
              <w:right w:type="dxa" w:w="110"/>
            </w:tcMar>
          </w:tcPr>
          <w:p>
            <w:pPr>
              <w:jc w:val="center"/>
            </w:pPr>
            <w:r>
              <w:rPr>
                <w:rFonts w:ascii="Arial" w:cs="Arial" w:eastAsia="Arial" w:hAnsi="Arial"/>
                <w:color w:val="1C2535"/>
                <w:sz w:val="20"/>
                <w:szCs w:val="20"/>
              </w:rPr>
              <w:t xml:space="preserve">€270.000 – €480.000</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none" w:color="FFFFFF" w:sz="0"/>
              <w:bottom w:val="none" w:color="FFFFFF" w:sz="0"/>
              <w:right w:val="none" w:color="FFFFFF" w:sz="0"/>
            </w:tcBorders>
            <w:shd w:fill="1C2535" w:val="clear"/>
            <w:tcMar>
              <w:top w:type="dxa" w:w="160"/>
              <w:left w:type="dxa" w:w="240"/>
              <w:bottom w:type="dxa" w:w="160"/>
              <w:right w:type="dxa" w:w="240"/>
            </w:tcMar>
          </w:tcPr>
          <w:p>
            <w:r>
              <w:rPr>
                <w:rFonts w:ascii="Arial" w:cs="Arial" w:eastAsia="Arial" w:hAnsi="Arial"/>
                <w:b/>
                <w:bCs/>
                <w:color w:val="FFFFFF"/>
                <w:sz w:val="30"/>
                <w:szCs w:val="30"/>
              </w:rPr>
              <w:t xml:space="preserve">A. Arquitectura IA del Vertical</w:t>
            </w:r>
          </w:p>
          <w:p>
            <w:r>
              <w:rPr>
                <w:rFonts w:ascii="Arial" w:cs="Arial" w:eastAsia="Arial" w:hAnsi="Arial"/>
                <w:color w:val="D5E8F0"/>
                <w:sz w:val="20"/>
                <w:szCs w:val="20"/>
              </w:rPr>
              <w:t xml:space="preserve">Detección · Prompts · Embeddings · Normativa · Plantillas · Materiales · Contratos</w:t>
            </w:r>
          </w:p>
        </w:tc>
      </w:tr>
    </w:tbl>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8922A" w:sz="4"/>
              <w:left w:val="single" w:color="C8922A" w:sz="4"/>
              <w:bottom w:val="none" w:color="FFFFFF" w:sz="0"/>
              <w:right w:val="none" w:color="FFFFFF" w:sz="0"/>
            </w:tcBorders>
            <w:shd w:fill="FDF3E3" w:val="clear"/>
            <w:tcMar>
              <w:top w:type="dxa" w:w="140"/>
              <w:left w:type="dxa" w:w="200"/>
              <w:bottom w:type="dxa" w:w="140"/>
              <w:right w:type="dxa" w:w="200"/>
            </w:tcMar>
          </w:tcPr>
          <w:p>
            <w:r>
              <w:rPr>
                <w:rFonts w:ascii="Arial" w:cs="Arial" w:eastAsia="Arial" w:hAnsi="Arial"/>
                <w:color w:val="1C2535"/>
                <w:sz w:val="21"/>
                <w:szCs w:val="21"/>
              </w:rPr>
              <w:t xml:space="preserve">Principio fundamental: La IA de TrabFlow no inventa. Detecta una actuación técnica en la conversación del instalador y ejecuta una plantilla preconfigurada con materiales, reglas de cálculo y partidas reales de la Base Maestra. Este principio diferencial se aplica igual en VE y Fotovoltaica que en electricidad o fontanería.</w:t>
            </w:r>
          </w:p>
        </w:tc>
      </w:tr>
    </w:tbl>
    <w:p>
      <w:pPr>
        <w:spacing w:after="120" w:before="120"/>
      </w:pPr>
    </w:p>
    <w:p>
      <w:pPr>
        <w:spacing w:after="120" w:before="240"/>
      </w:pPr>
      <w:r>
        <w:rPr>
          <w:rFonts w:ascii="Arial" w:cs="Arial" w:eastAsia="Arial" w:hAnsi="Arial"/>
          <w:b/>
          <w:bCs/>
          <w:color w:val="1C2535"/>
          <w:sz w:val="26"/>
          <w:szCs w:val="26"/>
        </w:rPr>
        <w:t xml:space="preserve">A.2 Pipeline de Detección de Actuación — 4 pasos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560"/>
        <w:gridCol w:w="3000"/>
      </w:tblGrid>
      <w:tr>
        <w:trPr>
          <w:cantSplit/>
        </w:trPr>
        <w:tc>
          <w:tcPr>
            <w:tcW w:type="dxa" w:w="6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Paso</w:t>
            </w:r>
          </w:p>
        </w:tc>
        <w:tc>
          <w:tcPr>
            <w:tcW w:type="dxa" w:w="22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Nombre</w:t>
            </w:r>
          </w:p>
        </w:tc>
        <w:tc>
          <w:tcPr>
            <w:tcW w:type="dxa" w:w="356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Qué ocurre</w:t>
            </w:r>
          </w:p>
        </w:tc>
        <w:tc>
          <w:tcPr>
            <w:tcW w:type="dxa" w:w="30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Output</w:t>
            </w:r>
          </w:p>
        </w:tc>
      </w:tr>
      <w:tr>
        <w:trPr>
          <w:cantSplit/>
        </w:trPr>
        <w:tc>
          <w:tcPr>
            <w:tcW w:type="dxa" w:w="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Entrada multimodal</w:t>
            </w:r>
          </w:p>
        </w:tc>
        <w:tc>
          <w:tcPr>
            <w:tcW w:type="dxa" w:w="3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Voz transcrita (Whisper/OpenAI) → texto español técnico. Imagen (vision model) → descripción elemento. Texto libre tecleado. Datos formulario estructurado (kW, ubicación, tipo trabajo)</w:t>
            </w:r>
          </w:p>
        </w:tc>
        <w:tc>
          <w:tcPr>
            <w:tcW w:type="dxa" w:w="3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Texto normalizado en español técnico</w:t>
            </w:r>
          </w:p>
        </w:tc>
      </w:tr>
      <w:tr>
        <w:trPr>
          <w:cantSplit/>
        </w:trPr>
        <w:tc>
          <w:tcPr>
            <w:tcW w:type="dxa" w:w="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2</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Clasificador de intención (Prompt Layer 1)</w:t>
            </w:r>
          </w:p>
        </w:tc>
        <w:tc>
          <w:tcPr>
            <w:tcW w:type="dxa" w:w="3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Prompt de sistema: 'Identifica la actuación técnica y mapéala al ID de la Base Maestra (ej: VE-01, FV-26). Si hay ambigüedad, devuelve las 3 más probables con score 0-1. Si no hay actuación clara, solicita aclaración concreta al instalador.'</w:t>
            </w:r>
          </w:p>
        </w:tc>
        <w:tc>
          <w:tcPr>
            <w:tcW w:type="dxa" w:w="3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ID de actuación + score de confianza</w:t>
            </w:r>
          </w:p>
        </w:tc>
      </w:tr>
      <w:tr>
        <w:trPr>
          <w:cantSplit/>
        </w:trPr>
        <w:tc>
          <w:tcPr>
            <w:tcW w:type="dxa" w:w="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3</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Búsqueda semántica en Base Maestra (Embeddings)</w:t>
            </w:r>
          </w:p>
        </w:tc>
        <w:tc>
          <w:tcPr>
            <w:tcW w:type="dxa" w:w="3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text-embedding-3-small → búsqueda coseno en colecciones vectoriales de actuaciones. Recupera la plantilla más similar con materiales, reglas de cálculo y normativa aplicable</w:t>
            </w:r>
          </w:p>
        </w:tc>
        <w:tc>
          <w:tcPr>
            <w:tcW w:type="dxa" w:w="3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Plantilla BM cargada</w:t>
            </w:r>
          </w:p>
        </w:tc>
      </w:tr>
      <w:tr>
        <w:trPr>
          <w:cantSplit/>
        </w:trPr>
        <w:tc>
          <w:tcPr>
            <w:tcW w:type="dxa" w:w="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4</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Generación de presupuesto (Prompt Layer 2)</w:t>
            </w:r>
          </w:p>
        </w:tc>
        <w:tc>
          <w:tcPr>
            <w:tcW w:type="dxa" w:w="3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Carga plantilla BM. Inyecta parámetros org: kWp, nº paneles, tipo estructura, potencia wallbox. Calcula materiales por fórmula. Aplica margen org. Genera PDF/Word</w:t>
            </w:r>
          </w:p>
        </w:tc>
        <w:tc>
          <w:tcPr>
            <w:tcW w:type="dxa" w:w="3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Presupuesto en 30 segundos</w:t>
            </w:r>
          </w:p>
        </w:tc>
      </w:tr>
    </w:tbl>
    <w:p>
      <w:pPr>
        <w:spacing w:after="120" w:before="120"/>
      </w:pPr>
    </w:p>
    <w:p>
      <w:pPr>
        <w:spacing w:after="120" w:before="240"/>
      </w:pPr>
      <w:r>
        <w:rPr>
          <w:rFonts w:ascii="Arial" w:cs="Arial" w:eastAsia="Arial" w:hAnsi="Arial"/>
          <w:b/>
          <w:bCs/>
          <w:color w:val="1C2535"/>
          <w:sz w:val="26"/>
          <w:szCs w:val="26"/>
        </w:rPr>
        <w:t xml:space="preserve">A.3 Colecciones vectoriales necesarias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1200"/>
        <w:gridCol w:w="1200"/>
        <w:gridCol w:w="1400"/>
      </w:tblGrid>
      <w:tr>
        <w:trPr>
          <w:cantSplit/>
        </w:trPr>
        <w:tc>
          <w:tcPr>
            <w:tcW w:type="dxa" w:w="24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Colección</w:t>
            </w:r>
          </w:p>
        </w:tc>
        <w:tc>
          <w:tcPr>
            <w:tcW w:type="dxa" w:w="316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Contenido indexado</w:t>
            </w:r>
          </w:p>
        </w:tc>
        <w:tc>
          <w:tcPr>
            <w:tcW w:type="dxa" w:w="12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Dims</w:t>
            </w:r>
          </w:p>
        </w:tc>
        <w:tc>
          <w:tcPr>
            <w:tcW w:type="dxa" w:w="12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Similitud</w:t>
            </w:r>
          </w:p>
        </w:tc>
        <w:tc>
          <w:tcPr>
            <w:tcW w:type="dxa" w:w="14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Coste (1 vez)</w:t>
            </w:r>
          </w:p>
        </w:tc>
      </w:tr>
      <w:tr>
        <w:trPr>
          <w:cantSplit/>
        </w:trP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bm_ve_actuaciones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50 actuaciones VE con materiales, normativa, palabras clave técnicas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1536</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cosine</w:t>
            </w:r>
          </w:p>
        </w:tc>
        <w:tc>
          <w:tcPr>
            <w:tcW w:type="dxa" w:w="1400"/>
            <w:tcBorders>
              <w:top w:val="single" w:color="CCCCCC" w:sz="1"/>
              <w:left w:val="single" w:color="CCCCCC" w:sz="1"/>
              <w:bottom w:val="single" w:color="CCCCCC" w:sz="1"/>
              <w:right w:val="single" w:color="CCCCCC" w:sz="1"/>
            </w:tcBorders>
            <w:shd w:fill="D8F3DC" w:val="clear"/>
            <w:tcMar>
              <w:top w:type="dxa" w:w="70"/>
              <w:left w:type="dxa" w:w="110"/>
              <w:bottom w:type="dxa" w:w="70"/>
              <w:right w:type="dxa" w:w="110"/>
            </w:tcMar>
          </w:tcPr>
          <w:p>
            <w:pPr>
              <w:jc w:val="center"/>
            </w:pPr>
            <w:r>
              <w:rPr>
                <w:rFonts w:ascii="Arial" w:cs="Arial" w:eastAsia="Arial" w:hAnsi="Arial"/>
                <w:color w:val="1C2535"/>
                <w:sz w:val="20"/>
                <w:szCs w:val="20"/>
              </w:rPr>
              <w:t xml:space="preserve">&lt; €1</w:t>
            </w:r>
          </w:p>
        </w:tc>
      </w:tr>
      <w:tr>
        <w:trPr>
          <w:cantSplit/>
        </w:trP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bm_fv_actuaciones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100 actuaciones FV con materiales, normativa, palabras clave técnicas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1536</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cosine</w:t>
            </w:r>
          </w:p>
        </w:tc>
        <w:tc>
          <w:tcPr>
            <w:tcW w:type="dxa" w:w="1400"/>
            <w:tcBorders>
              <w:top w:val="single" w:color="CCCCCC" w:sz="1"/>
              <w:left w:val="single" w:color="CCCCCC" w:sz="1"/>
              <w:bottom w:val="single" w:color="CCCCCC" w:sz="1"/>
              <w:right w:val="single" w:color="CCCCCC" w:sz="1"/>
            </w:tcBorders>
            <w:shd w:fill="D8F3DC" w:val="clear"/>
            <w:tcMar>
              <w:top w:type="dxa" w:w="70"/>
              <w:left w:type="dxa" w:w="110"/>
              <w:bottom w:type="dxa" w:w="70"/>
              <w:right w:type="dxa" w:w="110"/>
            </w:tcMar>
          </w:tcPr>
          <w:p>
            <w:pPr>
              <w:jc w:val="center"/>
            </w:pPr>
            <w:r>
              <w:rPr>
                <w:rFonts w:ascii="Arial" w:cs="Arial" w:eastAsia="Arial" w:hAnsi="Arial"/>
                <w:color w:val="1C2535"/>
                <w:sz w:val="20"/>
                <w:szCs w:val="20"/>
              </w:rPr>
              <w:t xml:space="preserve">&lt; €2</w:t>
            </w:r>
          </w:p>
        </w:tc>
      </w:tr>
      <w:tr>
        <w:trPr>
          <w:cantSplit/>
        </w:trP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normativa_ve</w:t>
            </w:r>
          </w:p>
        </w:tc>
        <w:tc>
          <w:tcPr>
            <w:tcW w:type="dxa" w:w="3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ITC-BT-52, REBT, MOVES III, AFIR, manuales fabricantes VE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1536</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cosine</w:t>
            </w:r>
          </w:p>
        </w:tc>
        <w:tc>
          <w:tcPr>
            <w:tcW w:type="dxa" w:w="1400"/>
            <w:tcBorders>
              <w:top w:val="single" w:color="CCCCCC" w:sz="1"/>
              <w:left w:val="single" w:color="CCCCCC" w:sz="1"/>
              <w:bottom w:val="single" w:color="CCCCCC" w:sz="1"/>
              <w:right w:val="single" w:color="CCCCCC" w:sz="1"/>
            </w:tcBorders>
            <w:shd w:fill="D8F3DC" w:val="clear"/>
            <w:tcMar>
              <w:top w:type="dxa" w:w="70"/>
              <w:left w:type="dxa" w:w="110"/>
              <w:bottom w:type="dxa" w:w="70"/>
              <w:right w:type="dxa" w:w="110"/>
            </w:tcMar>
          </w:tcPr>
          <w:p>
            <w:pPr>
              <w:jc w:val="center"/>
            </w:pPr>
            <w:r>
              <w:rPr>
                <w:rFonts w:ascii="Arial" w:cs="Arial" w:eastAsia="Arial" w:hAnsi="Arial"/>
                <w:color w:val="1C2535"/>
                <w:sz w:val="20"/>
                <w:szCs w:val="20"/>
              </w:rPr>
              <w:t xml:space="preserve">&lt; €1</w:t>
            </w:r>
          </w:p>
        </w:tc>
      </w:tr>
      <w:tr>
        <w:trPr>
          <w:cantSplit/>
        </w:trP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normativa_fv</w:t>
            </w:r>
          </w:p>
        </w:tc>
        <w:tc>
          <w:tcPr>
            <w:tcW w:type="dxa" w:w="3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RD 244/2019, RD 1183/2020, IEC 62446, IEC 61724, guías IDAE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1536</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cosine</w:t>
            </w:r>
          </w:p>
        </w:tc>
        <w:tc>
          <w:tcPr>
            <w:tcW w:type="dxa" w:w="1400"/>
            <w:tcBorders>
              <w:top w:val="single" w:color="CCCCCC" w:sz="1"/>
              <w:left w:val="single" w:color="CCCCCC" w:sz="1"/>
              <w:bottom w:val="single" w:color="CCCCCC" w:sz="1"/>
              <w:right w:val="single" w:color="CCCCCC" w:sz="1"/>
            </w:tcBorders>
            <w:shd w:fill="D8F3DC" w:val="clear"/>
            <w:tcMar>
              <w:top w:type="dxa" w:w="70"/>
              <w:left w:type="dxa" w:w="110"/>
              <w:bottom w:type="dxa" w:w="70"/>
              <w:right w:type="dxa" w:w="110"/>
            </w:tcMar>
          </w:tcPr>
          <w:p>
            <w:pPr>
              <w:jc w:val="center"/>
            </w:pPr>
            <w:r>
              <w:rPr>
                <w:rFonts w:ascii="Arial" w:cs="Arial" w:eastAsia="Arial" w:hAnsi="Arial"/>
                <w:color w:val="1C2535"/>
                <w:sz w:val="20"/>
                <w:szCs w:val="20"/>
              </w:rPr>
              <w:t xml:space="preserve">&lt; €2</w:t>
            </w:r>
          </w:p>
        </w:tc>
      </w:tr>
      <w:tr>
        <w:trPr>
          <w:cantSplit/>
        </w:trP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contratos_plantillas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Cláusulas O&amp;M VE y FV, SLAs, condiciones económicas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1536</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cosine</w:t>
            </w:r>
          </w:p>
        </w:tc>
        <w:tc>
          <w:tcPr>
            <w:tcW w:type="dxa" w:w="1400"/>
            <w:tcBorders>
              <w:top w:val="single" w:color="CCCCCC" w:sz="1"/>
              <w:left w:val="single" w:color="CCCCCC" w:sz="1"/>
              <w:bottom w:val="single" w:color="CCCCCC" w:sz="1"/>
              <w:right w:val="single" w:color="CCCCCC" w:sz="1"/>
            </w:tcBorders>
            <w:shd w:fill="D8F3DC" w:val="clear"/>
            <w:tcMar>
              <w:top w:type="dxa" w:w="70"/>
              <w:left w:type="dxa" w:w="110"/>
              <w:bottom w:type="dxa" w:w="70"/>
              <w:right w:type="dxa" w:w="110"/>
            </w:tcMar>
          </w:tcPr>
          <w:p>
            <w:pPr>
              <w:jc w:val="center"/>
            </w:pPr>
            <w:r>
              <w:rPr>
                <w:rFonts w:ascii="Arial" w:cs="Arial" w:eastAsia="Arial" w:hAnsi="Arial"/>
                <w:color w:val="1C2535"/>
                <w:sz w:val="20"/>
                <w:szCs w:val="20"/>
              </w:rPr>
              <w:t xml:space="preserve">&lt; €1</w:t>
            </w:r>
          </w:p>
        </w:tc>
      </w:tr>
      <w:tr>
        <w:trPr>
          <w:cantSplit/>
        </w:trP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TOTAL (5 colecciones)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~750 fragmentos totales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w:t>
            </w:r>
          </w:p>
        </w:tc>
        <w:tc>
          <w:tcPr>
            <w:tcW w:type="dxa" w:w="1400"/>
            <w:tcBorders>
              <w:top w:val="single" w:color="CCCCCC" w:sz="1"/>
              <w:left w:val="single" w:color="CCCCCC" w:sz="1"/>
              <w:bottom w:val="single" w:color="CCCCCC" w:sz="1"/>
              <w:right w:val="single" w:color="CCCCCC" w:sz="1"/>
            </w:tcBorders>
            <w:shd w:fill="D8F3DC" w:val="clear"/>
            <w:tcMar>
              <w:top w:type="dxa" w:w="70"/>
              <w:left w:type="dxa" w:w="110"/>
              <w:bottom w:type="dxa" w:w="70"/>
              <w:right w:type="dxa" w:w="110"/>
            </w:tcMar>
          </w:tcPr>
          <w:p>
            <w:pPr>
              <w:jc w:val="center"/>
            </w:pPr>
            <w:r>
              <w:rPr>
                <w:rFonts w:ascii="Arial" w:cs="Arial" w:eastAsia="Arial" w:hAnsi="Arial"/>
                <w:color w:val="1C2535"/>
                <w:sz w:val="20"/>
                <w:szCs w:val="20"/>
              </w:rPr>
              <w:t xml:space="preserve">&lt; €8 total</w:t>
            </w:r>
          </w:p>
        </w:tc>
      </w:tr>
    </w:tbl>
    <w:p>
      <w:pPr>
        <w:spacing w:after="120" w:before="120"/>
      </w:pPr>
    </w:p>
    <w:p>
      <w:pPr>
        <w:spacing w:after="120" w:before="240"/>
      </w:pPr>
      <w:r>
        <w:rPr>
          <w:rFonts w:ascii="Arial" w:cs="Arial" w:eastAsia="Arial" w:hAnsi="Arial"/>
          <w:b/>
          <w:bCs/>
          <w:color w:val="1C2535"/>
          <w:sz w:val="26"/>
          <w:szCs w:val="26"/>
        </w:rPr>
        <w:t xml:space="preserve">A.5 Plantillas que ejecuta la IA</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760"/>
        <w:gridCol w:w="1400"/>
        <w:gridCol w:w="800"/>
      </w:tblGrid>
      <w:tr>
        <w:trPr>
          <w:cantSplit/>
        </w:trPr>
        <w:tc>
          <w:tcPr>
            <w:tcW w:type="dxa" w:w="24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Plantilla</w:t>
            </w:r>
          </w:p>
        </w:tc>
        <w:tc>
          <w:tcPr>
            <w:tcW w:type="dxa" w:w="20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Trigger IA</w:t>
            </w:r>
          </w:p>
        </w:tc>
        <w:tc>
          <w:tcPr>
            <w:tcW w:type="dxa" w:w="276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Output generado</w:t>
            </w:r>
          </w:p>
        </w:tc>
        <w:tc>
          <w:tcPr>
            <w:tcW w:type="dxa" w:w="14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Módulo</w:t>
            </w:r>
          </w:p>
        </w:tc>
        <w:tc>
          <w:tcPr>
            <w:tcW w:type="dxa" w:w="8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Firma digital</w:t>
            </w:r>
          </w:p>
        </w:tc>
      </w:tr>
      <w:tr>
        <w:trPr>
          <w:cantSplit/>
        </w:trPr>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Presupuesto VE</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Detección actuación VE-xx</w:t>
            </w:r>
          </w:p>
        </w:tc>
        <w:tc>
          <w:tcPr>
            <w:tcW w:type="dxa" w:w="27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PDF presupuesto con partidas ITC-BT-52</w:t>
            </w:r>
          </w:p>
        </w:tc>
        <w:tc>
          <w:tcPr>
            <w:tcW w:type="dxa" w:w="1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Presupuestos</w:t>
            </w:r>
          </w:p>
        </w:tc>
        <w:tc>
          <w:tcPr>
            <w:tcW w:type="dxa" w:w="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w:t>
            </w:r>
          </w:p>
        </w:tc>
      </w:tr>
      <w:tr>
        <w:trPr>
          <w:cantSplit/>
        </w:trPr>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Presupuesto FV</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Detección actuación FV-xx</w:t>
            </w:r>
          </w:p>
        </w:tc>
        <w:tc>
          <w:tcPr>
            <w:tcW w:type="dxa" w:w="27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PDF presupuesto con partidas IEC 62446</w:t>
            </w:r>
          </w:p>
        </w:tc>
        <w:tc>
          <w:tcPr>
            <w:tcW w:type="dxa" w:w="1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Presupuestos</w:t>
            </w:r>
          </w:p>
        </w:tc>
        <w:tc>
          <w:tcPr>
            <w:tcW w:type="dxa" w:w="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w:t>
            </w:r>
          </w:p>
        </w:tc>
      </w:tr>
      <w:tr>
        <w:trPr>
          <w:cantSplit/>
        </w:trPr>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Parte de trabajo VE</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Inicio trabajo desde planificación</w:t>
            </w:r>
          </w:p>
        </w:tc>
        <w:tc>
          <w:tcPr>
            <w:tcW w:type="dxa" w:w="27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Checklist digital + foto de cada punto de recarga instalado</w:t>
            </w:r>
          </w:p>
        </w:tc>
        <w:tc>
          <w:tcPr>
            <w:tcW w:type="dxa" w:w="1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Partes</w:t>
            </w:r>
          </w:p>
        </w:tc>
        <w:tc>
          <w:tcPr>
            <w:tcW w:type="dxa" w:w="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Sí</w:t>
            </w:r>
          </w:p>
        </w:tc>
      </w:tr>
      <w:tr>
        <w:trPr>
          <w:cantSplit/>
        </w:trPr>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Parte termografía FV</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Actuación FV-26/27/28/29</w:t>
            </w:r>
          </w:p>
        </w:tc>
        <w:tc>
          <w:tcPr>
            <w:tcW w:type="dxa" w:w="27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Informe termografía IEC TS 62446-3 con puntos calientes</w:t>
            </w:r>
          </w:p>
        </w:tc>
        <w:tc>
          <w:tcPr>
            <w:tcW w:type="dxa" w:w="1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Partes</w:t>
            </w:r>
          </w:p>
        </w:tc>
        <w:tc>
          <w:tcPr>
            <w:tcW w:type="dxa" w:w="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Sí</w:t>
            </w:r>
          </w:p>
        </w:tc>
      </w:tr>
      <w:tr>
        <w:trPr>
          <w:cantSplit/>
        </w:trPr>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Informe O&amp;M mensual FV</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Cron mensual + datos monitorización</w:t>
            </w:r>
          </w:p>
        </w:tc>
        <w:tc>
          <w:tcPr>
            <w:tcW w:type="dxa" w:w="27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PDF producción real vs. estimada, KPIs, incidencias</w:t>
            </w:r>
          </w:p>
        </w:tc>
        <w:tc>
          <w:tcPr>
            <w:tcW w:type="dxa" w:w="1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Contratos O&amp;M</w:t>
            </w:r>
          </w:p>
        </w:tc>
        <w:tc>
          <w:tcPr>
            <w:tcW w:type="dxa" w:w="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w:t>
            </w:r>
          </w:p>
        </w:tc>
      </w:tr>
      <w:tr>
        <w:trPr>
          <w:cantSplit/>
        </w:trPr>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Contrato O&amp;M VE</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Aceptación presupuesto + solicitud</w:t>
            </w:r>
          </w:p>
        </w:tc>
        <w:tc>
          <w:tcPr>
            <w:tcW w:type="dxa" w:w="27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DOCX 14+ cláusulas, SLA, cuota mensual</w:t>
            </w:r>
          </w:p>
        </w:tc>
        <w:tc>
          <w:tcPr>
            <w:tcW w:type="dxa" w:w="1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Contratos</w:t>
            </w:r>
          </w:p>
        </w:tc>
        <w:tc>
          <w:tcPr>
            <w:tcW w:type="dxa" w:w="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Sí</w:t>
            </w:r>
          </w:p>
        </w:tc>
      </w:tr>
      <w:tr>
        <w:trPr>
          <w:cantSplit/>
        </w:trPr>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Contrato O&amp;M FV</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Aceptación presupuesto + solicitud</w:t>
            </w:r>
          </w:p>
        </w:tc>
        <w:tc>
          <w:tcPr>
            <w:tcW w:type="dxa" w:w="27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DOCX niveles Vigilancia/Preventivo/O&amp;M/Full</w:t>
            </w:r>
          </w:p>
        </w:tc>
        <w:tc>
          <w:tcPr>
            <w:tcW w:type="dxa" w:w="1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Contratos</w:t>
            </w:r>
          </w:p>
        </w:tc>
        <w:tc>
          <w:tcPr>
            <w:tcW w:type="dxa" w:w="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Sí</w:t>
            </w:r>
          </w:p>
        </w:tc>
      </w:tr>
      <w:tr>
        <w:trPr>
          <w:cantSplit/>
        </w:trPr>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Memoria técnica legalización VE</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Actuación VE-11 (legalización)</w:t>
            </w:r>
          </w:p>
        </w:tc>
        <w:tc>
          <w:tcPr>
            <w:tcW w:type="dxa" w:w="27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DOCX memoria + esquema unifilar borrador</w:t>
            </w:r>
          </w:p>
        </w:tc>
        <w:tc>
          <w:tcPr>
            <w:tcW w:type="dxa" w:w="1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Documentación</w:t>
            </w:r>
          </w:p>
        </w:tc>
        <w:tc>
          <w:tcPr>
            <w:tcW w:type="dxa" w:w="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w:t>
            </w:r>
          </w:p>
        </w:tc>
      </w:tr>
      <w:tr>
        <w:trPr>
          <w:cantSplit/>
        </w:trPr>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Solicitud subvención MOVES III</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Actuación VE-10</w:t>
            </w:r>
          </w:p>
        </w:tc>
        <w:tc>
          <w:tcPr>
            <w:tcW w:type="dxa" w:w="27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Documentación normalizada para tramitación</w:t>
            </w:r>
          </w:p>
        </w:tc>
        <w:tc>
          <w:tcPr>
            <w:tcW w:type="dxa" w:w="1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Documentación</w:t>
            </w:r>
          </w:p>
        </w:tc>
        <w:tc>
          <w:tcPr>
            <w:tcW w:type="dxa" w:w="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w:t>
            </w:r>
          </w:p>
        </w:tc>
      </w:tr>
    </w:tbl>
    <w:p>
      <w:pPr>
        <w:spacing w:after="120" w:before="120"/>
      </w:pPr>
    </w:p>
    <w:p>
      <w:pPr>
        <w:spacing w:after="120" w:before="240"/>
      </w:pPr>
      <w:r>
        <w:rPr>
          <w:rFonts w:ascii="Arial" w:cs="Arial" w:eastAsia="Arial" w:hAnsi="Arial"/>
          <w:b/>
          <w:bCs/>
          <w:color w:val="1C2535"/>
          <w:sz w:val="26"/>
          <w:szCs w:val="26"/>
        </w:rPr>
        <w:t xml:space="preserve">A.6 Materiales que propone la IA — Jerarquía de prioridad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A5A96" w:sz="4"/>
              <w:left w:val="single" w:color="1A5A96" w:sz="4"/>
              <w:bottom w:val="none" w:color="FFFFFF" w:sz="0"/>
              <w:right w:val="none" w:color="FFFFFF" w:sz="0"/>
            </w:tcBorders>
            <w:shd w:fill="D5E8F0" w:val="clear"/>
            <w:tcMar>
              <w:top w:type="dxa" w:w="140"/>
              <w:left w:type="dxa" w:w="200"/>
              <w:bottom w:type="dxa" w:w="140"/>
              <w:right w:type="dxa" w:w="200"/>
            </w:tcMar>
          </w:tcPr>
          <w:p>
            <w:r>
              <w:rPr>
                <w:rFonts w:ascii="Arial" w:cs="Arial" w:eastAsia="Arial" w:hAnsi="Arial"/>
                <w:color w:val="1C2535"/>
                <w:sz w:val="21"/>
                <w:szCs w:val="21"/>
              </w:rPr>
              <w:t xml:space="preserve">La IA no inventa referencias de material. Propone los materiales de la Base Maestra con tres fuentes priorizadas: (1ª) catálogo del proveedor activado por la org (OBRAMAT, Saltoki, proveedor propio), (2ª) referencias genéricas de la Base Maestra sin proveedor específico, (3ª) descripción técnica sin referencia para que el instalador complete manualmente.</w:t>
            </w:r>
          </w:p>
        </w:tc>
      </w:tr>
    </w:tbl>
    <w:p>
      <w:pPr>
        <w:spacing w:after="80" w:before="80"/>
      </w:pPr>
    </w:p>
    <w:p>
      <w:pPr>
        <w:spacing w:after="60" w:before="60"/>
      </w:pPr>
      <w:r>
        <w:rPr>
          <w:rFonts w:ascii="Arial" w:cs="Arial" w:eastAsia="Arial" w:hAnsi="Arial"/>
          <w:color w:val="1C2535"/>
          <w:sz w:val="22"/>
          <w:szCs w:val="22"/>
        </w:rPr>
        <w:t xml:space="preserve">Ejemplo de propuestas automáticas para FV-26 (Inspección termográfica de paneles):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000"/>
        <w:gridCol w:w="3560"/>
      </w:tblGrid>
      <w:tr>
        <w:trPr>
          <w:cantSplit/>
        </w:trPr>
        <w:tc>
          <w:tcPr>
            <w:tcW w:type="dxa" w:w="28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Material propuesto</w:t>
            </w:r>
          </w:p>
        </w:tc>
        <w:tc>
          <w:tcPr>
            <w:tcW w:type="dxa" w:w="20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Referencia Base Maestra</w:t>
            </w:r>
          </w:p>
        </w:tc>
        <w:tc>
          <w:tcPr>
            <w:tcW w:type="dxa" w:w="10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Unidad</w:t>
            </w:r>
          </w:p>
        </w:tc>
        <w:tc>
          <w:tcPr>
            <w:tcW w:type="dxa" w:w="356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Fuente</w:t>
            </w:r>
          </w:p>
        </w:tc>
      </w:tr>
      <w:tr>
        <w:trPr>
          <w:cantSplit/>
        </w:trPr>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Cámara termográfica certificada (alquiler)</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FV-MAT-TERM-001</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Día</w:t>
            </w:r>
          </w:p>
        </w:tc>
        <w:tc>
          <w:tcPr>
            <w:tcW w:type="dxa" w:w="3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BM genérica</w:t>
            </w:r>
          </w:p>
        </w:tc>
      </w:tr>
      <w:tr>
        <w:trPr>
          <w:cantSplit/>
        </w:trPr>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Informe termografía IEC TS 62446-3</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FV-MAT-TERM-002</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Ud</w:t>
            </w:r>
          </w:p>
        </w:tc>
        <w:tc>
          <w:tcPr>
            <w:tcW w:type="dxa" w:w="3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Plantilla doc</w:t>
            </w:r>
          </w:p>
        </w:tc>
      </w:tr>
      <w:tr>
        <w:trPr>
          <w:cantSplit/>
        </w:trPr>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Desplazamiento técnico especialista</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COM-DESP-001</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Viaje</w:t>
            </w:r>
          </w:p>
        </w:tc>
        <w:tc>
          <w:tcPr>
            <w:tcW w:type="dxa" w:w="3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BM genérica</w:t>
            </w:r>
          </w:p>
        </w:tc>
      </w:tr>
      <w:tr>
        <w:trPr>
          <w:cantSplit/>
        </w:trPr>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Mano de obra inspección</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COM-MO-INSP</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h</w:t>
            </w:r>
          </w:p>
        </w:tc>
        <w:tc>
          <w:tcPr>
            <w:tcW w:type="dxa" w:w="3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BM genérica</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none" w:color="FFFFFF" w:sz="0"/>
              <w:bottom w:val="none" w:color="FFFFFF" w:sz="0"/>
              <w:right w:val="none" w:color="FFFFFF" w:sz="0"/>
            </w:tcBorders>
            <w:shd w:fill="1C2535" w:val="clear"/>
            <w:tcMar>
              <w:top w:type="dxa" w:w="160"/>
              <w:left w:type="dxa" w:w="240"/>
              <w:bottom w:type="dxa" w:w="160"/>
              <w:right w:type="dxa" w:w="240"/>
            </w:tcMar>
          </w:tcPr>
          <w:p>
            <w:r>
              <w:rPr>
                <w:rFonts w:ascii="Arial" w:cs="Arial" w:eastAsia="Arial" w:hAnsi="Arial"/>
                <w:b/>
                <w:bCs/>
                <w:color w:val="FFFFFF"/>
                <w:sz w:val="30"/>
                <w:szCs w:val="30"/>
              </w:rPr>
              <w:t xml:space="preserve">B. Flujo Completo del Usuario</w:t>
            </w:r>
          </w:p>
          <w:p>
            <w:r>
              <w:rPr>
                <w:rFonts w:ascii="Arial" w:cs="Arial" w:eastAsia="Arial" w:hAnsi="Arial"/>
                <w:color w:val="D5E8F0"/>
                <w:sz w:val="20"/>
                <w:szCs w:val="20"/>
              </w:rPr>
              <w:t xml:space="preserve">Customer Journey · Del primer contacto a la renovación del contrato</w:t>
            </w:r>
          </w:p>
        </w:tc>
      </w:tr>
    </w:tbl>
    <w:p>
      <w:pPr>
        <w:spacing w:after="160" w:before="160"/>
      </w:pPr>
    </w:p>
    <w:p>
      <w:pPr>
        <w:spacing w:after="120" w:before="240"/>
      </w:pPr>
      <w:r>
        <w:rPr>
          <w:rFonts w:ascii="Arial" w:cs="Arial" w:eastAsia="Arial" w:hAnsi="Arial"/>
          <w:b/>
          <w:bCs/>
          <w:color w:val="1C2535"/>
          <w:sz w:val="26"/>
          <w:szCs w:val="26"/>
        </w:rPr>
        <w:t xml:space="preserve">B.1 Customer Journey — Cargadores VE</w:t>
      </w:r>
    </w:p>
    <w:p>
      <w:pPr>
        <w:spacing w:after="80" w:before="80"/>
      </w:pPr>
    </w:p>
    <w:p>
      <w:pPr>
        <w:spacing w:after="60" w:before="60"/>
      </w:pPr>
      <w:r>
        <w:rPr>
          <w:rFonts w:ascii="Arial" w:cs="Arial" w:eastAsia="Arial" w:hAnsi="Arial"/>
          <w:color w:val="1C2535"/>
          <w:sz w:val="22"/>
          <w:szCs w:val="22"/>
        </w:rPr>
        <w:t xml:space="preserve">Escenario: instalador eléctrico habilitado VE recibe llamada de comunidad de propietarios de 12 plazas.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3160"/>
        <w:gridCol w:w="3400"/>
      </w:tblGrid>
      <w:tr>
        <w:trPr>
          <w:cantSplit/>
        </w:trPr>
        <w:tc>
          <w:tcPr>
            <w:tcW w:type="dxa" w:w="4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w:t>
            </w:r>
          </w:p>
        </w:tc>
        <w:tc>
          <w:tcPr>
            <w:tcW w:type="dxa" w:w="24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Qué hace el instalador</w:t>
            </w:r>
          </w:p>
        </w:tc>
        <w:tc>
          <w:tcPr>
            <w:tcW w:type="dxa" w:w="316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Qué hace TrabFlow IA</w:t>
            </w:r>
          </w:p>
        </w:tc>
        <w:tc>
          <w:tcPr>
            <w:tcW w:type="dxa" w:w="34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Output generado</w:t>
            </w:r>
          </w:p>
        </w:tc>
      </w:tr>
      <w:tr>
        <w:trPr>
          <w:cantSplit/>
        </w:trPr>
        <w:tc>
          <w:tcPr>
            <w:tcW w:type="dxa" w:w="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w:t>
            </w:r>
          </w:p>
        </w:tc>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Cliente llama. Apunta datos básicos</w:t>
            </w:r>
          </w:p>
        </w:tc>
        <w:tc>
          <w:tcPr>
            <w:tcW w:type="dxa" w:w="3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w:t>
            </w:r>
          </w:p>
        </w:tc>
        <w:tc>
          <w:tcPr>
            <w:tcW w:type="dxa" w:w="3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w:t>
            </w:r>
          </w:p>
        </w:tc>
      </w:tr>
      <w:tr>
        <w:trPr>
          <w:cantSplit/>
        </w:trPr>
        <w:tc>
          <w:tcPr>
            <w:tcW w:type="dxa" w:w="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2</w:t>
            </w:r>
          </w:p>
        </w:tc>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Graba descripción por voz o foto del garaje</w:t>
            </w:r>
          </w:p>
        </w:tc>
        <w:tc>
          <w:tcPr>
            <w:tcW w:type="dxa" w:w="3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Transcribe. Detecta 'instalación infraestructura recarga comunidad 12 plazas' → VE-05</w:t>
            </w:r>
          </w:p>
        </w:tc>
        <w:tc>
          <w:tcPr>
            <w:tcW w:type="dxa" w:w="3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Actuación identificada</w:t>
            </w:r>
          </w:p>
        </w:tc>
      </w:tr>
      <w:tr>
        <w:trPr>
          <w:cantSplit/>
        </w:trPr>
        <w:tc>
          <w:tcPr>
            <w:tcW w:type="dxa" w:w="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3</w:t>
            </w:r>
          </w:p>
        </w:tc>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Revisa partidas generadas</w:t>
            </w:r>
          </w:p>
        </w:tc>
        <w:tc>
          <w:tcPr>
            <w:tcW w:type="dxa" w:w="3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Aplica BM VE-05: cuadro distribución VE, ramales ×12, contadores. Calcula por plaza × 12</w:t>
            </w:r>
          </w:p>
        </w:tc>
        <w:tc>
          <w:tcPr>
            <w:tcW w:type="dxa" w:w="3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Presupuesto borrador en 30s</w:t>
            </w:r>
          </w:p>
        </w:tc>
      </w:tr>
      <w:tr>
        <w:trPr>
          <w:cantSplit/>
        </w:trPr>
        <w:tc>
          <w:tcPr>
            <w:tcW w:type="dxa" w:w="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4</w:t>
            </w:r>
          </w:p>
        </w:tc>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Ajusta margen, añade nota, envía</w:t>
            </w:r>
          </w:p>
        </w:tc>
        <w:tc>
          <w:tcPr>
            <w:tcW w:type="dxa" w:w="3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Genera PDF con logo. Envía WA/email con enlace aceptación pública /p/{token}</w:t>
            </w:r>
          </w:p>
        </w:tc>
        <w:tc>
          <w:tcPr>
            <w:tcW w:type="dxa" w:w="3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PDF + link aceptación</w:t>
            </w:r>
          </w:p>
        </w:tc>
      </w:tr>
      <w:tr>
        <w:trPr>
          <w:cantSplit/>
        </w:trPr>
        <w:tc>
          <w:tcPr>
            <w:tcW w:type="dxa" w:w="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5</w:t>
            </w:r>
          </w:p>
        </w:tc>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Notificación en TrabFlow</w:t>
            </w:r>
          </w:p>
        </w:tc>
        <w:tc>
          <w:tcPr>
            <w:tcW w:type="dxa" w:w="3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Marca presupuesto Aceptado. Dispara push al instalador</w:t>
            </w:r>
          </w:p>
        </w:tc>
        <w:tc>
          <w:tcPr>
            <w:tcW w:type="dxa" w:w="3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Push notification</w:t>
            </w:r>
          </w:p>
        </w:tc>
      </w:tr>
      <w:tr>
        <w:trPr>
          <w:cantSplit/>
        </w:trPr>
        <w:tc>
          <w:tcPr>
            <w:tcW w:type="dxa" w:w="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6</w:t>
            </w:r>
          </w:p>
        </w:tc>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Asigna técnico y fecha</w:t>
            </w:r>
          </w:p>
        </w:tc>
        <w:tc>
          <w:tcPr>
            <w:tcW w:type="dxa" w:w="3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Crea trabajo en planificación. Muestra ruta óptima del día</w:t>
            </w:r>
          </w:p>
        </w:tc>
        <w:tc>
          <w:tcPr>
            <w:tcW w:type="dxa" w:w="3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Trabajo planificado</w:t>
            </w:r>
          </w:p>
        </w:tc>
      </w:tr>
      <w:tr>
        <w:trPr>
          <w:cantSplit/>
        </w:trPr>
        <w:tc>
          <w:tcPr>
            <w:tcW w:type="dxa" w:w="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7</w:t>
            </w:r>
          </w:p>
        </w:tc>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Técnico registra parte desde móvil en obra</w:t>
            </w:r>
          </w:p>
        </w:tc>
        <w:tc>
          <w:tcPr>
            <w:tcW w:type="dxa" w:w="3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Checklist digital VE-05. Foto obligatoria por cada punto recarga instalado</w:t>
            </w:r>
          </w:p>
        </w:tc>
        <w:tc>
          <w:tcPr>
            <w:tcW w:type="dxa" w:w="3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Parte digital firmado</w:t>
            </w:r>
          </w:p>
        </w:tc>
      </w:tr>
      <w:tr>
        <w:trPr>
          <w:cantSplit/>
        </w:trPr>
        <w:tc>
          <w:tcPr>
            <w:tcW w:type="dxa" w:w="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8</w:t>
            </w:r>
          </w:p>
        </w:tc>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Convierte presupuesto en factura</w:t>
            </w:r>
          </w:p>
        </w:tc>
        <w:tc>
          <w:tcPr>
            <w:tcW w:type="dxa" w:w="3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Genera FAC-20xx. Serie F. IVA 21%. VeriFactu hash automático</w:t>
            </w:r>
          </w:p>
        </w:tc>
        <w:tc>
          <w:tcPr>
            <w:tcW w:type="dxa" w:w="3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Factura PDF + enlace público</w:t>
            </w:r>
          </w:p>
        </w:tc>
      </w:tr>
      <w:tr>
        <w:trPr>
          <w:cantSplit/>
        </w:trPr>
        <w:tc>
          <w:tcPr>
            <w:tcW w:type="dxa" w:w="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9</w:t>
            </w:r>
          </w:p>
        </w:tc>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Pulsa botón WA</w:t>
            </w:r>
          </w:p>
        </w:tc>
        <w:tc>
          <w:tcPr>
            <w:tcW w:type="dxa" w:w="3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Mensaje con enlace factura trabflow.com/factura/{token}</w:t>
            </w:r>
          </w:p>
        </w:tc>
        <w:tc>
          <w:tcPr>
            <w:tcW w:type="dxa" w:w="3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WhatsApp enviado</w:t>
            </w:r>
          </w:p>
        </w:tc>
      </w:tr>
      <w:tr>
        <w:trPr>
          <w:cantSplit/>
        </w:trPr>
        <w:tc>
          <w:tcPr>
            <w:tcW w:type="dxa" w:w="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10</w:t>
            </w:r>
          </w:p>
        </w:tc>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Propone mantenimiento anual</w:t>
            </w:r>
          </w:p>
        </w:tc>
        <w:tc>
          <w:tcPr>
            <w:tcW w:type="dxa" w:w="3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IA sugiere contrato O&amp;M VE Básico: €18/punto/mes × 12 plazas = €2.592/año</w:t>
            </w:r>
          </w:p>
        </w:tc>
        <w:tc>
          <w:tcPr>
            <w:tcW w:type="dxa" w:w="3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DOCX contrato borrador</w:t>
            </w:r>
          </w:p>
        </w:tc>
      </w:tr>
      <w:tr>
        <w:trPr>
          <w:cantSplit/>
        </w:trPr>
        <w:tc>
          <w:tcPr>
            <w:tcW w:type="dxa" w:w="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11</w:t>
            </w:r>
          </w:p>
        </w:tc>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Cliente firma desde su móvil</w:t>
            </w:r>
          </w:p>
        </w:tc>
        <w:tc>
          <w:tcPr>
            <w:tcW w:type="dxa" w:w="3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Registra firma. Estado → Activo. CRM actualizado</w:t>
            </w:r>
          </w:p>
        </w:tc>
        <w:tc>
          <w:tcPr>
            <w:tcW w:type="dxa" w:w="3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Contrato firmado</w:t>
            </w:r>
          </w:p>
        </w:tc>
      </w:tr>
      <w:tr>
        <w:trPr>
          <w:cantSplit/>
        </w:trPr>
        <w:tc>
          <w:tcPr>
            <w:tcW w:type="dxa" w:w="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12</w:t>
            </w:r>
          </w:p>
        </w:tc>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Sin acción del instalador</w:t>
            </w:r>
          </w:p>
        </w:tc>
        <w:tc>
          <w:tcPr>
            <w:tcW w:type="dxa" w:w="3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Cron anual: crea revisión preventiva. Notifica 30 días antes</w:t>
            </w:r>
          </w:p>
        </w:tc>
        <w:tc>
          <w:tcPr>
            <w:tcW w:type="dxa" w:w="3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Trabajo preventivo creado</w:t>
            </w:r>
          </w:p>
        </w:tc>
      </w:tr>
      <w:tr>
        <w:trPr>
          <w:cantSplit/>
        </w:trPr>
        <w:tc>
          <w:tcPr>
            <w:tcW w:type="dxa" w:w="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13</w:t>
            </w:r>
          </w:p>
        </w:tc>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Sin acción del instalador</w:t>
            </w:r>
          </w:p>
        </w:tc>
        <w:tc>
          <w:tcPr>
            <w:tcW w:type="dxa" w:w="3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Cron 11 meses: alerta 'Contrato vence en 30 días'. Propone renovación automática</w:t>
            </w:r>
          </w:p>
        </w:tc>
        <w:tc>
          <w:tcPr>
            <w:tcW w:type="dxa" w:w="3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Email/push renovación</w:t>
            </w:r>
          </w:p>
        </w:tc>
      </w:tr>
      <w:tr>
        <w:trPr>
          <w:cantSplit/>
        </w:trPr>
        <w:tc>
          <w:tcPr>
            <w:tcW w:type="dxa" w:w="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14</w:t>
            </w:r>
          </w:p>
        </w:tc>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w:t>
            </w:r>
          </w:p>
        </w:tc>
        <w:tc>
          <w:tcPr>
            <w:tcW w:type="dxa" w:w="3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CRM actualizado: 12 puntos recarga, 1 contrato activo, facturación acumulada, historial completo</w:t>
            </w:r>
          </w:p>
        </w:tc>
        <w:tc>
          <w:tcPr>
            <w:tcW w:type="dxa" w:w="3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CRM completo</w:t>
            </w:r>
          </w:p>
        </w:tc>
      </w:tr>
    </w:tbl>
    <w:p>
      <w:pPr>
        <w:spacing w:after="120" w:before="120"/>
      </w:pPr>
    </w:p>
    <w:p>
      <w:pPr>
        <w:spacing w:after="120" w:before="240"/>
      </w:pPr>
      <w:r>
        <w:rPr>
          <w:rFonts w:ascii="Arial" w:cs="Arial" w:eastAsia="Arial" w:hAnsi="Arial"/>
          <w:b/>
          <w:bCs/>
          <w:color w:val="1C2535"/>
          <w:sz w:val="26"/>
          <w:szCs w:val="26"/>
        </w:rPr>
        <w:t xml:space="preserve">B.2 Customer Journey — Fotovoltaica Industrial (O&amp;M Provider)</w:t>
      </w:r>
    </w:p>
    <w:p>
      <w:pPr>
        <w:spacing w:after="80" w:before="80"/>
      </w:pPr>
    </w:p>
    <w:p>
      <w:pPr>
        <w:spacing w:after="60" w:before="60"/>
      </w:pPr>
      <w:r>
        <w:rPr>
          <w:rFonts w:ascii="Arial" w:cs="Arial" w:eastAsia="Arial" w:hAnsi="Arial"/>
          <w:color w:val="1C2535"/>
          <w:sz w:val="22"/>
          <w:szCs w:val="22"/>
        </w:rPr>
        <w:t xml:space="preserve">Escenario: empresa O&amp;M gestiona cartera de 15 plantas industriales entre 100-500 kWp.</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3160"/>
        <w:gridCol w:w="3400"/>
      </w:tblGrid>
      <w:tr>
        <w:trPr>
          <w:cantSplit/>
        </w:trPr>
        <w:tc>
          <w:tcPr>
            <w:tcW w:type="dxa" w:w="4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w:t>
            </w:r>
          </w:p>
        </w:tc>
        <w:tc>
          <w:tcPr>
            <w:tcW w:type="dxa" w:w="24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Qué hace el gestor O&amp;M</w:t>
            </w:r>
          </w:p>
        </w:tc>
        <w:tc>
          <w:tcPr>
            <w:tcW w:type="dxa" w:w="316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Qué hace TrabFlow IA</w:t>
            </w:r>
          </w:p>
        </w:tc>
        <w:tc>
          <w:tcPr>
            <w:tcW w:type="dxa" w:w="34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Output generado</w:t>
            </w:r>
          </w:p>
        </w:tc>
      </w:tr>
      <w:tr>
        <w:trPr>
          <w:cantSplit/>
        </w:trPr>
        <w:tc>
          <w:tcPr>
            <w:tcW w:type="dxa" w:w="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w:t>
            </w:r>
          </w:p>
        </w:tc>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Registra nueva planta: 250 kWp, Huawei, cubierta industrial</w:t>
            </w:r>
          </w:p>
        </w:tc>
        <w:tc>
          <w:tcPr>
            <w:tcW w:type="dxa" w:w="3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Crea ficha planta. Activa monitorización Huawei FusionSolar API</w:t>
            </w:r>
          </w:p>
        </w:tc>
        <w:tc>
          <w:tcPr>
            <w:tcW w:type="dxa" w:w="3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Ficha planta + KPIs en vivo</w:t>
            </w:r>
          </w:p>
        </w:tc>
      </w:tr>
      <w:tr>
        <w:trPr>
          <w:cantSplit/>
        </w:trPr>
        <w:tc>
          <w:tcPr>
            <w:tcW w:type="dxa" w:w="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2</w:t>
            </w:r>
          </w:p>
        </w:tc>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Genera contrato O&amp;M Completo</w:t>
            </w:r>
          </w:p>
        </w:tc>
        <w:tc>
          <w:tcPr>
            <w:tcW w:type="dxa" w:w="3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Plantilla FV: SLA 98,5%, 2 visitas/año, limpieza, termografía, informe mensual, €520/mes</w:t>
            </w:r>
          </w:p>
        </w:tc>
        <w:tc>
          <w:tcPr>
            <w:tcW w:type="dxa" w:w="3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DOCX contrato firmado</w:t>
            </w:r>
          </w:p>
        </w:tc>
      </w:tr>
      <w:tr>
        <w:trPr>
          <w:cantSplit/>
        </w:trPr>
        <w:tc>
          <w:tcPr>
            <w:tcW w:type="dxa" w:w="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3</w:t>
            </w:r>
          </w:p>
        </w:tc>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Sin acción</w:t>
            </w:r>
          </w:p>
        </w:tc>
        <w:tc>
          <w:tcPr>
            <w:tcW w:type="dxa" w:w="3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Cron semestral: crea trabajo 'Mantenimiento preventivo FV-11'. Asigna técnico disponible</w:t>
            </w:r>
          </w:p>
        </w:tc>
        <w:tc>
          <w:tcPr>
            <w:tcW w:type="dxa" w:w="3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Trabajo planificado</w:t>
            </w:r>
          </w:p>
        </w:tc>
      </w:tr>
      <w:tr>
        <w:trPr>
          <w:cantSplit/>
        </w:trPr>
        <w:tc>
          <w:tcPr>
            <w:tcW w:type="dxa" w:w="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4</w:t>
            </w:r>
          </w:p>
        </w:tc>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Técnico ejecuta preventivo con checklist IEC 62446</w:t>
            </w:r>
          </w:p>
        </w:tc>
        <w:tc>
          <w:tcPr>
            <w:tcW w:type="dxa" w:w="3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Parte digital con 25 puntos checklist. Fotos obligatorias. Firma cliente in situ</w:t>
            </w:r>
          </w:p>
        </w:tc>
        <w:tc>
          <w:tcPr>
            <w:tcW w:type="dxa" w:w="3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Parte certificado IEC</w:t>
            </w:r>
          </w:p>
        </w:tc>
      </w:tr>
      <w:tr>
        <w:trPr>
          <w:cantSplit/>
        </w:trPr>
        <w:tc>
          <w:tcPr>
            <w:tcW w:type="dxa" w:w="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5</w:t>
            </w:r>
          </w:p>
        </w:tc>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Recibe push: 'Planta -18% producción vs. estimada'</w:t>
            </w:r>
          </w:p>
        </w:tc>
        <w:tc>
          <w:tcPr>
            <w:tcW w:type="dxa" w:w="3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IA detecta anomalía PR vs. PVGIS. Clasifica causa probable: suciedad o avería string</w:t>
            </w:r>
          </w:p>
        </w:tc>
        <w:tc>
          <w:tcPr>
            <w:tcW w:type="dxa" w:w="3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Alerta IA con diagnóstico</w:t>
            </w:r>
          </w:p>
        </w:tc>
      </w:tr>
      <w:tr>
        <w:trPr>
          <w:cantSplit/>
        </w:trPr>
        <w:tc>
          <w:tcPr>
            <w:tcW w:type="dxa" w:w="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6</w:t>
            </w:r>
          </w:p>
        </w:tc>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Abre incidencia. Asigna técnico urgente</w:t>
            </w:r>
          </w:p>
        </w:tc>
        <w:tc>
          <w:tcPr>
            <w:tcW w:type="dxa" w:w="3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Genera presupuesto FV-30 (diagnóstico caída producción). Adjunta historial planta</w:t>
            </w:r>
          </w:p>
        </w:tc>
        <w:tc>
          <w:tcPr>
            <w:tcW w:type="dxa" w:w="3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Presupuesto + parte avería</w:t>
            </w:r>
          </w:p>
        </w:tc>
      </w:tr>
      <w:tr>
        <w:trPr>
          <w:cantSplit/>
        </w:trPr>
        <w:tc>
          <w:tcPr>
            <w:tcW w:type="dxa" w:w="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7</w:t>
            </w:r>
          </w:p>
        </w:tc>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Técnico realiza termografía con dron</w:t>
            </w:r>
          </w:p>
        </w:tc>
        <w:tc>
          <w:tcPr>
            <w:tcW w:type="dxa" w:w="3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Parte FV-28 con informe IEC TS 62446-3. Identifica 3 paneles hot spot. Prioriza sustitución</w:t>
            </w:r>
          </w:p>
        </w:tc>
        <w:tc>
          <w:tcPr>
            <w:tcW w:type="dxa" w:w="3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Informe termografía PDF</w:t>
            </w:r>
          </w:p>
        </w:tc>
      </w:tr>
      <w:tr>
        <w:trPr>
          <w:cantSplit/>
        </w:trPr>
        <w:tc>
          <w:tcPr>
            <w:tcW w:type="dxa" w:w="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8</w:t>
            </w:r>
          </w:p>
        </w:tc>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Genera presupuesto sustitución FV-31 × 3 paneles</w:t>
            </w:r>
          </w:p>
        </w:tc>
        <w:tc>
          <w:tcPr>
            <w:tcW w:type="dxa" w:w="3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Aplica BM FV-31: panel equivalente, MC4, mano obra. Pedido material a proveedor catálogo activo</w:t>
            </w:r>
          </w:p>
        </w:tc>
        <w:tc>
          <w:tcPr>
            <w:tcW w:type="dxa" w:w="3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Presupuesto + pedido material</w:t>
            </w:r>
          </w:p>
        </w:tc>
      </w:tr>
      <w:tr>
        <w:trPr>
          <w:cantSplit/>
        </w:trPr>
        <w:tc>
          <w:tcPr>
            <w:tcW w:type="dxa" w:w="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9</w:t>
            </w:r>
          </w:p>
        </w:tc>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Sin acción</w:t>
            </w:r>
          </w:p>
        </w:tc>
        <w:tc>
          <w:tcPr>
            <w:tcW w:type="dxa" w:w="3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Cron día 1 del mes: genera PDF con producción real 18.420 kWh vs. estimada 19.100 kWh. PR: 94,4%</w:t>
            </w:r>
          </w:p>
        </w:tc>
        <w:tc>
          <w:tcPr>
            <w:tcW w:type="dxa" w:w="3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Informe PDF enviado al cliente</w:t>
            </w:r>
          </w:p>
        </w:tc>
      </w:tr>
      <w:tr>
        <w:trPr>
          <w:cantSplit/>
        </w:trPr>
        <w:tc>
          <w:tcPr>
            <w:tcW w:type="dxa" w:w="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10</w:t>
            </w:r>
          </w:p>
        </w:tc>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Sin acción</w:t>
            </w:r>
          </w:p>
        </w:tc>
        <w:tc>
          <w:tcPr>
            <w:tcW w:type="dxa" w:w="3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Cron día 28: genera FAC-M automática del contrato O&amp;M. VeriFactu. Envía WA con enlace</w:t>
            </w:r>
          </w:p>
        </w:tc>
        <w:tc>
          <w:tcPr>
            <w:tcW w:type="dxa" w:w="3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Factura enviada sola</w:t>
            </w:r>
          </w:p>
        </w:tc>
      </w:tr>
      <w:tr>
        <w:trPr>
          <w:cantSplit/>
        </w:trPr>
        <w:tc>
          <w:tcPr>
            <w:tcW w:type="dxa" w:w="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11</w:t>
            </w:r>
          </w:p>
        </w:tc>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Revisa histórico de incidencias</w:t>
            </w:r>
          </w:p>
        </w:tc>
        <w:tc>
          <w:tcPr>
            <w:tcW w:type="dxa" w:w="3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IA detecta 5ª avería mismo inversor → 'Hemos detectado 5 incidencias en el inversor X. ¿Proponer sustitución?'</w:t>
            </w:r>
          </w:p>
        </w:tc>
        <w:tc>
          <w:tcPr>
            <w:tcW w:type="dxa" w:w="3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Alerta + presupuesto borrador</w:t>
            </w:r>
          </w:p>
        </w:tc>
      </w:tr>
      <w:tr>
        <w:trPr>
          <w:cantSplit/>
        </w:trPr>
        <w:tc>
          <w:tcPr>
            <w:tcW w:type="dxa" w:w="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12</w:t>
            </w:r>
          </w:p>
        </w:tc>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Sin acción</w:t>
            </w:r>
          </w:p>
        </w:tc>
        <w:tc>
          <w:tcPr>
            <w:tcW w:type="dxa" w:w="3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Cron anual: crea 'Auditoría técnica completa FV-65'. Genera informe anual FV-45</w:t>
            </w:r>
          </w:p>
        </w:tc>
        <w:tc>
          <w:tcPr>
            <w:tcW w:type="dxa" w:w="3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Trabajo + informe auditoría</w:t>
            </w:r>
          </w:p>
        </w:tc>
      </w:tr>
      <w:tr>
        <w:trPr>
          <w:cantSplit/>
        </w:trPr>
        <w:tc>
          <w:tcPr>
            <w:tcW w:type="dxa" w:w="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13</w:t>
            </w:r>
          </w:p>
        </w:tc>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w:t>
            </w:r>
          </w:p>
        </w:tc>
        <w:tc>
          <w:tcPr>
            <w:tcW w:type="dxa" w:w="3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CRM: 15 plantas, €9.000/mes recurrente, 3 incidencias activas, NPS 8/10, historial completo</w:t>
            </w:r>
          </w:p>
        </w:tc>
        <w:tc>
          <w:tcPr>
            <w:tcW w:type="dxa" w:w="3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CRM completo O&amp;M provider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none" w:color="FFFFFF" w:sz="0"/>
              <w:bottom w:val="none" w:color="FFFFFF" w:sz="0"/>
              <w:right w:val="none" w:color="FFFFFF" w:sz="0"/>
            </w:tcBorders>
            <w:shd w:fill="1C2535" w:val="clear"/>
            <w:tcMar>
              <w:top w:type="dxa" w:w="160"/>
              <w:left w:type="dxa" w:w="240"/>
              <w:bottom w:type="dxa" w:w="160"/>
              <w:right w:type="dxa" w:w="240"/>
            </w:tcMar>
          </w:tcPr>
          <w:p>
            <w:r>
              <w:rPr>
                <w:rFonts w:ascii="Arial" w:cs="Arial" w:eastAsia="Arial" w:hAnsi="Arial"/>
                <w:b/>
                <w:bCs/>
                <w:color w:val="FFFFFF"/>
                <w:sz w:val="30"/>
                <w:szCs w:val="30"/>
              </w:rPr>
              <w:t xml:space="preserve">C. Integraciones Técnicas</w:t>
            </w:r>
          </w:p>
          <w:p>
            <w:r>
              <w:rPr>
                <w:rFonts w:ascii="Arial" w:cs="Arial" w:eastAsia="Arial" w:hAnsi="Arial"/>
                <w:color w:val="D5E8F0"/>
                <w:sz w:val="20"/>
                <w:szCs w:val="20"/>
              </w:rPr>
              <w:t xml:space="preserve">APIs inversores · Protocolos industriales · Home Automation · IoT energético</w:t>
            </w:r>
          </w:p>
        </w:tc>
      </w:tr>
    </w:tbl>
    <w:p>
      <w:pPr>
        <w:spacing w:after="160" w:before="160"/>
      </w:pPr>
    </w:p>
    <w:p>
      <w:pPr>
        <w:spacing w:after="120" w:before="240"/>
      </w:pPr>
      <w:r>
        <w:rPr>
          <w:rFonts w:ascii="Arial" w:cs="Arial" w:eastAsia="Arial" w:hAnsi="Arial"/>
          <w:b/>
          <w:bCs/>
          <w:color w:val="1C2535"/>
          <w:sz w:val="26"/>
          <w:szCs w:val="26"/>
        </w:rPr>
        <w:t xml:space="preserve">C.1 APIs de Inversores y Monitorizadores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2560"/>
        <w:gridCol w:w="1000"/>
        <w:gridCol w:w="1200"/>
      </w:tblGrid>
      <w:tr>
        <w:trPr>
          <w:cantSplit/>
        </w:trPr>
        <w:tc>
          <w:tcPr>
            <w:tcW w:type="dxa" w:w="18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API / Plataforma</w:t>
            </w:r>
          </w:p>
        </w:tc>
        <w:tc>
          <w:tcPr>
            <w:tcW w:type="dxa" w:w="14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Fabricante</w:t>
            </w:r>
          </w:p>
        </w:tc>
        <w:tc>
          <w:tcPr>
            <w:tcW w:type="dxa" w:w="14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Protocolo</w:t>
            </w:r>
          </w:p>
        </w:tc>
        <w:tc>
          <w:tcPr>
            <w:tcW w:type="dxa" w:w="256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Datos disponibles</w:t>
            </w:r>
          </w:p>
        </w:tc>
        <w:tc>
          <w:tcPr>
            <w:tcW w:type="dxa" w:w="10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Prioridad</w:t>
            </w:r>
          </w:p>
        </w:tc>
        <w:tc>
          <w:tcPr>
            <w:tcW w:type="dxa" w:w="12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Timeline</w:t>
            </w:r>
          </w:p>
        </w:tc>
      </w:tr>
      <w:tr>
        <w:trPr>
          <w:cantSplit/>
        </w:trPr>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FusionSolar OpenAPI</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Huawei</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REST + OAuth2</w:t>
            </w:r>
          </w:p>
        </w:tc>
        <w:tc>
          <w:tcPr>
            <w:tcW w:type="dxa" w:w="2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Producción, alarmas, inversores, strings, temperatura</w:t>
            </w:r>
          </w:p>
        </w:tc>
        <w:tc>
          <w:tcPr>
            <w:tcW w:type="dxa" w:w="1000"/>
            <w:tcBorders>
              <w:top w:val="single" w:color="CCCCCC" w:sz="1"/>
              <w:left w:val="single" w:color="CCCCCC" w:sz="1"/>
              <w:bottom w:val="single" w:color="CCCCCC" w:sz="1"/>
              <w:right w:val="single" w:color="CCCCCC" w:sz="1"/>
            </w:tcBorders>
            <w:shd w:fill="D8F3DC" w:val="clear"/>
            <w:tcMar>
              <w:top w:type="dxa" w:w="70"/>
              <w:left w:type="dxa" w:w="110"/>
              <w:bottom w:type="dxa" w:w="70"/>
              <w:right w:type="dxa" w:w="110"/>
            </w:tcMar>
          </w:tcPr>
          <w:p>
            <w:r>
              <w:rPr>
                <w:rFonts w:ascii="Arial" w:cs="Arial" w:eastAsia="Arial" w:hAnsi="Arial"/>
                <w:color w:val="1C2535"/>
                <w:sz w:val="20"/>
                <w:szCs w:val="20"/>
              </w:rPr>
              <w:t xml:space="preserve">Muy Alta</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Q1 2027</w:t>
            </w:r>
          </w:p>
        </w:tc>
      </w:tr>
      <w:tr>
        <w:trPr>
          <w:cantSplit/>
        </w:trPr>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SolarEdge Monitoring API</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SolarEdge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REST API Key</w:t>
            </w:r>
          </w:p>
        </w:tc>
        <w:tc>
          <w:tcPr>
            <w:tcW w:type="dxa" w:w="2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Producción, potencia, energía, optimizadores panel a panel</w:t>
            </w:r>
          </w:p>
        </w:tc>
        <w:tc>
          <w:tcPr>
            <w:tcW w:type="dxa" w:w="1000"/>
            <w:tcBorders>
              <w:top w:val="single" w:color="CCCCCC" w:sz="1"/>
              <w:left w:val="single" w:color="CCCCCC" w:sz="1"/>
              <w:bottom w:val="single" w:color="CCCCCC" w:sz="1"/>
              <w:right w:val="single" w:color="CCCCCC" w:sz="1"/>
            </w:tcBorders>
            <w:shd w:fill="D8F3DC" w:val="clear"/>
            <w:tcMar>
              <w:top w:type="dxa" w:w="70"/>
              <w:left w:type="dxa" w:w="110"/>
              <w:bottom w:type="dxa" w:w="70"/>
              <w:right w:type="dxa" w:w="110"/>
            </w:tcMar>
          </w:tcPr>
          <w:p>
            <w:r>
              <w:rPr>
                <w:rFonts w:ascii="Arial" w:cs="Arial" w:eastAsia="Arial" w:hAnsi="Arial"/>
                <w:color w:val="1C2535"/>
                <w:sz w:val="20"/>
                <w:szCs w:val="20"/>
              </w:rPr>
              <w:t xml:space="preserve">Muy Alta</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Q1 2027</w:t>
            </w:r>
          </w:p>
        </w:tc>
      </w:tr>
      <w:tr>
        <w:trPr>
          <w:cantSplit/>
        </w:trPr>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iSolarCloud API</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Sungrow</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REST + MQTT</w:t>
            </w:r>
          </w:p>
        </w:tc>
        <w:tc>
          <w:tcPr>
            <w:tcW w:type="dxa" w:w="2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Producción, rendimiento, alarmas, sensores meteorológicos</w:t>
            </w:r>
          </w:p>
        </w:tc>
        <w:tc>
          <w:tcPr>
            <w:tcW w:type="dxa" w:w="100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r>
              <w:rPr>
                <w:rFonts w:ascii="Arial" w:cs="Arial" w:eastAsia="Arial" w:hAnsi="Arial"/>
                <w:color w:val="1C2535"/>
                <w:sz w:val="20"/>
                <w:szCs w:val="20"/>
              </w:rPr>
              <w:t xml:space="preserve">Alta</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Q1 2027</w:t>
            </w:r>
          </w:p>
        </w:tc>
      </w:tr>
      <w:tr>
        <w:trPr>
          <w:cantSplit/>
        </w:trPr>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Solar.web API</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Fronius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REST + OAuth2</w:t>
            </w:r>
          </w:p>
        </w:tc>
        <w:tc>
          <w:tcPr>
            <w:tcW w:type="dxa" w:w="2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Producción, alarmas, inversores, Push events</w:t>
            </w:r>
          </w:p>
        </w:tc>
        <w:tc>
          <w:tcPr>
            <w:tcW w:type="dxa" w:w="100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r>
              <w:rPr>
                <w:rFonts w:ascii="Arial" w:cs="Arial" w:eastAsia="Arial" w:hAnsi="Arial"/>
                <w:color w:val="1C2535"/>
                <w:sz w:val="20"/>
                <w:szCs w:val="20"/>
              </w:rPr>
              <w:t xml:space="preserve">Alta</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Q2 2027</w:t>
            </w:r>
          </w:p>
        </w:tc>
      </w:tr>
      <w:tr>
        <w:trPr>
          <w:cantSplit/>
        </w:trPr>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Enlighten API</w:t>
            </w:r>
          </w:p>
        </w:tc>
        <w:tc>
          <w:tcPr>
            <w:tcW w:type="dxa" w:w="1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Enphase</w:t>
            </w:r>
          </w:p>
        </w:tc>
        <w:tc>
          <w:tcPr>
            <w:tcW w:type="dxa" w:w="1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REST API Key</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Producción por microinversor, consumo, alarmas</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c>
          <w:tcPr>
            <w:tcW w:type="dxa" w:w="1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Q2 2027</w:t>
            </w:r>
          </w:p>
        </w:tc>
      </w:tr>
      <w:tr>
        <w:trPr>
          <w:cantSplit/>
        </w:trPr>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Wallbox API</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Wallbox</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REST + OAuth2</w:t>
            </w:r>
          </w:p>
        </w:tc>
        <w:tc>
          <w:tcPr>
            <w:tcW w:type="dxa" w:w="2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Estado cargador, energía dispensada, usuarios, sesiones</w:t>
            </w:r>
          </w:p>
        </w:tc>
        <w:tc>
          <w:tcPr>
            <w:tcW w:type="dxa" w:w="1000"/>
            <w:tcBorders>
              <w:top w:val="single" w:color="CCCCCC" w:sz="1"/>
              <w:left w:val="single" w:color="CCCCCC" w:sz="1"/>
              <w:bottom w:val="single" w:color="CCCCCC" w:sz="1"/>
              <w:right w:val="single" w:color="CCCCCC" w:sz="1"/>
            </w:tcBorders>
            <w:shd w:fill="D8F3DC" w:val="clear"/>
            <w:tcMar>
              <w:top w:type="dxa" w:w="70"/>
              <w:left w:type="dxa" w:w="110"/>
              <w:bottom w:type="dxa" w:w="70"/>
              <w:right w:type="dxa" w:w="110"/>
            </w:tcMar>
          </w:tcPr>
          <w:p>
            <w:r>
              <w:rPr>
                <w:rFonts w:ascii="Arial" w:cs="Arial" w:eastAsia="Arial" w:hAnsi="Arial"/>
                <w:color w:val="1C2535"/>
                <w:sz w:val="20"/>
                <w:szCs w:val="20"/>
              </w:rPr>
              <w:t xml:space="preserve">Muy Alta</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Q3 2026</w:t>
            </w:r>
          </w:p>
        </w:tc>
      </w:tr>
      <w:tr>
        <w:trPr>
          <w:cantSplit/>
        </w:trPr>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ABB Terra Cloud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ABB</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REST API</w:t>
            </w:r>
          </w:p>
        </w:tc>
        <w:tc>
          <w:tcPr>
            <w:tcW w:type="dxa" w:w="2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Estado cargador, sesiones, consumo, alertas</w:t>
            </w:r>
          </w:p>
        </w:tc>
        <w:tc>
          <w:tcPr>
            <w:tcW w:type="dxa" w:w="100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r>
              <w:rPr>
                <w:rFonts w:ascii="Arial" w:cs="Arial" w:eastAsia="Arial" w:hAnsi="Arial"/>
                <w:color w:val="1C2535"/>
                <w:sz w:val="20"/>
                <w:szCs w:val="20"/>
              </w:rPr>
              <w:t xml:space="preserve">Alta</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Q4 2026</w:t>
            </w:r>
          </w:p>
        </w:tc>
      </w:tr>
    </w:tbl>
    <w:p>
      <w:pPr>
        <w:spacing w:after="120" w:before="120"/>
      </w:pPr>
    </w:p>
    <w:p>
      <w:pPr>
        <w:spacing w:after="120" w:before="240"/>
      </w:pPr>
      <w:r>
        <w:rPr>
          <w:rFonts w:ascii="Arial" w:cs="Arial" w:eastAsia="Arial" w:hAnsi="Arial"/>
          <w:b/>
          <w:bCs/>
          <w:color w:val="1C2535"/>
          <w:sz w:val="26"/>
          <w:szCs w:val="26"/>
        </w:rPr>
        <w:t xml:space="preserve">C.2 Protocolos Industriales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760"/>
        <w:gridCol w:w="2400"/>
        <w:gridCol w:w="2000"/>
        <w:gridCol w:w="800"/>
      </w:tblGrid>
      <w:tr>
        <w:trPr>
          <w:cantSplit/>
        </w:trPr>
        <w:tc>
          <w:tcPr>
            <w:tcW w:type="dxa" w:w="14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Protocolo</w:t>
            </w:r>
          </w:p>
        </w:tc>
        <w:tc>
          <w:tcPr>
            <w:tcW w:type="dxa" w:w="276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Uso en TrabFlow</w:t>
            </w:r>
          </w:p>
        </w:tc>
        <w:tc>
          <w:tcPr>
            <w:tcW w:type="dxa" w:w="24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Hardware compatible</w:t>
            </w:r>
          </w:p>
        </w:tc>
        <w:tc>
          <w:tcPr>
            <w:tcW w:type="dxa" w:w="20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Implementación</w:t>
            </w:r>
          </w:p>
        </w:tc>
        <w:tc>
          <w:tcPr>
            <w:tcW w:type="dxa" w:w="8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Complejidad</w:t>
            </w:r>
          </w:p>
        </w:tc>
      </w:tr>
      <w:tr>
        <w:trPr>
          <w:cantSplit/>
        </w:trPr>
        <w:tc>
          <w:tcPr>
            <w:tcW w:type="dxa" w:w="1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Modbus TCP/RTU</w:t>
            </w:r>
          </w:p>
        </w:tc>
        <w:tc>
          <w:tcPr>
            <w:tcW w:type="dxa" w:w="27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Lectura de inversores sin nube. Planta sin conexión internet</w:t>
            </w:r>
          </w:p>
        </w:tc>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Inversores Huawei, Sungrow, Fronius, ABB</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Gateway IoT → Supabase Edge Function</w:t>
            </w:r>
          </w:p>
        </w:tc>
        <w:tc>
          <w:tcPr>
            <w:tcW w:type="dxa" w:w="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1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MQTT (IoT)</w:t>
            </w:r>
          </w:p>
        </w:tc>
        <w:tc>
          <w:tcPr>
            <w:tcW w:type="dxa" w:w="27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Telemetría en tiempo real de sensores, contadores, dataloggers</w:t>
            </w:r>
          </w:p>
        </w:tc>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Victron, Shelly, dataloggers industriales</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Broker MQTT → Edge Function → dashboard</w:t>
            </w:r>
          </w:p>
        </w:tc>
        <w:tc>
          <w:tcPr>
            <w:tcW w:type="dxa" w:w="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1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OCPP 1.6/2.0</w:t>
            </w:r>
          </w:p>
        </w:tc>
        <w:tc>
          <w:tcPr>
            <w:tcW w:type="dxa" w:w="27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Integración con plataformas de gestión de recarga VE</w:t>
            </w:r>
          </w:p>
        </w:tc>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Wallbox, ABB, Circutor, Zaptec</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Backend OCPP como servicio externo integrado vía API</w:t>
            </w:r>
          </w:p>
        </w:tc>
        <w:tc>
          <w:tcPr>
            <w:tcW w:type="dxa" w:w="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bl>
    <w:p>
      <w:pPr>
        <w:spacing w:after="120" w:before="120"/>
      </w:pPr>
    </w:p>
    <w:p>
      <w:pPr>
        <w:spacing w:after="120" w:before="240"/>
      </w:pPr>
      <w:r>
        <w:rPr>
          <w:rFonts w:ascii="Arial" w:cs="Arial" w:eastAsia="Arial" w:hAnsi="Arial"/>
          <w:b/>
          <w:bCs/>
          <w:color w:val="1C2535"/>
          <w:sz w:val="26"/>
          <w:szCs w:val="26"/>
        </w:rPr>
        <w:t xml:space="preserve">C.3 Ecosistema Home Automation / IoT Energético</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160"/>
        <w:gridCol w:w="1800"/>
        <w:gridCol w:w="1400"/>
      </w:tblGrid>
      <w:tr>
        <w:trPr>
          <w:cantSplit/>
        </w:trPr>
        <w:tc>
          <w:tcPr>
            <w:tcW w:type="dxa" w:w="16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Plataforma / Dispositivo</w:t>
            </w:r>
          </w:p>
        </w:tc>
        <w:tc>
          <w:tcPr>
            <w:tcW w:type="dxa" w:w="24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Integración TrabFlow</w:t>
            </w:r>
          </w:p>
        </w:tc>
        <w:tc>
          <w:tcPr>
            <w:tcW w:type="dxa" w:w="216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Caso de uso real</w:t>
            </w:r>
          </w:p>
        </w:tc>
        <w:tc>
          <w:tcPr>
            <w:tcW w:type="dxa" w:w="18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API / Protocolo</w:t>
            </w:r>
          </w:p>
        </w:tc>
        <w:tc>
          <w:tcPr>
            <w:tcW w:type="dxa" w:w="14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Prioridad</w:t>
            </w:r>
          </w:p>
        </w:tc>
      </w:tr>
      <w:tr>
        <w:trPr>
          <w:cantSplit/>
        </w:trPr>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Shelly (Pro EM, 3EM)</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Lectura consumo/producción en tiempo real vía Shelly Cloud API</w:t>
            </w:r>
          </w:p>
        </w:tc>
        <w:tc>
          <w:tcPr>
            <w:tcW w:type="dxa" w:w="2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Monitor de autoconsumo económico. Muy habitual en España</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REST API + MQTT</w:t>
            </w:r>
          </w:p>
        </w:tc>
        <w:tc>
          <w:tcPr>
            <w:tcW w:type="dxa" w:w="140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Victron Energy (Venus OS)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Lectura GX Portal: baterías, producción, consumo, SOC</w:t>
            </w:r>
          </w:p>
        </w:tc>
        <w:tc>
          <w:tcPr>
            <w:tcW w:type="dxa" w:w="2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O&amp;M de sistemas híbridos con baterías LFP</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VRM API (REST)</w:t>
            </w:r>
          </w:p>
        </w:tc>
        <w:tc>
          <w:tcPr>
            <w:tcW w:type="dxa" w:w="140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Fronius Solar.web</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Integración bidireccional: lectura + push de alarmas</w:t>
            </w:r>
          </w:p>
        </w:tc>
        <w:tc>
          <w:tcPr>
            <w:tcW w:type="dxa" w:w="2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O&amp;M de plantas Fronius. Informe automático en TrabFlow</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Solar.web REST API</w:t>
            </w:r>
          </w:p>
        </w:tc>
        <w:tc>
          <w:tcPr>
            <w:tcW w:type="dxa" w:w="140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1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Home Assistant</w:t>
            </w:r>
          </w:p>
        </w:tc>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Webhook HA → TrabFlow: alarma producción, temperatura, consumo</w:t>
            </w:r>
          </w:p>
        </w:tc>
        <w:tc>
          <w:tcPr>
            <w:tcW w:type="dxa" w:w="2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Instalador con planta residencial + HA como hub IoT</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REST Webhook + MQTT</w:t>
            </w:r>
          </w:p>
        </w:tc>
        <w:tc>
          <w:tcPr>
            <w:tcW w:type="dxa" w:w="1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1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SMA Sunny Portal</w:t>
            </w:r>
          </w:p>
        </w:tc>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Lectura producción. Canal a instaladores SMA</w:t>
            </w:r>
          </w:p>
        </w:tc>
        <w:tc>
          <w:tcPr>
            <w:tcW w:type="dxa" w:w="2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Parque FV con inversores SMA heredados</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REST API</w:t>
            </w:r>
          </w:p>
        </w:tc>
        <w:tc>
          <w:tcPr>
            <w:tcW w:type="dxa" w:w="1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1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Goodwe SEMS Portal</w:t>
            </w:r>
          </w:p>
        </w:tc>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API producción + alertas inversores Goodwe</w:t>
            </w:r>
          </w:p>
        </w:tc>
        <w:tc>
          <w:tcPr>
            <w:tcW w:type="dxa" w:w="2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Instalaciones residencial-industrial pequeño</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REST API</w:t>
            </w:r>
          </w:p>
        </w:tc>
        <w:tc>
          <w:tcPr>
            <w:tcW w:type="dxa" w:w="1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Baja-Media</w:t>
            </w:r>
          </w:p>
        </w:tc>
      </w:tr>
    </w:tbl>
    <w:p>
      <w:pPr>
        <w:spacing w:after="120" w:before="120"/>
      </w:pPr>
    </w:p>
    <w:p>
      <w:pPr>
        <w:spacing w:after="120" w:before="240"/>
      </w:pPr>
      <w:r>
        <w:rPr>
          <w:rFonts w:ascii="Arial" w:cs="Arial" w:eastAsia="Arial" w:hAnsi="Arial"/>
          <w:b/>
          <w:bCs/>
          <w:color w:val="1C2535"/>
          <w:sz w:val="26"/>
          <w:szCs w:val="26"/>
        </w:rPr>
        <w:t xml:space="preserve">C.4 Modelo de integración técnica — Patrón arquitectónico</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A5A96" w:sz="4"/>
              <w:left w:val="single" w:color="1A5A96" w:sz="4"/>
              <w:bottom w:val="none" w:color="FFFFFF" w:sz="0"/>
              <w:right w:val="none" w:color="FFFFFF" w:sz="0"/>
            </w:tcBorders>
            <w:shd w:fill="D5E8F0" w:val="clear"/>
            <w:tcMar>
              <w:top w:type="dxa" w:w="140"/>
              <w:left w:type="dxa" w:w="200"/>
              <w:bottom w:type="dxa" w:w="140"/>
              <w:right w:type="dxa" w:w="200"/>
            </w:tcMar>
          </w:tcPr>
          <w:p>
            <w:r>
              <w:rPr>
                <w:rFonts w:ascii="Arial" w:cs="Arial" w:eastAsia="Arial" w:hAnsi="Arial"/>
                <w:color w:val="1C2535"/>
                <w:sz w:val="21"/>
                <w:szCs w:val="21"/>
              </w:rPr>
              <w:t xml:space="preserve">Todas las integraciones siguen el mismo patrón para no crear dependencias frágiles: Edge Function dedicada por fabricante (trade-inversor-{fabricante}), tabla trade_plant_readings para time-series, cron cada 15 min para polling, broker MQTT para protocolos push, normalización a esquema común independiente del fabricante.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Componente</w:t>
            </w:r>
          </w:p>
        </w:tc>
        <w:tc>
          <w:tcPr>
            <w:tcW w:type="dxa" w:w="696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Descripción</w:t>
            </w:r>
          </w:p>
        </w:tc>
      </w:tr>
      <w:tr>
        <w:trPr>
          <w:cantSplit/>
        </w:trPr>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Edge Function</w:t>
            </w:r>
          </w:p>
        </w:tc>
        <w:tc>
          <w:tcPr>
            <w:tcW w:type="dxa" w:w="69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trade-inversor-{fabricante}: una por fabricante, reutiliza lógica común de normalización</w:t>
            </w:r>
          </w:p>
        </w:tc>
      </w:tr>
      <w:tr>
        <w:trPr>
          <w:cantSplit/>
        </w:trPr>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Tabla Supabase</w:t>
            </w:r>
          </w:p>
        </w:tc>
        <w:tc>
          <w:tcPr>
            <w:tcW w:type="dxa" w:w="69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trade_plant_readings: timestamp, plant_id, kw_now, kwh_today, kwh_total, pr, temp_inv, alerts[]</w:t>
            </w:r>
          </w:p>
        </w:tc>
      </w:tr>
      <w:tr>
        <w:trPr>
          <w:cantSplit/>
        </w:trPr>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Polling</w:t>
            </w:r>
          </w:p>
        </w:tc>
        <w:tc>
          <w:tcPr>
            <w:tcW w:type="dxa" w:w="69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Cron cada 15 min para APIs sin push (Huawei, SolarEdge, Sungrow)</w:t>
            </w:r>
          </w:p>
        </w:tc>
      </w:tr>
      <w:tr>
        <w:trPr>
          <w:cantSplit/>
        </w:trPr>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Push real-time</w:t>
            </w:r>
          </w:p>
        </w:tc>
        <w:tc>
          <w:tcPr>
            <w:tcW w:type="dxa" w:w="69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MQTT broker (Mosquitto en Fly.io) para Victron, Shelly y sensores IoT</w:t>
            </w:r>
          </w:p>
        </w:tc>
      </w:tr>
      <w:tr>
        <w:trPr>
          <w:cantSplit/>
        </w:trPr>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Dashboard</w:t>
            </w:r>
          </w:p>
        </w:tc>
        <w:tc>
          <w:tcPr>
            <w:tcW w:type="dxa" w:w="69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Consume siempre el esquema normalizado. Independiente del fabricante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none" w:color="FFFFFF" w:sz="0"/>
              <w:bottom w:val="none" w:color="FFFFFF" w:sz="0"/>
              <w:right w:val="none" w:color="FFFFFF" w:sz="0"/>
            </w:tcBorders>
            <w:shd w:fill="1C2535" w:val="clear"/>
            <w:tcMar>
              <w:top w:type="dxa" w:w="160"/>
              <w:left w:type="dxa" w:w="240"/>
              <w:bottom w:type="dxa" w:w="160"/>
              <w:right w:type="dxa" w:w="240"/>
            </w:tcMar>
          </w:tcPr>
          <w:p>
            <w:r>
              <w:rPr>
                <w:rFonts w:ascii="Arial" w:cs="Arial" w:eastAsia="Arial" w:hAnsi="Arial"/>
                <w:b/>
                <w:bCs/>
                <w:color w:val="FFFFFF"/>
                <w:sz w:val="30"/>
                <w:szCs w:val="30"/>
              </w:rPr>
              <w:t xml:space="preserve">D. Automatizaciones IA — TrabFlow Proactivo</w:t>
            </w:r>
          </w:p>
          <w:p>
            <w:r>
              <w:rPr>
                <w:rFonts w:ascii="Arial" w:cs="Arial" w:eastAsia="Arial" w:hAnsi="Arial"/>
                <w:color w:val="D5E8F0"/>
                <w:sz w:val="20"/>
                <w:szCs w:val="20"/>
              </w:rPr>
              <w:t xml:space="preserve">Triggers · Acciones automáticas · Ciclo de vida completo</w:t>
            </w:r>
          </w:p>
        </w:tc>
      </w:tr>
    </w:tbl>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A5A96" w:sz="4"/>
              <w:left w:val="single" w:color="1A5A96" w:sz="4"/>
              <w:bottom w:val="none" w:color="FFFFFF" w:sz="0"/>
              <w:right w:val="none" w:color="FFFFFF" w:sz="0"/>
            </w:tcBorders>
            <w:shd w:fill="D5E8F0" w:val="clear"/>
            <w:tcMar>
              <w:top w:type="dxa" w:w="140"/>
              <w:left w:type="dxa" w:w="200"/>
              <w:bottom w:type="dxa" w:w="140"/>
              <w:right w:type="dxa" w:w="200"/>
            </w:tcMar>
          </w:tcPr>
          <w:p>
            <w:r>
              <w:rPr>
                <w:rFonts w:ascii="Arial" w:cs="Arial" w:eastAsia="Arial" w:hAnsi="Arial"/>
                <w:color w:val="1C2535"/>
                <w:sz w:val="21"/>
                <w:szCs w:val="21"/>
              </w:rPr>
              <w:t xml:space="preserve">TrabFlow pasa de ser una herramienta de gestión reactiva (el instalador abre la app y hace algo) a una plataforma proactiva que detecta situaciones, genera trabajos, crea presupuestos y avisa al instalador sin que este tenga que hacer nada. Esto multiplica el valor percibido y la retención.</w:t>
            </w:r>
          </w:p>
        </w:tc>
      </w:tr>
    </w:tbl>
    <w:p>
      <w:pPr>
        <w:spacing w:after="120" w:before="120"/>
      </w:pPr>
    </w:p>
    <w:p>
      <w:pPr>
        <w:spacing w:after="120" w:before="240"/>
      </w:pPr>
      <w:r>
        <w:rPr>
          <w:rFonts w:ascii="Arial" w:cs="Arial" w:eastAsia="Arial" w:hAnsi="Arial"/>
          <w:b/>
          <w:bCs/>
          <w:color w:val="1C2535"/>
          <w:sz w:val="26"/>
          <w:szCs w:val="26"/>
        </w:rPr>
        <w:t xml:space="preserve">D.2 Automatizaciones post-instalación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360"/>
        <w:gridCol w:w="800"/>
        <w:gridCol w:w="1000"/>
      </w:tblGrid>
      <w:tr>
        <w:trPr>
          <w:cantSplit/>
        </w:trPr>
        <w:tc>
          <w:tcPr>
            <w:tcW w:type="dxa" w:w="22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Trigger</w:t>
            </w:r>
          </w:p>
        </w:tc>
        <w:tc>
          <w:tcPr>
            <w:tcW w:type="dxa" w:w="20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Condición</w:t>
            </w:r>
          </w:p>
        </w:tc>
        <w:tc>
          <w:tcPr>
            <w:tcW w:type="dxa" w:w="336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Acción TrabFlow IA</w:t>
            </w:r>
          </w:p>
        </w:tc>
        <w:tc>
          <w:tcPr>
            <w:tcW w:type="dxa" w:w="8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Delay</w:t>
            </w:r>
          </w:p>
        </w:tc>
        <w:tc>
          <w:tcPr>
            <w:tcW w:type="dxa" w:w="10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Módulo</w:t>
            </w:r>
          </w:p>
        </w:tc>
      </w:tr>
      <w:tr>
        <w:trPr>
          <w:cantSplit/>
        </w:trP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Presupuesto aceptado (VE)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tipo=instalación + potencia&gt;7kW</w:t>
            </w:r>
          </w:p>
        </w:tc>
        <w:tc>
          <w:tcPr>
            <w:tcW w:type="dxa" w:w="3360"/>
            <w:tcBorders>
              <w:top w:val="single" w:color="CCCCCC" w:sz="1"/>
              <w:left w:val="single" w:color="CCCCCC" w:sz="1"/>
              <w:bottom w:val="single" w:color="CCCCCC" w:sz="1"/>
              <w:right w:val="single" w:color="CCCCCC" w:sz="1"/>
            </w:tcBorders>
            <w:shd w:fill="D8F3DC" w:val="clear"/>
            <w:tcMar>
              <w:top w:type="dxa" w:w="70"/>
              <w:left w:type="dxa" w:w="110"/>
              <w:bottom w:type="dxa" w:w="70"/>
              <w:right w:type="dxa" w:w="110"/>
            </w:tcMar>
          </w:tcPr>
          <w:p>
            <w:r>
              <w:rPr>
                <w:rFonts w:ascii="Arial" w:cs="Arial" w:eastAsia="Arial" w:hAnsi="Arial"/>
                <w:color w:val="1C2535"/>
                <w:sz w:val="20"/>
                <w:szCs w:val="20"/>
              </w:rPr>
              <w:t xml:space="preserve">Crear borrador contrato O&amp;M VE Básico. Notificar instalador para proponer al cliente</w:t>
            </w:r>
          </w:p>
        </w:tc>
        <w:tc>
          <w:tcPr>
            <w:tcW w:type="dxa" w:w="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Inmediato</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Contratos</w:t>
            </w:r>
          </w:p>
        </w:tc>
      </w:tr>
      <w:tr>
        <w:trPr>
          <w:cantSplit/>
        </w:trP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Presupuesto aceptado (FV)</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tipo=instalación + kWp&gt;20</w:t>
            </w:r>
          </w:p>
        </w:tc>
        <w:tc>
          <w:tcPr>
            <w:tcW w:type="dxa" w:w="3360"/>
            <w:tcBorders>
              <w:top w:val="single" w:color="CCCCCC" w:sz="1"/>
              <w:left w:val="single" w:color="CCCCCC" w:sz="1"/>
              <w:bottom w:val="single" w:color="CCCCCC" w:sz="1"/>
              <w:right w:val="single" w:color="CCCCCC" w:sz="1"/>
            </w:tcBorders>
            <w:shd w:fill="D8F3DC" w:val="clear"/>
            <w:tcMar>
              <w:top w:type="dxa" w:w="70"/>
              <w:left w:type="dxa" w:w="110"/>
              <w:bottom w:type="dxa" w:w="70"/>
              <w:right w:type="dxa" w:w="110"/>
            </w:tcMar>
          </w:tcPr>
          <w:p>
            <w:r>
              <w:rPr>
                <w:rFonts w:ascii="Arial" w:cs="Arial" w:eastAsia="Arial" w:hAnsi="Arial"/>
                <w:color w:val="1C2535"/>
                <w:sz w:val="20"/>
                <w:szCs w:val="20"/>
              </w:rPr>
              <w:t xml:space="preserve">Crear borrador contrato O&amp;M FV Preventivo. Adjuntar propuesta PDF al CRM cliente</w:t>
            </w:r>
          </w:p>
        </w:tc>
        <w:tc>
          <w:tcPr>
            <w:tcW w:type="dxa" w:w="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Inmediato</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Contratos</w:t>
            </w:r>
          </w:p>
        </w:tc>
      </w:tr>
      <w:tr>
        <w:trPr>
          <w:cantSplit/>
        </w:trPr>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Parte completado (FV)</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actuación=comisionado FV-87</w:t>
            </w:r>
          </w:p>
        </w:tc>
        <w:tc>
          <w:tcPr>
            <w:tcW w:type="dxa" w:w="33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Generar informe puesta en marcha IEC 62446. Activar monitorización planta automáticamente</w:t>
            </w:r>
          </w:p>
        </w:tc>
        <w:tc>
          <w:tcPr>
            <w:tcW w:type="dxa" w:w="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 cerrar</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Monitorización</w:t>
            </w:r>
          </w:p>
        </w:tc>
      </w:tr>
      <w:tr>
        <w:trPr>
          <w:cantSplit/>
        </w:trPr>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Trabajo completado (VE)</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actuación=instalación wallbox</w:t>
            </w:r>
          </w:p>
        </w:tc>
        <w:tc>
          <w:tcPr>
            <w:tcW w:type="dxa" w:w="33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Crear primera revisión preventiva en 12 meses. Añadir punto recarga al CRM cliente</w:t>
            </w:r>
          </w:p>
        </w:tc>
        <w:tc>
          <w:tcPr>
            <w:tcW w:type="dxa" w:w="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 facturar</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Planificación</w:t>
            </w:r>
          </w:p>
        </w:tc>
      </w:tr>
      <w:tr>
        <w:trPr>
          <w:cantSplit/>
        </w:trPr>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Factura pagada (FV)</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importe&gt;5.000€</w:t>
            </w:r>
          </w:p>
        </w:tc>
        <w:tc>
          <w:tcPr>
            <w:tcW w:type="dxa" w:w="33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Sugerir ampliar contrato O&amp;M al nivel superior. Enviar email personalizado al cliente</w:t>
            </w:r>
          </w:p>
        </w:tc>
        <w:tc>
          <w:tcPr>
            <w:tcW w:type="dxa" w:w="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 marcar pagada</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CRM</w:t>
            </w:r>
          </w:p>
        </w:tc>
      </w:tr>
    </w:tbl>
    <w:p>
      <w:pPr>
        <w:spacing w:after="120" w:before="120"/>
      </w:pPr>
    </w:p>
    <w:p>
      <w:pPr>
        <w:spacing w:after="120" w:before="240"/>
      </w:pPr>
      <w:r>
        <w:rPr>
          <w:rFonts w:ascii="Arial" w:cs="Arial" w:eastAsia="Arial" w:hAnsi="Arial"/>
          <w:b/>
          <w:bCs/>
          <w:color w:val="1C2535"/>
          <w:sz w:val="26"/>
          <w:szCs w:val="26"/>
        </w:rPr>
        <w:t xml:space="preserve">D.3 Automatizaciones post-avería</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3360"/>
        <w:gridCol w:w="1200"/>
      </w:tblGrid>
      <w:tr>
        <w:trPr>
          <w:cantSplit/>
        </w:trPr>
        <w:tc>
          <w:tcPr>
            <w:tcW w:type="dxa" w:w="24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Trigger</w:t>
            </w:r>
          </w:p>
        </w:tc>
        <w:tc>
          <w:tcPr>
            <w:tcW w:type="dxa" w:w="24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Condición</w:t>
            </w:r>
          </w:p>
        </w:tc>
        <w:tc>
          <w:tcPr>
            <w:tcW w:type="dxa" w:w="336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Acción TrabFlow IA</w:t>
            </w:r>
          </w:p>
        </w:tc>
        <w:tc>
          <w:tcPr>
            <w:tcW w:type="dxa" w:w="12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Módulo</w:t>
            </w:r>
          </w:p>
        </w:tc>
      </w:tr>
      <w:tr>
        <w:trPr>
          <w:cantSplit/>
        </w:trP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Alarma monitorización FV</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PR &lt; 85% durante &gt;2 días</w:t>
            </w:r>
          </w:p>
        </w:tc>
        <w:tc>
          <w:tcPr>
            <w:tcW w:type="dxa" w:w="3360"/>
            <w:tcBorders>
              <w:top w:val="single" w:color="CCCCCC" w:sz="1"/>
              <w:left w:val="single" w:color="CCCCCC" w:sz="1"/>
              <w:bottom w:val="single" w:color="CCCCCC" w:sz="1"/>
              <w:right w:val="single" w:color="CCCCCC" w:sz="1"/>
            </w:tcBorders>
            <w:shd w:fill="FDEAE5" w:val="clear"/>
            <w:tcMar>
              <w:top w:type="dxa" w:w="70"/>
              <w:left w:type="dxa" w:w="110"/>
              <w:bottom w:type="dxa" w:w="70"/>
              <w:right w:type="dxa" w:w="110"/>
            </w:tcMar>
          </w:tcPr>
          <w:p>
            <w:r>
              <w:rPr>
                <w:rFonts w:ascii="Arial" w:cs="Arial" w:eastAsia="Arial" w:hAnsi="Arial"/>
                <w:color w:val="1C2535"/>
                <w:sz w:val="20"/>
                <w:szCs w:val="20"/>
              </w:rPr>
              <w:t xml:space="preserve">Crear incidencia urgente. Generar presupuesto FV-30 (diagnóstico). Push al instalador</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Monitor + Planif.</w:t>
            </w:r>
          </w:p>
        </w:tc>
      </w:tr>
      <w:tr>
        <w:trPr>
          <w:cantSplit/>
        </w:trP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Alarma monitorización FV</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String offline &gt; 4h</w:t>
            </w:r>
          </w:p>
        </w:tc>
        <w:tc>
          <w:tcPr>
            <w:tcW w:type="dxa" w:w="3360"/>
            <w:tcBorders>
              <w:top w:val="single" w:color="CCCCCC" w:sz="1"/>
              <w:left w:val="single" w:color="CCCCCC" w:sz="1"/>
              <w:bottom w:val="single" w:color="CCCCCC" w:sz="1"/>
              <w:right w:val="single" w:color="CCCCCC" w:sz="1"/>
            </w:tcBorders>
            <w:shd w:fill="FDEAE5" w:val="clear"/>
            <w:tcMar>
              <w:top w:type="dxa" w:w="70"/>
              <w:left w:type="dxa" w:w="110"/>
              <w:bottom w:type="dxa" w:w="70"/>
              <w:right w:type="dxa" w:w="110"/>
            </w:tcMar>
          </w:tcPr>
          <w:p>
            <w:r>
              <w:rPr>
                <w:rFonts w:ascii="Arial" w:cs="Arial" w:eastAsia="Arial" w:hAnsi="Arial"/>
                <w:color w:val="1C2535"/>
                <w:sz w:val="20"/>
                <w:szCs w:val="20"/>
              </w:rPr>
              <w:t xml:space="preserve">Crear tarea diagnóstico. Adjuntar histórico del string al parte de trabajo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Monitor + Partes</w:t>
            </w:r>
          </w:p>
        </w:tc>
      </w:tr>
      <w:tr>
        <w:trPr>
          <w:cantSplit/>
        </w:trPr>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Avería cerrada (FV)</w:t>
            </w:r>
          </w:p>
        </w:tc>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componente=inversor sustituido</w:t>
            </w:r>
          </w:p>
        </w:tc>
        <w:tc>
          <w:tcPr>
            <w:tcW w:type="dxa" w:w="33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Registrar en historial equipo. Activar seguimiento garantía fabricante. Alerta 30 días post-reparación</w:t>
            </w:r>
          </w:p>
        </w:tc>
        <w:tc>
          <w:tcPr>
            <w:tcW w:type="dxa" w:w="1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CRM + Contratos</w:t>
            </w:r>
          </w:p>
        </w:tc>
      </w:tr>
      <w:tr>
        <w:trPr>
          <w:cantSplit/>
        </w:trP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Alarma VE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Estado cargador OCPP: faulted &gt;2h</w:t>
            </w:r>
          </w:p>
        </w:tc>
        <w:tc>
          <w:tcPr>
            <w:tcW w:type="dxa" w:w="3360"/>
            <w:tcBorders>
              <w:top w:val="single" w:color="CCCCCC" w:sz="1"/>
              <w:left w:val="single" w:color="CCCCCC" w:sz="1"/>
              <w:bottom w:val="single" w:color="CCCCCC" w:sz="1"/>
              <w:right w:val="single" w:color="CCCCCC" w:sz="1"/>
            </w:tcBorders>
            <w:shd w:fill="FDEAE5" w:val="clear"/>
            <w:tcMar>
              <w:top w:type="dxa" w:w="70"/>
              <w:left w:type="dxa" w:w="110"/>
              <w:bottom w:type="dxa" w:w="70"/>
              <w:right w:type="dxa" w:w="110"/>
            </w:tcMar>
          </w:tcPr>
          <w:p>
            <w:r>
              <w:rPr>
                <w:rFonts w:ascii="Arial" w:cs="Arial" w:eastAsia="Arial" w:hAnsi="Arial"/>
                <w:color w:val="1C2535"/>
                <w:sz w:val="20"/>
                <w:szCs w:val="20"/>
              </w:rPr>
              <w:t xml:space="preserve">Crear incidencia. Generar presupuesto VE-17 (diagnóstico avería punto recarga)</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Monitor VE</w:t>
            </w:r>
          </w:p>
        </w:tc>
      </w:tr>
      <w:tr>
        <w:trPr>
          <w:cantSplit/>
        </w:trP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Avería reincidente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≥3 averías mismo equipo en 12 meses</w:t>
            </w:r>
          </w:p>
        </w:tc>
        <w:tc>
          <w:tcPr>
            <w:tcW w:type="dxa" w:w="3360"/>
            <w:tcBorders>
              <w:top w:val="single" w:color="CCCCCC" w:sz="1"/>
              <w:left w:val="single" w:color="CCCCCC" w:sz="1"/>
              <w:bottom w:val="single" w:color="CCCCCC" w:sz="1"/>
              <w:right w:val="single" w:color="CCCCCC" w:sz="1"/>
            </w:tcBorders>
            <w:shd w:fill="FDF3E3" w:val="clear"/>
            <w:tcMar>
              <w:top w:type="dxa" w:w="70"/>
              <w:left w:type="dxa" w:w="110"/>
              <w:bottom w:type="dxa" w:w="70"/>
              <w:right w:type="dxa" w:w="110"/>
            </w:tcMar>
          </w:tcPr>
          <w:p>
            <w:r>
              <w:rPr>
                <w:rFonts w:ascii="Arial" w:cs="Arial" w:eastAsia="Arial" w:hAnsi="Arial"/>
                <w:color w:val="1C2535"/>
                <w:sz w:val="20"/>
                <w:szCs w:val="20"/>
              </w:rPr>
              <w:t xml:space="preserve">IA propone: 'Este equipo ha fallado 3 veces. ¿Proponer sustitución al cliente?'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CRM + IA</w:t>
            </w:r>
          </w:p>
        </w:tc>
      </w:tr>
    </w:tbl>
    <w:p>
      <w:pPr>
        <w:spacing w:after="120" w:before="120"/>
      </w:pPr>
    </w:p>
    <w:p>
      <w:pPr>
        <w:spacing w:after="120" w:before="240"/>
      </w:pPr>
      <w:r>
        <w:rPr>
          <w:rFonts w:ascii="Arial" w:cs="Arial" w:eastAsia="Arial" w:hAnsi="Arial"/>
          <w:b/>
          <w:bCs/>
          <w:color w:val="1C2535"/>
          <w:sz w:val="26"/>
          <w:szCs w:val="26"/>
        </w:rPr>
        <w:t xml:space="preserve">D.4 Automatizaciones por ciclo temporal</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3560"/>
        <w:gridCol w:w="1000"/>
      </w:tblGrid>
      <w:tr>
        <w:trPr>
          <w:cantSplit/>
        </w:trPr>
        <w:tc>
          <w:tcPr>
            <w:tcW w:type="dxa" w:w="24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Trigger temporal</w:t>
            </w:r>
          </w:p>
        </w:tc>
        <w:tc>
          <w:tcPr>
            <w:tcW w:type="dxa" w:w="24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Condición</w:t>
            </w:r>
          </w:p>
        </w:tc>
        <w:tc>
          <w:tcPr>
            <w:tcW w:type="dxa" w:w="356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Acción TrabFlow IA</w:t>
            </w:r>
          </w:p>
        </w:tc>
        <w:tc>
          <w:tcPr>
            <w:tcW w:type="dxa" w:w="10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Frec.</w:t>
            </w:r>
          </w:p>
        </w:tc>
      </w:tr>
      <w:tr>
        <w:trPr>
          <w:cantSplit/>
        </w:trPr>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12 meses desde instalación VE</w:t>
            </w:r>
          </w:p>
        </w:tc>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Sin revisión preventiva registrada</w:t>
            </w:r>
          </w:p>
        </w:tc>
        <w:tc>
          <w:tcPr>
            <w:tcW w:type="dxa" w:w="3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Crear trabajo 'Mantenimiento preventivo anual VE-19'. Notificar instalador</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Anual</w:t>
            </w:r>
          </w:p>
        </w:tc>
      </w:tr>
      <w:tr>
        <w:trPr>
          <w:cantSplit/>
        </w:trPr>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6 meses desde último preventivo FV</w:t>
            </w:r>
          </w:p>
        </w:tc>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Contrato O&amp;M activo nivel Preventivo+</w:t>
            </w:r>
          </w:p>
        </w:tc>
        <w:tc>
          <w:tcPr>
            <w:tcW w:type="dxa" w:w="3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Crear trabajo 'Mantenimiento semestral FV-12'. Asignar técnico disponible</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Semestral</w:t>
            </w:r>
          </w:p>
        </w:tc>
      </w:tr>
      <w:tr>
        <w:trPr>
          <w:cantSplit/>
        </w:trPr>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Día 1 de mes</w:t>
            </w:r>
          </w:p>
        </w:tc>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Planta FV con monitorización activa</w:t>
            </w:r>
          </w:p>
        </w:tc>
        <w:tc>
          <w:tcPr>
            <w:tcW w:type="dxa" w:w="3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Generar informe mensual producción FV-44. PDF automático al cliente</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Mensual</w:t>
            </w:r>
          </w:p>
        </w:tc>
      </w:tr>
      <w:tr>
        <w:trPr>
          <w:cantSplit/>
        </w:trP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5 incidencias acumuladas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Mismo equipo en planta FV</w:t>
            </w:r>
          </w:p>
        </w:tc>
        <w:tc>
          <w:tcPr>
            <w:tcW w:type="dxa" w:w="3560"/>
            <w:tcBorders>
              <w:top w:val="single" w:color="CCCCCC" w:sz="1"/>
              <w:left w:val="single" w:color="CCCCCC" w:sz="1"/>
              <w:bottom w:val="single" w:color="CCCCCC" w:sz="1"/>
              <w:right w:val="single" w:color="CCCCCC" w:sz="1"/>
            </w:tcBorders>
            <w:shd w:fill="FDF3E3" w:val="clear"/>
            <w:tcMar>
              <w:top w:type="dxa" w:w="70"/>
              <w:left w:type="dxa" w:w="110"/>
              <w:bottom w:type="dxa" w:w="70"/>
              <w:right w:type="dxa" w:w="110"/>
            </w:tcMar>
          </w:tcPr>
          <w:p>
            <w:r>
              <w:rPr>
                <w:rFonts w:ascii="Arial" w:cs="Arial" w:eastAsia="Arial" w:hAnsi="Arial"/>
                <w:color w:val="1C2535"/>
                <w:sz w:val="20"/>
                <w:szCs w:val="20"/>
              </w:rPr>
              <w:t xml:space="preserve">IA propone: 'Hemos detectado 5 incidencias en el inversor X. Considera proponer sustitución'</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A demanda</w:t>
            </w:r>
          </w:p>
        </w:tc>
      </w:tr>
      <w:tr>
        <w:trPr>
          <w:cantSplit/>
        </w:trPr>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30 días antes vencimiento contrato</w:t>
            </w:r>
          </w:p>
        </w:tc>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Contrato O&amp;M cualquier nivel</w:t>
            </w:r>
          </w:p>
        </w:tc>
        <w:tc>
          <w:tcPr>
            <w:tcW w:type="dxa" w:w="3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Email renovación al instalador + borrador nuevo contrato con precio actualizado</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Por contrato</w:t>
            </w:r>
          </w:p>
        </w:tc>
      </w:tr>
      <w:tr>
        <w:trPr>
          <w:cantSplit/>
        </w:trPr>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Aniversario FV (5 años)</w:t>
            </w:r>
          </w:p>
        </w:tc>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Planta FV en cartera O&amp;M</w:t>
            </w:r>
          </w:p>
        </w:tc>
        <w:tc>
          <w:tcPr>
            <w:tcW w:type="dxa" w:w="3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Crear trabajo 'Revisión quinquenal FV-88'. Recordatorio evaluación degradación paneles</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Quinquenal</w:t>
            </w:r>
          </w:p>
        </w:tc>
      </w:tr>
      <w:tr>
        <w:trPr>
          <w:cantSplit/>
        </w:trPr>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 año sin actividad (cliente VE)</w:t>
            </w:r>
          </w:p>
        </w:tc>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Sin presupuesto ni trabajo en 12 meses</w:t>
            </w:r>
          </w:p>
        </w:tc>
        <w:tc>
          <w:tcPr>
            <w:tcW w:type="dxa" w:w="3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Push re-engagement: 'Tienes 3 puntos de recarga sin revisión anual'</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Anual</w:t>
            </w:r>
          </w:p>
        </w:tc>
      </w:tr>
    </w:tbl>
    <w:p>
      <w:pPr>
        <w:spacing w:after="120" w:before="120"/>
      </w:pPr>
    </w:p>
    <w:p>
      <w:pPr>
        <w:spacing w:after="120" w:before="240"/>
      </w:pPr>
      <w:r>
        <w:rPr>
          <w:rFonts w:ascii="Arial" w:cs="Arial" w:eastAsia="Arial" w:hAnsi="Arial"/>
          <w:b/>
          <w:bCs/>
          <w:color w:val="1C2535"/>
          <w:sz w:val="26"/>
          <w:szCs w:val="26"/>
        </w:rPr>
        <w:t xml:space="preserve">D.5 Automatizaciones de reporting</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400"/>
        <w:gridCol w:w="1760"/>
        <w:gridCol w:w="2000"/>
      </w:tblGrid>
      <w:tr>
        <w:trPr>
          <w:cantSplit/>
        </w:trPr>
        <w:tc>
          <w:tcPr>
            <w:tcW w:type="dxa" w:w="24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Informe automático</w:t>
            </w:r>
          </w:p>
        </w:tc>
        <w:tc>
          <w:tcPr>
            <w:tcW w:type="dxa" w:w="18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Trigger</w:t>
            </w:r>
          </w:p>
        </w:tc>
        <w:tc>
          <w:tcPr>
            <w:tcW w:type="dxa" w:w="14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Formato</w:t>
            </w:r>
          </w:p>
        </w:tc>
        <w:tc>
          <w:tcPr>
            <w:tcW w:type="dxa" w:w="176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Destinatario</w:t>
            </w:r>
          </w:p>
        </w:tc>
        <w:tc>
          <w:tcPr>
            <w:tcW w:type="dxa" w:w="20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Módulo</w:t>
            </w:r>
          </w:p>
        </w:tc>
      </w:tr>
      <w:tr>
        <w:trPr>
          <w:cantSplit/>
        </w:trPr>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Informe mensual producción FV</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Cron día 1 del mes</w:t>
            </w:r>
          </w:p>
        </w:tc>
        <w:tc>
          <w:tcPr>
            <w:tcW w:type="dxa" w:w="1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PDF KPIs, gráfico, PR, incidencias</w:t>
            </w:r>
          </w:p>
        </w:tc>
        <w:tc>
          <w:tcPr>
            <w:tcW w:type="dxa" w:w="17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Cliente final (email)</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Contratos O&amp;M</w:t>
            </w:r>
          </w:p>
        </w:tc>
      </w:tr>
      <w:tr>
        <w:trPr>
          <w:cantSplit/>
        </w:trPr>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Informe semestral O&amp;M VE</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Cron semestral</w:t>
            </w:r>
          </w:p>
        </w:tc>
        <w:tc>
          <w:tcPr>
            <w:tcW w:type="dxa" w:w="1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PDF: puntos revisados, estado, recomendaciones</w:t>
            </w:r>
          </w:p>
        </w:tc>
        <w:tc>
          <w:tcPr>
            <w:tcW w:type="dxa" w:w="17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Cliente final</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Contratos O&amp;M</w:t>
            </w:r>
          </w:p>
        </w:tc>
      </w:tr>
      <w:tr>
        <w:trPr>
          <w:cantSplit/>
        </w:trPr>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Informe anual auditoría FV</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Cron anual</w:t>
            </w:r>
          </w:p>
        </w:tc>
        <w:tc>
          <w:tcPr>
            <w:tcW w:type="dxa" w:w="1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PDF completo IEC 62446: termografía, mediciones, histórico</w:t>
            </w:r>
          </w:p>
        </w:tc>
        <w:tc>
          <w:tcPr>
            <w:tcW w:type="dxa" w:w="17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Cliente final</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Contratos O&amp;M</w:t>
            </w:r>
          </w:p>
        </w:tc>
      </w:tr>
      <w:tr>
        <w:trPr>
          <w:cantSplit/>
        </w:trPr>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Resumen semanal instalador</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Cron lunes 8:00h</w:t>
            </w:r>
          </w:p>
        </w:tc>
        <w:tc>
          <w:tcPr>
            <w:tcW w:type="dxa" w:w="1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Push/email: trabajos semana, facturas pendientes, alertas activas</w:t>
            </w:r>
          </w:p>
        </w:tc>
        <w:tc>
          <w:tcPr>
            <w:tcW w:type="dxa" w:w="17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Instalador</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Dashboard</w:t>
            </w:r>
          </w:p>
        </w:tc>
      </w:tr>
      <w:tr>
        <w:trPr>
          <w:cantSplit/>
        </w:trPr>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Alerta degradación paneles</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Análisis mensual producción histórica</w:t>
            </w:r>
          </w:p>
        </w:tc>
        <w:tc>
          <w:tcPr>
            <w:tcW w:type="dxa" w:w="1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Email: 'Producción planta X caído 4% vs. año anterior'</w:t>
            </w:r>
          </w:p>
        </w:tc>
        <w:tc>
          <w:tcPr>
            <w:tcW w:type="dxa" w:w="17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Instalador</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Monitor IA</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none" w:color="FFFFFF" w:sz="0"/>
              <w:bottom w:val="none" w:color="FFFFFF" w:sz="0"/>
              <w:right w:val="none" w:color="FFFFFF" w:sz="0"/>
            </w:tcBorders>
            <w:shd w:fill="1C2535" w:val="clear"/>
            <w:tcMar>
              <w:top w:type="dxa" w:w="160"/>
              <w:left w:type="dxa" w:w="240"/>
              <w:bottom w:type="dxa" w:w="160"/>
              <w:right w:type="dxa" w:w="240"/>
            </w:tcMar>
          </w:tcPr>
          <w:p>
            <w:r>
              <w:rPr>
                <w:rFonts w:ascii="Arial" w:cs="Arial" w:eastAsia="Arial" w:hAnsi="Arial"/>
                <w:b/>
                <w:bCs/>
                <w:color w:val="FFFFFF"/>
                <w:sz w:val="30"/>
                <w:szCs w:val="30"/>
              </w:rPr>
              <w:t xml:space="preserve">E. Módulo de Monitorización FV</w:t>
            </w:r>
          </w:p>
          <w:p>
            <w:r>
              <w:rPr>
                <w:rFonts w:ascii="Arial" w:cs="Arial" w:eastAsia="Arial" w:hAnsi="Arial"/>
                <w:color w:val="D5E8F0"/>
                <w:sz w:val="20"/>
                <w:szCs w:val="20"/>
              </w:rPr>
              <w:t xml:space="preserve">KPIs · Alarmas IA · Comparativa PVGIS · Dashboard · Módulo Premium</w:t>
            </w:r>
          </w:p>
        </w:tc>
      </w:tr>
    </w:tbl>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8922A" w:sz="4"/>
              <w:left w:val="single" w:color="C8922A" w:sz="4"/>
              <w:bottom w:val="none" w:color="FFFFFF" w:sz="0"/>
              <w:right w:val="none" w:color="FFFFFF" w:sz="0"/>
            </w:tcBorders>
            <w:shd w:fill="FDF3E3" w:val="clear"/>
            <w:tcMar>
              <w:top w:type="dxa" w:w="140"/>
              <w:left w:type="dxa" w:w="200"/>
              <w:bottom w:type="dxa" w:w="140"/>
              <w:right w:type="dxa" w:w="200"/>
            </w:tcMar>
          </w:tcPr>
          <w:p>
            <w:r>
              <w:rPr>
                <w:rFonts w:ascii="Arial" w:cs="Arial" w:eastAsia="Arial" w:hAnsi="Arial"/>
                <w:color w:val="1C2535"/>
                <w:sz w:val="21"/>
                <w:szCs w:val="21"/>
              </w:rPr>
              <w:t xml:space="preserve">Modelo de negocio: Monitorización como add-on premium (+€29/mes sobre plan base) o incluido en Plan Empresa+. Diferenciación clave frente a plataformas de monitorización puras (Huawei FusionSolar, SolarEdge) que no tienen la capa de gestión (contratos, partes, facturación). TrabFlow es el único que unifica ambas capas.</w:t>
            </w:r>
          </w:p>
        </w:tc>
      </w:tr>
    </w:tbl>
    <w:p>
      <w:pPr>
        <w:spacing w:after="120" w:before="120"/>
      </w:pPr>
    </w:p>
    <w:p>
      <w:pPr>
        <w:spacing w:after="120" w:before="240"/>
      </w:pPr>
      <w:r>
        <w:rPr>
          <w:rFonts w:ascii="Arial" w:cs="Arial" w:eastAsia="Arial" w:hAnsi="Arial"/>
          <w:b/>
          <w:bCs/>
          <w:color w:val="1C2535"/>
          <w:sz w:val="26"/>
          <w:szCs w:val="26"/>
        </w:rPr>
        <w:t xml:space="preserve">E.2 KPIs del módulo</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600"/>
        <w:gridCol w:w="800"/>
        <w:gridCol w:w="2560"/>
      </w:tblGrid>
      <w:tr>
        <w:trPr>
          <w:cantSplit/>
        </w:trPr>
        <w:tc>
          <w:tcPr>
            <w:tcW w:type="dxa" w:w="20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KPI</w:t>
            </w:r>
          </w:p>
        </w:tc>
        <w:tc>
          <w:tcPr>
            <w:tcW w:type="dxa" w:w="24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Definición</w:t>
            </w:r>
          </w:p>
        </w:tc>
        <w:tc>
          <w:tcPr>
            <w:tcW w:type="dxa" w:w="16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Fuente de datos</w:t>
            </w:r>
          </w:p>
        </w:tc>
        <w:tc>
          <w:tcPr>
            <w:tcW w:type="dxa" w:w="8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Frec.</w:t>
            </w:r>
          </w:p>
        </w:tc>
        <w:tc>
          <w:tcPr>
            <w:tcW w:type="dxa" w:w="256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Alerta IA si...</w:t>
            </w:r>
          </w:p>
        </w:tc>
      </w:tr>
      <w:tr>
        <w:trPr>
          <w:cantSplit/>
        </w:trPr>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Producción diaria (kWh)</w:t>
            </w:r>
          </w:p>
        </w:tc>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Energía generada en el día actual</w:t>
            </w:r>
          </w:p>
        </w:tc>
        <w:tc>
          <w:tcPr>
            <w:tcW w:type="dxa" w:w="1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API inversor / Modbus</w:t>
            </w:r>
          </w:p>
        </w:tc>
        <w:tc>
          <w:tcPr>
            <w:tcW w:type="dxa" w:w="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15 min</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Producción &lt; 70% del día equivalente año anterior</w:t>
            </w:r>
          </w:p>
        </w:tc>
      </w:tr>
      <w:tr>
        <w:trPr>
          <w:cantSplit/>
        </w:trPr>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Producción mensual (kWh)</w:t>
            </w:r>
          </w:p>
        </w:tc>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Acumulado del mes en curso</w:t>
            </w:r>
          </w:p>
        </w:tc>
        <w:tc>
          <w:tcPr>
            <w:tcW w:type="dxa" w:w="1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Calculado desde lecturas</w:t>
            </w:r>
          </w:p>
        </w:tc>
        <w:tc>
          <w:tcPr>
            <w:tcW w:type="dxa" w:w="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Diario</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Mensual &lt; 85% estimación PVGIS</w:t>
            </w:r>
          </w:p>
        </w:tc>
      </w:tr>
      <w:tr>
        <w:trPr>
          <w:cantSplit/>
        </w:trPr>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Performance Ratio (PR %)</w:t>
            </w:r>
          </w:p>
        </w:tc>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(Producción real / Producción ideal) × 100</w:t>
            </w:r>
          </w:p>
        </w:tc>
        <w:tc>
          <w:tcPr>
            <w:tcW w:type="dxa" w:w="1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Calculado: kWh / (kWp × irrad.)</w:t>
            </w:r>
          </w:p>
        </w:tc>
        <w:tc>
          <w:tcPr>
            <w:tcW w:type="dxa" w:w="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Diario</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PR &lt; 80% durante &gt;3 días consecutivos</w:t>
            </w:r>
          </w:p>
        </w:tc>
      </w:tr>
      <w:tr>
        <w:trPr>
          <w:cantSplit/>
        </w:trPr>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Yield específico (kWh/kWp)</w:t>
            </w:r>
          </w:p>
        </w:tc>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Producción total / potencia pico instalada</w:t>
            </w:r>
          </w:p>
        </w:tc>
        <w:tc>
          <w:tcPr>
            <w:tcW w:type="dxa" w:w="1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Calculado</w:t>
            </w:r>
          </w:p>
        </w:tc>
        <w:tc>
          <w:tcPr>
            <w:tcW w:type="dxa" w:w="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Mensual</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Yield &lt; 85% histórico mismo mes</w:t>
            </w:r>
          </w:p>
        </w:tc>
      </w:tr>
      <w:tr>
        <w:trPr>
          <w:cantSplit/>
        </w:trPr>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Horas equivalentes (h FP)</w:t>
            </w:r>
          </w:p>
        </w:tc>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kWh producidos / kWp instalados</w:t>
            </w:r>
          </w:p>
        </w:tc>
        <w:tc>
          <w:tcPr>
            <w:tcW w:type="dxa" w:w="1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Calculado</w:t>
            </w:r>
          </w:p>
        </w:tc>
        <w:tc>
          <w:tcPr>
            <w:tcW w:type="dxa" w:w="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Mensual</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HEP &lt; 80% estimación zona climática</w:t>
            </w:r>
          </w:p>
        </w:tc>
      </w:tr>
      <w:tr>
        <w:trPr>
          <w:cantSplit/>
        </w:trPr>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Temperatura módulos (°C)</w:t>
            </w:r>
          </w:p>
        </w:tc>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Temperatura superficie panel en tiempo real</w:t>
            </w:r>
          </w:p>
        </w:tc>
        <w:tc>
          <w:tcPr>
            <w:tcW w:type="dxa" w:w="1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Sonda / API inversor</w:t>
            </w:r>
          </w:p>
        </w:tc>
        <w:tc>
          <w:tcPr>
            <w:tcW w:type="dxa" w:w="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15 min</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Temperatura &gt; 85°C → alerta punto caliente</w:t>
            </w:r>
          </w:p>
        </w:tc>
      </w:tr>
      <w:tr>
        <w:trPr>
          <w:cantSplit/>
        </w:trPr>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Temperatura inversor (°C)</w:t>
            </w:r>
          </w:p>
        </w:tc>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Temperatura interna del inversor</w:t>
            </w:r>
          </w:p>
        </w:tc>
        <w:tc>
          <w:tcPr>
            <w:tcW w:type="dxa" w:w="1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API inversor</w:t>
            </w:r>
          </w:p>
        </w:tc>
        <w:tc>
          <w:tcPr>
            <w:tcW w:type="dxa" w:w="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15 min</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Temperatura &gt; 70°C → alerta ventilación</w:t>
            </w:r>
          </w:p>
        </w:tc>
      </w:tr>
      <w:tr>
        <w:trPr>
          <w:cantSplit/>
        </w:trPr>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Irradiancia (W/m²)</w:t>
            </w:r>
          </w:p>
        </w:tc>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Radiación solar en plano del panel</w:t>
            </w:r>
          </w:p>
        </w:tc>
        <w:tc>
          <w:tcPr>
            <w:tcW w:type="dxa" w:w="1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Piranómetro / estimación satelital</w:t>
            </w:r>
          </w:p>
        </w:tc>
        <w:tc>
          <w:tcPr>
            <w:tcW w:type="dxa" w:w="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15 min</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Irradiancia alta + producción baja → avería probable</w:t>
            </w:r>
          </w:p>
        </w:tc>
      </w:tr>
      <w:tr>
        <w:trPr>
          <w:cantSplit/>
        </w:trPr>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Estado strings</w:t>
            </w:r>
          </w:p>
        </w:tc>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Corriente y tensión por string. Comparativa entre strings</w:t>
            </w:r>
          </w:p>
        </w:tc>
        <w:tc>
          <w:tcPr>
            <w:tcW w:type="dxa" w:w="1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API inversor / Modbus RS485</w:t>
            </w:r>
          </w:p>
        </w:tc>
        <w:tc>
          <w:tcPr>
            <w:tcW w:type="dxa" w:w="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15 min</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String con corriente &lt;70% de la media del resto</w:t>
            </w:r>
          </w:p>
        </w:tc>
      </w:tr>
      <w:tr>
        <w:trPr>
          <w:cantSplit/>
        </w:trPr>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Estado comunicación inversor</w:t>
            </w:r>
          </w:p>
        </w:tc>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Online / Offline / Error</w:t>
            </w:r>
          </w:p>
        </w:tc>
        <w:tc>
          <w:tcPr>
            <w:tcW w:type="dxa" w:w="1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Heartbeat API</w:t>
            </w:r>
          </w:p>
        </w:tc>
        <w:tc>
          <w:tcPr>
            <w:tcW w:type="dxa" w:w="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5 min</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Offline &gt; 30 min → notificación inmediata</w:t>
            </w:r>
          </w:p>
        </w:tc>
      </w:tr>
    </w:tbl>
    <w:p>
      <w:pPr>
        <w:spacing w:after="120" w:before="120"/>
      </w:pPr>
    </w:p>
    <w:p>
      <w:pPr>
        <w:spacing w:after="120" w:before="240"/>
      </w:pPr>
      <w:r>
        <w:rPr>
          <w:rFonts w:ascii="Arial" w:cs="Arial" w:eastAsia="Arial" w:hAnsi="Arial"/>
          <w:b/>
          <w:bCs/>
          <w:color w:val="1C2535"/>
          <w:sz w:val="26"/>
          <w:szCs w:val="26"/>
        </w:rPr>
        <w:t xml:space="preserve">E.3 Alarmas y clasificación IA</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1200"/>
        <w:gridCol w:w="3600"/>
      </w:tblGrid>
      <w:tr>
        <w:trPr>
          <w:cantSplit/>
        </w:trPr>
        <w:tc>
          <w:tcPr>
            <w:tcW w:type="dxa" w:w="24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Tipo de alarma</w:t>
            </w:r>
          </w:p>
        </w:tc>
        <w:tc>
          <w:tcPr>
            <w:tcW w:type="dxa" w:w="216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Causa probable (IA)</w:t>
            </w:r>
          </w:p>
        </w:tc>
        <w:tc>
          <w:tcPr>
            <w:tcW w:type="dxa" w:w="12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Severidad</w:t>
            </w:r>
          </w:p>
        </w:tc>
        <w:tc>
          <w:tcPr>
            <w:tcW w:type="dxa" w:w="36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Acción automática TrabFlow</w:t>
            </w:r>
          </w:p>
        </w:tc>
      </w:tr>
      <w:tr>
        <w:trPr>
          <w:cantSplit/>
        </w:trP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PR &lt; 80% durante 3 días</w:t>
            </w:r>
          </w:p>
        </w:tc>
        <w:tc>
          <w:tcPr>
            <w:tcW w:type="dxa" w:w="2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Suciedad paneles / sombra nueva / avería string</w:t>
            </w:r>
          </w:p>
        </w:tc>
        <w:tc>
          <w:tcPr>
            <w:tcW w:type="dxa" w:w="120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r>
              <w:rPr>
                <w:rFonts w:ascii="Arial" w:cs="Arial" w:eastAsia="Arial" w:hAnsi="Arial"/>
                <w:color w:val="1C2535"/>
                <w:sz w:val="20"/>
                <w:szCs w:val="20"/>
              </w:rPr>
              <w:t xml:space="preserve">Media</w:t>
            </w:r>
          </w:p>
        </w:tc>
        <w:tc>
          <w:tcPr>
            <w:tcW w:type="dxa" w:w="3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Crear incidencia. Sugerir FV-21 (limpieza) o FV-30 (diagnóstico)</w:t>
            </w:r>
          </w:p>
        </w:tc>
      </w:tr>
      <w:tr>
        <w:trPr>
          <w:cantSplit/>
        </w:trP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String offline</w:t>
            </w:r>
          </w:p>
        </w:tc>
        <w:tc>
          <w:tcPr>
            <w:tcW w:type="dxa" w:w="2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Fusible quemado / conector MC4 / avería módulo</w:t>
            </w:r>
          </w:p>
        </w:tc>
        <w:tc>
          <w:tcPr>
            <w:tcW w:type="dxa" w:w="1200"/>
            <w:tcBorders>
              <w:top w:val="single" w:color="CCCCCC" w:sz="1"/>
              <w:left w:val="single" w:color="CCCCCC" w:sz="1"/>
              <w:bottom w:val="single" w:color="CCCCCC" w:sz="1"/>
              <w:right w:val="single" w:color="CCCCCC" w:sz="1"/>
            </w:tcBorders>
            <w:shd w:fill="FDF3E3" w:val="clear"/>
            <w:tcMar>
              <w:top w:type="dxa" w:w="70"/>
              <w:left w:type="dxa" w:w="110"/>
              <w:bottom w:type="dxa" w:w="70"/>
              <w:right w:type="dxa" w:w="110"/>
            </w:tcMar>
          </w:tcPr>
          <w:p>
            <w:r>
              <w:rPr>
                <w:rFonts w:ascii="Arial" w:cs="Arial" w:eastAsia="Arial" w:hAnsi="Arial"/>
                <w:color w:val="1C2535"/>
                <w:sz w:val="20"/>
                <w:szCs w:val="20"/>
              </w:rPr>
              <w:t xml:space="preserve">Alta</w:t>
            </w:r>
          </w:p>
        </w:tc>
        <w:tc>
          <w:tcPr>
            <w:tcW w:type="dxa" w:w="3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Crear incidencia urgente FV-35/36. Notificar instalador y cliente</w:t>
            </w:r>
          </w:p>
        </w:tc>
      </w:tr>
      <w:tr>
        <w:trPr>
          <w:cantSplit/>
        </w:trP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Inversor offline</w:t>
            </w:r>
          </w:p>
        </w:tc>
        <w:tc>
          <w:tcPr>
            <w:tcW w:type="dxa" w:w="2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Avería inversor / fallo comunicaciones / corte red</w:t>
            </w:r>
          </w:p>
        </w:tc>
        <w:tc>
          <w:tcPr>
            <w:tcW w:type="dxa" w:w="1200"/>
            <w:tcBorders>
              <w:top w:val="single" w:color="CCCCCC" w:sz="1"/>
              <w:left w:val="single" w:color="CCCCCC" w:sz="1"/>
              <w:bottom w:val="single" w:color="CCCCCC" w:sz="1"/>
              <w:right w:val="single" w:color="CCCCCC" w:sz="1"/>
            </w:tcBorders>
            <w:shd w:fill="FDEAE5" w:val="clear"/>
            <w:tcMar>
              <w:top w:type="dxa" w:w="70"/>
              <w:left w:type="dxa" w:w="110"/>
              <w:bottom w:type="dxa" w:w="70"/>
              <w:right w:type="dxa" w:w="110"/>
            </w:tcMar>
          </w:tcPr>
          <w:p>
            <w:r>
              <w:rPr>
                <w:rFonts w:ascii="Arial" w:cs="Arial" w:eastAsia="Arial" w:hAnsi="Arial"/>
                <w:color w:val="1C2535"/>
                <w:sz w:val="20"/>
                <w:szCs w:val="20"/>
              </w:rPr>
              <w:t xml:space="preserve">Crítica</w:t>
            </w:r>
          </w:p>
        </w:tc>
        <w:tc>
          <w:tcPr>
            <w:tcW w:type="dxa" w:w="3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Push inmediato. Crear incidencia crítica FV-32. Generar presupuesto borrador</w:t>
            </w:r>
          </w:p>
        </w:tc>
      </w:tr>
      <w:tr>
        <w:trPr>
          <w:cantSplit/>
        </w:trP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Temperatura módulo &gt; 85°C</w:t>
            </w:r>
          </w:p>
        </w:tc>
        <w:tc>
          <w:tcPr>
            <w:tcW w:type="dxa" w:w="2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Hot spot / célula dañada / sombra parcial</w:t>
            </w:r>
          </w:p>
        </w:tc>
        <w:tc>
          <w:tcPr>
            <w:tcW w:type="dxa" w:w="1200"/>
            <w:tcBorders>
              <w:top w:val="single" w:color="CCCCCC" w:sz="1"/>
              <w:left w:val="single" w:color="CCCCCC" w:sz="1"/>
              <w:bottom w:val="single" w:color="CCCCCC" w:sz="1"/>
              <w:right w:val="single" w:color="CCCCCC" w:sz="1"/>
            </w:tcBorders>
            <w:shd w:fill="FDF3E3" w:val="clear"/>
            <w:tcMar>
              <w:top w:type="dxa" w:w="70"/>
              <w:left w:type="dxa" w:w="110"/>
              <w:bottom w:type="dxa" w:w="70"/>
              <w:right w:type="dxa" w:w="110"/>
            </w:tcMar>
          </w:tcPr>
          <w:p>
            <w:r>
              <w:rPr>
                <w:rFonts w:ascii="Arial" w:cs="Arial" w:eastAsia="Arial" w:hAnsi="Arial"/>
                <w:color w:val="1C2535"/>
                <w:sz w:val="20"/>
                <w:szCs w:val="20"/>
              </w:rPr>
              <w:t xml:space="preserve">Alta</w:t>
            </w:r>
          </w:p>
        </w:tc>
        <w:tc>
          <w:tcPr>
            <w:tcW w:type="dxa" w:w="3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Programar termografía FV-26. Avisar al cliente del riesgo</w:t>
            </w:r>
          </w:p>
        </w:tc>
      </w:tr>
      <w:tr>
        <w:trPr>
          <w:cantSplit/>
        </w:trP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Temperatura inversor &gt; 70°C</w:t>
            </w:r>
          </w:p>
        </w:tc>
        <w:tc>
          <w:tcPr>
            <w:tcW w:type="dxa" w:w="2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Filtros obstruidos / ventilación deficiente</w:t>
            </w:r>
          </w:p>
        </w:tc>
        <w:tc>
          <w:tcPr>
            <w:tcW w:type="dxa" w:w="120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r>
              <w:rPr>
                <w:rFonts w:ascii="Arial" w:cs="Arial" w:eastAsia="Arial" w:hAnsi="Arial"/>
                <w:color w:val="1C2535"/>
                <w:sz w:val="20"/>
                <w:szCs w:val="20"/>
              </w:rPr>
              <w:t xml:space="preserve">Media</w:t>
            </w:r>
          </w:p>
        </w:tc>
        <w:tc>
          <w:tcPr>
            <w:tcW w:type="dxa" w:w="3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Crear tarea FV-24 (limpieza filtros inversor)</w:t>
            </w:r>
          </w:p>
        </w:tc>
      </w:tr>
      <w:tr>
        <w:trPr>
          <w:cantSplit/>
        </w:trP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Producción mensual -15% PVGIS</w:t>
            </w:r>
          </w:p>
        </w:tc>
        <w:tc>
          <w:tcPr>
            <w:tcW w:type="dxa" w:w="2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Degradación / suciedad severa / avería módulos</w:t>
            </w:r>
          </w:p>
        </w:tc>
        <w:tc>
          <w:tcPr>
            <w:tcW w:type="dxa" w:w="120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r>
              <w:rPr>
                <w:rFonts w:ascii="Arial" w:cs="Arial" w:eastAsia="Arial" w:hAnsi="Arial"/>
                <w:color w:val="1C2535"/>
                <w:sz w:val="20"/>
                <w:szCs w:val="20"/>
              </w:rPr>
              <w:t xml:space="preserve">Media</w:t>
            </w:r>
          </w:p>
        </w:tc>
        <w:tc>
          <w:tcPr>
            <w:tcW w:type="dxa" w:w="3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Incluir en informe mensual con análisis causa y propuesta actuación</w:t>
            </w:r>
          </w:p>
        </w:tc>
      </w:tr>
      <w:tr>
        <w:trPr>
          <w:cantSplit/>
        </w:trP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5ª incidencia mismo equipo</w:t>
            </w:r>
          </w:p>
        </w:tc>
        <w:tc>
          <w:tcPr>
            <w:tcW w:type="dxa" w:w="2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Equipo al final de vida útil</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Informativa</w:t>
            </w:r>
          </w:p>
        </w:tc>
        <w:tc>
          <w:tcPr>
            <w:tcW w:type="dxa" w:w="3600"/>
            <w:tcBorders>
              <w:top w:val="single" w:color="CCCCCC" w:sz="1"/>
              <w:left w:val="single" w:color="CCCCCC" w:sz="1"/>
              <w:bottom w:val="single" w:color="CCCCCC" w:sz="1"/>
              <w:right w:val="single" w:color="CCCCCC" w:sz="1"/>
            </w:tcBorders>
            <w:shd w:fill="FDF3E3" w:val="clear"/>
            <w:tcMar>
              <w:top w:type="dxa" w:w="70"/>
              <w:left w:type="dxa" w:w="110"/>
              <w:bottom w:type="dxa" w:w="70"/>
              <w:right w:type="dxa" w:w="110"/>
            </w:tcMar>
          </w:tcPr>
          <w:p>
            <w:r>
              <w:rPr>
                <w:rFonts w:ascii="Arial" w:cs="Arial" w:eastAsia="Arial" w:hAnsi="Arial"/>
                <w:color w:val="1C2535"/>
                <w:sz w:val="20"/>
                <w:szCs w:val="20"/>
              </w:rPr>
              <w:t xml:space="preserve">IA proactiva: proponer sustitución con análisis coste-beneficio</w:t>
            </w:r>
          </w:p>
        </w:tc>
      </w:tr>
    </w:tbl>
    <w:p>
      <w:pPr>
        <w:spacing w:after="120" w:before="120"/>
      </w:pPr>
    </w:p>
    <w:p>
      <w:pPr>
        <w:spacing w:after="120" w:before="240"/>
      </w:pPr>
      <w:r>
        <w:rPr>
          <w:rFonts w:ascii="Arial" w:cs="Arial" w:eastAsia="Arial" w:hAnsi="Arial"/>
          <w:b/>
          <w:bCs/>
          <w:color w:val="1C2535"/>
          <w:sz w:val="26"/>
          <w:szCs w:val="26"/>
        </w:rPr>
        <w:t xml:space="preserve">E.4 Comparativa con PVGIS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A5A96" w:sz="4"/>
              <w:left w:val="single" w:color="1A5A96" w:sz="4"/>
              <w:bottom w:val="none" w:color="FFFFFF" w:sz="0"/>
              <w:right w:val="none" w:color="FFFFFF" w:sz="0"/>
            </w:tcBorders>
            <w:shd w:fill="D5E8F0" w:val="clear"/>
            <w:tcMar>
              <w:top w:type="dxa" w:w="140"/>
              <w:left w:type="dxa" w:w="200"/>
              <w:bottom w:type="dxa" w:w="140"/>
              <w:right w:type="dxa" w:w="200"/>
            </w:tcMar>
          </w:tcPr>
          <w:p>
            <w:r>
              <w:rPr>
                <w:rFonts w:ascii="Arial" w:cs="Arial" w:eastAsia="Arial" w:hAnsi="Arial"/>
                <w:color w:val="1C2535"/>
                <w:sz w:val="21"/>
                <w:szCs w:val="21"/>
              </w:rPr>
              <w:t xml:space="preserve">PVGIS (JRC-European Commission) ofrece estimaciones de producción solar por coordenadas, orientación e inclinación. TrabFlow integra la API PVGIS para: comparar producción real mensual vs. estimada PVGIS para la localización exacta, calcular PR ajustado por irradiancia real, detectar pérdidas anómalas que no se explican por meteorología, y generar gráficos 'real vs. esperado' en informes mensuales.</w:t>
            </w:r>
          </w:p>
        </w:tc>
      </w:tr>
    </w:tbl>
    <w:p>
      <w:pPr>
        <w:spacing w:after="80" w:before="80"/>
      </w:pPr>
    </w:p>
    <w:p>
      <w:pPr>
        <w:spacing w:after="60" w:before="60"/>
      </w:pPr>
      <w:r>
        <w:rPr>
          <w:rFonts w:ascii="Arial" w:cs="Arial" w:eastAsia="Arial" w:hAnsi="Arial"/>
          <w:color w:val="1C2535"/>
          <w:sz w:val="22"/>
          <w:szCs w:val="22"/>
        </w:rPr>
        <w:t xml:space="preserve">Ejemplo: Planta 250 kWp en Sevilla, orientación Sur 30°. PVGIS estima 375.000 kWh/año. TrabFlow mide 355.000 kWh/año. Desviación: -5,3%. IA clasifica: 'Dentro de rango normal (suciedad estacional o temperatura alta). Recomendación: programar limpieza preventiva.'</w:t>
      </w:r>
    </w:p>
    <w:p>
      <w:pPr>
        <w:spacing w:after="120" w:before="120"/>
      </w:pPr>
    </w:p>
    <w:p>
      <w:pPr>
        <w:spacing w:after="120" w:before="240"/>
      </w:pPr>
      <w:r>
        <w:rPr>
          <w:rFonts w:ascii="Arial" w:cs="Arial" w:eastAsia="Arial" w:hAnsi="Arial"/>
          <w:b/>
          <w:bCs/>
          <w:color w:val="1C2535"/>
          <w:sz w:val="26"/>
          <w:szCs w:val="26"/>
        </w:rPr>
        <w:t xml:space="preserve">E.5 Dashboards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Dashboard</w:t>
            </w:r>
          </w:p>
        </w:tc>
        <w:tc>
          <w:tcPr>
            <w:tcW w:type="dxa" w:w="696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Contenido</w:t>
            </w:r>
          </w:p>
        </w:tc>
      </w:tr>
      <w:tr>
        <w:trPr>
          <w:cantSplit/>
        </w:trPr>
        <w:tc>
          <w:tcPr>
            <w:tcW w:type="dxa" w:w="240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r>
              <w:rPr>
                <w:rFonts w:ascii="Arial" w:cs="Arial" w:eastAsia="Arial" w:hAnsi="Arial"/>
                <w:color w:val="1C2535"/>
                <w:sz w:val="20"/>
                <w:szCs w:val="20"/>
              </w:rPr>
              <w:t xml:space="preserve">Instalador (gestión de cartera)</w:t>
            </w:r>
          </w:p>
        </w:tc>
        <w:tc>
          <w:tcPr>
            <w:tcW w:type="dxa" w:w="6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Vista resumen: N plantas activas, producción total hoy/mes/año, alertas activas, contratos venciendo. Vista por planta: KPIs individuales, comparativa PVGIS, histórico incidencias. Mapa de calor: plantas por estado (verde/amarillo/rojo según PR). Ranking de plantas por rendimiento.</w:t>
            </w:r>
          </w:p>
        </w:tc>
      </w:tr>
      <w:tr>
        <w:trPr>
          <w:cantSplit/>
        </w:trPr>
        <w:tc>
          <w:tcPr>
            <w:tcW w:type="dxa" w:w="2400"/>
            <w:tcBorders>
              <w:top w:val="single" w:color="CCCCCC" w:sz="1"/>
              <w:left w:val="single" w:color="CCCCCC" w:sz="1"/>
              <w:bottom w:val="single" w:color="CCCCCC" w:sz="1"/>
              <w:right w:val="single" w:color="CCCCCC" w:sz="1"/>
            </w:tcBorders>
            <w:shd w:fill="FDF3E3" w:val="clear"/>
            <w:tcMar>
              <w:top w:type="dxa" w:w="70"/>
              <w:left w:type="dxa" w:w="110"/>
              <w:bottom w:type="dxa" w:w="70"/>
              <w:right w:type="dxa" w:w="110"/>
            </w:tcMar>
          </w:tcPr>
          <w:p>
            <w:r>
              <w:rPr>
                <w:rFonts w:ascii="Arial" w:cs="Arial" w:eastAsia="Arial" w:hAnsi="Arial"/>
                <w:color w:val="1C2535"/>
                <w:sz w:val="20"/>
                <w:szCs w:val="20"/>
              </w:rPr>
              <w:t xml:space="preserve">Cliente final (portal /mi-planta/{token})</w:t>
            </w:r>
          </w:p>
        </w:tc>
        <w:tc>
          <w:tcPr>
            <w:tcW w:type="dxa" w:w="6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Producción hoy en tiempo real con gráfico por hora. Producción mensual vs. estimada (barra de progreso). Ahorro económico estimado (€/mes, €/año). CO₂ evitado equivalente (kg, árboles equivalentes). Últimas 3 incidencias resueltas. Estado contrato O&amp;M: nivel, próxima visita, técnico asignado.</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none" w:color="FFFFFF" w:sz="0"/>
              <w:bottom w:val="none" w:color="FFFFFF" w:sz="0"/>
              <w:right w:val="none" w:color="FFFFFF" w:sz="0"/>
            </w:tcBorders>
            <w:shd w:fill="1C2535" w:val="clear"/>
            <w:tcMar>
              <w:top w:type="dxa" w:w="160"/>
              <w:left w:type="dxa" w:w="240"/>
              <w:bottom w:type="dxa" w:w="160"/>
              <w:right w:type="dxa" w:w="240"/>
            </w:tcMar>
          </w:tcPr>
          <w:p>
            <w:r>
              <w:rPr>
                <w:rFonts w:ascii="Arial" w:cs="Arial" w:eastAsia="Arial" w:hAnsi="Arial"/>
                <w:b/>
                <w:bCs/>
                <w:color w:val="FFFFFF"/>
                <w:sz w:val="30"/>
                <w:szCs w:val="30"/>
              </w:rPr>
              <w:t xml:space="preserve">F. Modelo Económico de Implementación</w:t>
            </w:r>
          </w:p>
          <w:p>
            <w:r>
              <w:rPr>
                <w:rFonts w:ascii="Arial" w:cs="Arial" w:eastAsia="Arial" w:hAnsi="Arial"/>
                <w:color w:val="D5E8F0"/>
                <w:sz w:val="20"/>
                <w:szCs w:val="20"/>
              </w:rPr>
              <w:t xml:space="preserve">Costes desarrollo · Infraestructura IA · ROI · Break even</w:t>
            </w:r>
          </w:p>
        </w:tc>
      </w:tr>
    </w:tbl>
    <w:p>
      <w:pPr>
        <w:spacing w:after="160" w:before="160"/>
      </w:pPr>
    </w:p>
    <w:p>
      <w:pPr>
        <w:spacing w:after="120" w:before="240"/>
      </w:pPr>
      <w:r>
        <w:rPr>
          <w:rFonts w:ascii="Arial" w:cs="Arial" w:eastAsia="Arial" w:hAnsi="Arial"/>
          <w:b/>
          <w:bCs/>
          <w:color w:val="1C2535"/>
          <w:sz w:val="26"/>
          <w:szCs w:val="26"/>
        </w:rPr>
        <w:t xml:space="preserve">F.1 Estimación de horas de desarrollo</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1760"/>
        <w:gridCol w:w="2000"/>
        <w:gridCol w:w="1200"/>
        <w:gridCol w:w="800"/>
      </w:tblGrid>
      <w:tr>
        <w:trPr>
          <w:cantSplit/>
        </w:trPr>
        <w:tc>
          <w:tcPr>
            <w:tcW w:type="dxa" w:w="34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Módulo / Tarea</w:t>
            </w:r>
          </w:p>
        </w:tc>
        <w:tc>
          <w:tcPr>
            <w:tcW w:type="dxa" w:w="12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Vertical</w:t>
            </w:r>
          </w:p>
        </w:tc>
        <w:tc>
          <w:tcPr>
            <w:tcW w:type="dxa" w:w="176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Horas est.</w:t>
            </w:r>
          </w:p>
        </w:tc>
        <w:tc>
          <w:tcPr>
            <w:tcW w:type="dxa" w:w="20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Perfil</w:t>
            </w:r>
          </w:p>
        </w:tc>
        <w:tc>
          <w:tcPr>
            <w:tcW w:type="dxa" w:w="12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Prioridad</w:t>
            </w:r>
          </w:p>
        </w:tc>
        <w:tc>
          <w:tcPr>
            <w:tcW w:type="dxa" w:w="8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
            </w:r>
          </w:p>
        </w:tc>
      </w:tr>
      <w:tr>
        <w:trPr>
          <w:cantSplit/>
        </w:trPr>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Base Maestra VE (50 actuaciones)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VE</w:t>
            </w:r>
          </w:p>
        </w:tc>
        <w:tc>
          <w:tcPr>
            <w:tcW w:type="dxa" w:w="1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80–120h</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Técnico contenido + IA testing</w:t>
            </w:r>
          </w:p>
        </w:tc>
        <w:tc>
          <w:tcPr>
            <w:tcW w:type="dxa" w:w="1200"/>
            <w:tcBorders>
              <w:top w:val="single" w:color="CCCCCC" w:sz="1"/>
              <w:left w:val="single" w:color="CCCCCC" w:sz="1"/>
              <w:bottom w:val="single" w:color="CCCCCC" w:sz="1"/>
              <w:right w:val="single" w:color="CCCCCC" w:sz="1"/>
            </w:tcBorders>
            <w:shd w:fill="FDEAE5" w:val="clear"/>
            <w:tcMar>
              <w:top w:type="dxa" w:w="70"/>
              <w:left w:type="dxa" w:w="110"/>
              <w:bottom w:type="dxa" w:w="70"/>
              <w:right w:type="dxa" w:w="110"/>
            </w:tcMar>
          </w:tcPr>
          <w:p>
            <w:pPr>
              <w:jc w:val="center"/>
            </w:pPr>
            <w:r>
              <w:rPr>
                <w:rFonts w:ascii="Arial" w:cs="Arial" w:eastAsia="Arial" w:hAnsi="Arial"/>
                <w:color w:val="1C2535"/>
                <w:sz w:val="20"/>
                <w:szCs w:val="20"/>
              </w:rPr>
              <w:t xml:space="preserve">Crítica</w:t>
            </w:r>
          </w:p>
        </w:tc>
        <w:tc>
          <w:tcPr>
            <w:tcW w:type="dxa" w:w="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
            </w:r>
          </w:p>
        </w:tc>
      </w:tr>
      <w:tr>
        <w:trPr>
          <w:cantSplit/>
        </w:trPr>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Base Maestra FV (100 actuaciones)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FV</w:t>
            </w:r>
          </w:p>
        </w:tc>
        <w:tc>
          <w:tcPr>
            <w:tcW w:type="dxa" w:w="1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160–240h</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Técnico contenido + IA testing</w:t>
            </w:r>
          </w:p>
        </w:tc>
        <w:tc>
          <w:tcPr>
            <w:tcW w:type="dxa" w:w="1200"/>
            <w:tcBorders>
              <w:top w:val="single" w:color="CCCCCC" w:sz="1"/>
              <w:left w:val="single" w:color="CCCCCC" w:sz="1"/>
              <w:bottom w:val="single" w:color="CCCCCC" w:sz="1"/>
              <w:right w:val="single" w:color="CCCCCC" w:sz="1"/>
            </w:tcBorders>
            <w:shd w:fill="FDEAE5" w:val="clear"/>
            <w:tcMar>
              <w:top w:type="dxa" w:w="70"/>
              <w:left w:type="dxa" w:w="110"/>
              <w:bottom w:type="dxa" w:w="70"/>
              <w:right w:type="dxa" w:w="110"/>
            </w:tcMar>
          </w:tcPr>
          <w:p>
            <w:pPr>
              <w:jc w:val="center"/>
            </w:pPr>
            <w:r>
              <w:rPr>
                <w:rFonts w:ascii="Arial" w:cs="Arial" w:eastAsia="Arial" w:hAnsi="Arial"/>
                <w:color w:val="1C2535"/>
                <w:sz w:val="20"/>
                <w:szCs w:val="20"/>
              </w:rPr>
              <w:t xml:space="preserve">Crítica</w:t>
            </w:r>
          </w:p>
        </w:tc>
        <w:tc>
          <w:tcPr>
            <w:tcW w:type="dxa" w:w="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
            </w:r>
          </w:p>
        </w:tc>
      </w:tr>
      <w:tr>
        <w:trPr>
          <w:cantSplit/>
        </w:trPr>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Embeddings + colecciones vectoriales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Ambos</w:t>
            </w:r>
          </w:p>
        </w:tc>
        <w:tc>
          <w:tcPr>
            <w:tcW w:type="dxa" w:w="1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20–30h</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Backend developer</w:t>
            </w:r>
          </w:p>
        </w:tc>
        <w:tc>
          <w:tcPr>
            <w:tcW w:type="dxa" w:w="1200"/>
            <w:tcBorders>
              <w:top w:val="single" w:color="CCCCCC" w:sz="1"/>
              <w:left w:val="single" w:color="CCCCCC" w:sz="1"/>
              <w:bottom w:val="single" w:color="CCCCCC" w:sz="1"/>
              <w:right w:val="single" w:color="CCCCCC" w:sz="1"/>
            </w:tcBorders>
            <w:shd w:fill="FDEAE5" w:val="clear"/>
            <w:tcMar>
              <w:top w:type="dxa" w:w="70"/>
              <w:left w:type="dxa" w:w="110"/>
              <w:bottom w:type="dxa" w:w="70"/>
              <w:right w:type="dxa" w:w="110"/>
            </w:tcMar>
          </w:tcPr>
          <w:p>
            <w:pPr>
              <w:jc w:val="center"/>
            </w:pPr>
            <w:r>
              <w:rPr>
                <w:rFonts w:ascii="Arial" w:cs="Arial" w:eastAsia="Arial" w:hAnsi="Arial"/>
                <w:color w:val="1C2535"/>
                <w:sz w:val="20"/>
                <w:szCs w:val="20"/>
              </w:rPr>
              <w:t xml:space="preserve">Crítica</w:t>
            </w:r>
          </w:p>
        </w:tc>
        <w:tc>
          <w:tcPr>
            <w:tcW w:type="dxa" w:w="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
            </w:r>
          </w:p>
        </w:tc>
      </w:tr>
      <w:tr>
        <w:trPr>
          <w:cantSplit/>
        </w:trPr>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Normativa RAG VE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VE</w:t>
            </w:r>
          </w:p>
        </w:tc>
        <w:tc>
          <w:tcPr>
            <w:tcW w:type="dxa" w:w="1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30–50h</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Backend + QA prompts</w:t>
            </w:r>
          </w:p>
        </w:tc>
        <w:tc>
          <w:tcPr>
            <w:tcW w:type="dxa" w:w="120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pPr>
              <w:jc w:val="center"/>
            </w:pPr>
            <w:r>
              <w:rPr>
                <w:rFonts w:ascii="Arial" w:cs="Arial" w:eastAsia="Arial" w:hAnsi="Arial"/>
                <w:color w:val="1C2535"/>
                <w:sz w:val="20"/>
                <w:szCs w:val="20"/>
              </w:rPr>
              <w:t xml:space="preserve">Alta</w:t>
            </w:r>
          </w:p>
        </w:tc>
        <w:tc>
          <w:tcPr>
            <w:tcW w:type="dxa" w:w="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
            </w:r>
          </w:p>
        </w:tc>
      </w:tr>
      <w:tr>
        <w:trPr>
          <w:cantSplit/>
        </w:trPr>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Normativa RAG FV</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FV</w:t>
            </w:r>
          </w:p>
        </w:tc>
        <w:tc>
          <w:tcPr>
            <w:tcW w:type="dxa" w:w="1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40–60h</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Backend + QA prompts</w:t>
            </w:r>
          </w:p>
        </w:tc>
        <w:tc>
          <w:tcPr>
            <w:tcW w:type="dxa" w:w="120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pPr>
              <w:jc w:val="center"/>
            </w:pPr>
            <w:r>
              <w:rPr>
                <w:rFonts w:ascii="Arial" w:cs="Arial" w:eastAsia="Arial" w:hAnsi="Arial"/>
                <w:color w:val="1C2535"/>
                <w:sz w:val="20"/>
                <w:szCs w:val="20"/>
              </w:rPr>
              <w:t xml:space="preserve">Alta</w:t>
            </w:r>
          </w:p>
        </w:tc>
        <w:tc>
          <w:tcPr>
            <w:tcW w:type="dxa" w:w="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
            </w:r>
          </w:p>
        </w:tc>
      </w:tr>
      <w:tr>
        <w:trPr>
          <w:cantSplit/>
        </w:trPr>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Contratos O&amp;M VE (plantillas + lógica)</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VE</w:t>
            </w:r>
          </w:p>
        </w:tc>
        <w:tc>
          <w:tcPr>
            <w:tcW w:type="dxa" w:w="1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30–50h</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Producto + Backend</w:t>
            </w:r>
          </w:p>
        </w:tc>
        <w:tc>
          <w:tcPr>
            <w:tcW w:type="dxa" w:w="120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pPr>
              <w:jc w:val="center"/>
            </w:pPr>
            <w:r>
              <w:rPr>
                <w:rFonts w:ascii="Arial" w:cs="Arial" w:eastAsia="Arial" w:hAnsi="Arial"/>
                <w:color w:val="1C2535"/>
                <w:sz w:val="20"/>
                <w:szCs w:val="20"/>
              </w:rPr>
              <w:t xml:space="preserve">Alta</w:t>
            </w:r>
          </w:p>
        </w:tc>
        <w:tc>
          <w:tcPr>
            <w:tcW w:type="dxa" w:w="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
            </w:r>
          </w:p>
        </w:tc>
      </w:tr>
      <w:tr>
        <w:trPr>
          <w:cantSplit/>
        </w:trPr>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Contratos O&amp;M FV (4 niveles + lógica)</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FV</w:t>
            </w:r>
          </w:p>
        </w:tc>
        <w:tc>
          <w:tcPr>
            <w:tcW w:type="dxa" w:w="1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50–80h</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Producto + Backend</w:t>
            </w:r>
          </w:p>
        </w:tc>
        <w:tc>
          <w:tcPr>
            <w:tcW w:type="dxa" w:w="120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pPr>
              <w:jc w:val="center"/>
            </w:pPr>
            <w:r>
              <w:rPr>
                <w:rFonts w:ascii="Arial" w:cs="Arial" w:eastAsia="Arial" w:hAnsi="Arial"/>
                <w:color w:val="1C2535"/>
                <w:sz w:val="20"/>
                <w:szCs w:val="20"/>
              </w:rPr>
              <w:t xml:space="preserve">Alta</w:t>
            </w:r>
          </w:p>
        </w:tc>
        <w:tc>
          <w:tcPr>
            <w:tcW w:type="dxa" w:w="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
            </w:r>
          </w:p>
        </w:tc>
      </w:tr>
      <w:tr>
        <w:trPr>
          <w:cantSplit/>
        </w:trPr>
        <w:tc>
          <w:tcPr>
            <w:tcW w:type="dxa" w:w="3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pPr>
              <w:jc w:val="center"/>
            </w:pPr>
            <w:r>
              <w:rPr>
                <w:rFonts w:ascii="Arial" w:cs="Arial" w:eastAsia="Arial" w:hAnsi="Arial"/>
                <w:color w:val="1C2535"/>
                <w:sz w:val="20"/>
                <w:szCs w:val="20"/>
              </w:rPr>
              <w:t xml:space="preserve">Integraciones API inversores (3 fab.)</w:t>
            </w:r>
          </w:p>
        </w:tc>
        <w:tc>
          <w:tcPr>
            <w:tcW w:type="dxa" w:w="1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pPr>
              <w:jc w:val="center"/>
            </w:pPr>
            <w:r>
              <w:rPr>
                <w:rFonts w:ascii="Arial" w:cs="Arial" w:eastAsia="Arial" w:hAnsi="Arial"/>
                <w:color w:val="1C2535"/>
                <w:sz w:val="20"/>
                <w:szCs w:val="20"/>
              </w:rPr>
              <w:t xml:space="preserve">FV</w:t>
            </w:r>
          </w:p>
        </w:tc>
        <w:tc>
          <w:tcPr>
            <w:tcW w:type="dxa" w:w="17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pPr>
              <w:jc w:val="center"/>
            </w:pPr>
            <w:r>
              <w:rPr>
                <w:rFonts w:ascii="Arial" w:cs="Arial" w:eastAsia="Arial" w:hAnsi="Arial"/>
                <w:color w:val="1C2535"/>
                <w:sz w:val="20"/>
                <w:szCs w:val="20"/>
              </w:rPr>
              <w:t xml:space="preserve">60–100h</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pPr>
              <w:jc w:val="center"/>
            </w:pPr>
            <w:r>
              <w:rPr>
                <w:rFonts w:ascii="Arial" w:cs="Arial" w:eastAsia="Arial" w:hAnsi="Arial"/>
                <w:color w:val="1C2535"/>
                <w:sz w:val="20"/>
                <w:szCs w:val="20"/>
              </w:rPr>
              <w:t xml:space="preserve">Backend developer</w:t>
            </w:r>
          </w:p>
        </w:tc>
        <w:tc>
          <w:tcPr>
            <w:tcW w:type="dxa" w:w="1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pPr>
              <w:jc w:val="center"/>
            </w:pPr>
            <w:r>
              <w:rPr>
                <w:rFonts w:ascii="Arial" w:cs="Arial" w:eastAsia="Arial" w:hAnsi="Arial"/>
                <w:color w:val="1C2535"/>
                <w:sz w:val="20"/>
                <w:szCs w:val="20"/>
              </w:rPr>
              <w:t xml:space="preserve">Media</w:t>
            </w:r>
          </w:p>
        </w:tc>
        <w:tc>
          <w:tcPr>
            <w:tcW w:type="dxa" w:w="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pPr>
              <w:jc w:val="center"/>
            </w:pPr>
            <w:r>
              <w:rPr>
                <w:rFonts w:ascii="Arial" w:cs="Arial" w:eastAsia="Arial" w:hAnsi="Arial"/>
                <w:color w:val="1C2535"/>
                <w:sz w:val="20"/>
                <w:szCs w:val="20"/>
              </w:rPr>
              <w:t xml:space="preserve"/>
            </w:r>
          </w:p>
        </w:tc>
      </w:tr>
      <w:tr>
        <w:trPr>
          <w:cantSplit/>
        </w:trPr>
        <w:tc>
          <w:tcPr>
            <w:tcW w:type="dxa" w:w="3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pPr>
              <w:jc w:val="center"/>
            </w:pPr>
            <w:r>
              <w:rPr>
                <w:rFonts w:ascii="Arial" w:cs="Arial" w:eastAsia="Arial" w:hAnsi="Arial"/>
                <w:color w:val="1C2535"/>
                <w:sz w:val="20"/>
                <w:szCs w:val="20"/>
              </w:rPr>
              <w:t xml:space="preserve">Módulo Monitorización (dashboard + KPIs)</w:t>
            </w:r>
          </w:p>
        </w:tc>
        <w:tc>
          <w:tcPr>
            <w:tcW w:type="dxa" w:w="1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pPr>
              <w:jc w:val="center"/>
            </w:pPr>
            <w:r>
              <w:rPr>
                <w:rFonts w:ascii="Arial" w:cs="Arial" w:eastAsia="Arial" w:hAnsi="Arial"/>
                <w:color w:val="1C2535"/>
                <w:sz w:val="20"/>
                <w:szCs w:val="20"/>
              </w:rPr>
              <w:t xml:space="preserve">FV</w:t>
            </w:r>
          </w:p>
        </w:tc>
        <w:tc>
          <w:tcPr>
            <w:tcW w:type="dxa" w:w="17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pPr>
              <w:jc w:val="center"/>
            </w:pPr>
            <w:r>
              <w:rPr>
                <w:rFonts w:ascii="Arial" w:cs="Arial" w:eastAsia="Arial" w:hAnsi="Arial"/>
                <w:color w:val="1C2535"/>
                <w:sz w:val="20"/>
                <w:szCs w:val="20"/>
              </w:rPr>
              <w:t xml:space="preserve">80–120h</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pPr>
              <w:jc w:val="center"/>
            </w:pPr>
            <w:r>
              <w:rPr>
                <w:rFonts w:ascii="Arial" w:cs="Arial" w:eastAsia="Arial" w:hAnsi="Arial"/>
                <w:color w:val="1C2535"/>
                <w:sz w:val="20"/>
                <w:szCs w:val="20"/>
              </w:rPr>
              <w:t xml:space="preserve">Frontend + Backend</w:t>
            </w:r>
          </w:p>
        </w:tc>
        <w:tc>
          <w:tcPr>
            <w:tcW w:type="dxa" w:w="1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pPr>
              <w:jc w:val="center"/>
            </w:pPr>
            <w:r>
              <w:rPr>
                <w:rFonts w:ascii="Arial" w:cs="Arial" w:eastAsia="Arial" w:hAnsi="Arial"/>
                <w:color w:val="1C2535"/>
                <w:sz w:val="20"/>
                <w:szCs w:val="20"/>
              </w:rPr>
              <w:t xml:space="preserve">Media</w:t>
            </w:r>
          </w:p>
        </w:tc>
        <w:tc>
          <w:tcPr>
            <w:tcW w:type="dxa" w:w="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pPr>
              <w:jc w:val="center"/>
            </w:pPr>
            <w:r>
              <w:rPr>
                <w:rFonts w:ascii="Arial" w:cs="Arial" w:eastAsia="Arial" w:hAnsi="Arial"/>
                <w:color w:val="1C2535"/>
                <w:sz w:val="20"/>
                <w:szCs w:val="20"/>
              </w:rPr>
              <w:t xml:space="preserve"/>
            </w:r>
          </w:p>
        </w:tc>
      </w:tr>
      <w:tr>
        <w:trPr>
          <w:cantSplit/>
        </w:trPr>
        <w:tc>
          <w:tcPr>
            <w:tcW w:type="dxa" w:w="3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pPr>
              <w:jc w:val="center"/>
            </w:pPr>
            <w:r>
              <w:rPr>
                <w:rFonts w:ascii="Arial" w:cs="Arial" w:eastAsia="Arial" w:hAnsi="Arial"/>
                <w:color w:val="1C2535"/>
                <w:sz w:val="20"/>
                <w:szCs w:val="20"/>
              </w:rPr>
              <w:t xml:space="preserve">Automatizaciones IA (triggers + crons)</w:t>
            </w:r>
          </w:p>
        </w:tc>
        <w:tc>
          <w:tcPr>
            <w:tcW w:type="dxa" w:w="1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pPr>
              <w:jc w:val="center"/>
            </w:pPr>
            <w:r>
              <w:rPr>
                <w:rFonts w:ascii="Arial" w:cs="Arial" w:eastAsia="Arial" w:hAnsi="Arial"/>
                <w:color w:val="1C2535"/>
                <w:sz w:val="20"/>
                <w:szCs w:val="20"/>
              </w:rPr>
              <w:t xml:space="preserve">Ambos</w:t>
            </w:r>
          </w:p>
        </w:tc>
        <w:tc>
          <w:tcPr>
            <w:tcW w:type="dxa" w:w="17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pPr>
              <w:jc w:val="center"/>
            </w:pPr>
            <w:r>
              <w:rPr>
                <w:rFonts w:ascii="Arial" w:cs="Arial" w:eastAsia="Arial" w:hAnsi="Arial"/>
                <w:color w:val="1C2535"/>
                <w:sz w:val="20"/>
                <w:szCs w:val="20"/>
              </w:rPr>
              <w:t xml:space="preserve">40–60h</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pPr>
              <w:jc w:val="center"/>
            </w:pPr>
            <w:r>
              <w:rPr>
                <w:rFonts w:ascii="Arial" w:cs="Arial" w:eastAsia="Arial" w:hAnsi="Arial"/>
                <w:color w:val="1C2535"/>
                <w:sz w:val="20"/>
                <w:szCs w:val="20"/>
              </w:rPr>
              <w:t xml:space="preserve">Backend developer</w:t>
            </w:r>
          </w:p>
        </w:tc>
        <w:tc>
          <w:tcPr>
            <w:tcW w:type="dxa" w:w="1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pPr>
              <w:jc w:val="center"/>
            </w:pPr>
            <w:r>
              <w:rPr>
                <w:rFonts w:ascii="Arial" w:cs="Arial" w:eastAsia="Arial" w:hAnsi="Arial"/>
                <w:color w:val="1C2535"/>
                <w:sz w:val="20"/>
                <w:szCs w:val="20"/>
              </w:rPr>
              <w:t xml:space="preserve">Media</w:t>
            </w:r>
          </w:p>
        </w:tc>
        <w:tc>
          <w:tcPr>
            <w:tcW w:type="dxa" w:w="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pPr>
              <w:jc w:val="center"/>
            </w:pPr>
            <w:r>
              <w:rPr>
                <w:rFonts w:ascii="Arial" w:cs="Arial" w:eastAsia="Arial" w:hAnsi="Arial"/>
                <w:color w:val="1C2535"/>
                <w:sz w:val="20"/>
                <w:szCs w:val="20"/>
              </w:rPr>
              <w:t xml:space="preserve"/>
            </w:r>
          </w:p>
        </w:tc>
      </w:tr>
      <w:tr>
        <w:trPr>
          <w:cantSplit/>
        </w:trPr>
        <w:tc>
          <w:tcPr>
            <w:tcW w:type="dxa" w:w="3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pPr>
              <w:jc w:val="center"/>
            </w:pPr>
            <w:r>
              <w:rPr>
                <w:rFonts w:ascii="Arial" w:cs="Arial" w:eastAsia="Arial" w:hAnsi="Arial"/>
                <w:color w:val="1C2535"/>
                <w:sz w:val="20"/>
                <w:szCs w:val="20"/>
              </w:rPr>
              <w:t xml:space="preserve">Portal cliente público (/mi-planta)</w:t>
            </w:r>
          </w:p>
        </w:tc>
        <w:tc>
          <w:tcPr>
            <w:tcW w:type="dxa" w:w="1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pPr>
              <w:jc w:val="center"/>
            </w:pPr>
            <w:r>
              <w:rPr>
                <w:rFonts w:ascii="Arial" w:cs="Arial" w:eastAsia="Arial" w:hAnsi="Arial"/>
                <w:color w:val="1C2535"/>
                <w:sz w:val="20"/>
                <w:szCs w:val="20"/>
              </w:rPr>
              <w:t xml:space="preserve">FV</w:t>
            </w:r>
          </w:p>
        </w:tc>
        <w:tc>
          <w:tcPr>
            <w:tcW w:type="dxa" w:w="17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pPr>
              <w:jc w:val="center"/>
            </w:pPr>
            <w:r>
              <w:rPr>
                <w:rFonts w:ascii="Arial" w:cs="Arial" w:eastAsia="Arial" w:hAnsi="Arial"/>
                <w:color w:val="1C2535"/>
                <w:sz w:val="20"/>
                <w:szCs w:val="20"/>
              </w:rPr>
              <w:t xml:space="preserve">30–50h</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pPr>
              <w:jc w:val="center"/>
            </w:pPr>
            <w:r>
              <w:rPr>
                <w:rFonts w:ascii="Arial" w:cs="Arial" w:eastAsia="Arial" w:hAnsi="Arial"/>
                <w:color w:val="1C2535"/>
                <w:sz w:val="20"/>
                <w:szCs w:val="20"/>
              </w:rPr>
              <w:t xml:space="preserve">Frontend developer</w:t>
            </w:r>
          </w:p>
        </w:tc>
        <w:tc>
          <w:tcPr>
            <w:tcW w:type="dxa" w:w="1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pPr>
              <w:jc w:val="center"/>
            </w:pPr>
            <w:r>
              <w:rPr>
                <w:rFonts w:ascii="Arial" w:cs="Arial" w:eastAsia="Arial" w:hAnsi="Arial"/>
                <w:color w:val="1C2535"/>
                <w:sz w:val="20"/>
                <w:szCs w:val="20"/>
              </w:rPr>
              <w:t xml:space="preserve">Media</w:t>
            </w:r>
          </w:p>
        </w:tc>
        <w:tc>
          <w:tcPr>
            <w:tcW w:type="dxa" w:w="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pPr>
              <w:jc w:val="center"/>
            </w:pPr>
            <w:r>
              <w:rPr>
                <w:rFonts w:ascii="Arial" w:cs="Arial" w:eastAsia="Arial" w:hAnsi="Arial"/>
                <w:color w:val="1C2535"/>
                <w:sz w:val="20"/>
                <w:szCs w:val="20"/>
              </w:rPr>
              <w:t xml:space="preserve"/>
            </w:r>
          </w:p>
        </w:tc>
      </w:tr>
      <w:tr>
        <w:trPr>
          <w:cantSplit/>
        </w:trPr>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TOTAL ESTIMADO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Ambos</w:t>
            </w:r>
          </w:p>
        </w:tc>
        <w:tc>
          <w:tcPr>
            <w:tcW w:type="dxa" w:w="1760"/>
            <w:tcBorders>
              <w:top w:val="single" w:color="CCCCCC" w:sz="1"/>
              <w:left w:val="single" w:color="CCCCCC" w:sz="1"/>
              <w:bottom w:val="single" w:color="CCCCCC" w:sz="1"/>
              <w:right w:val="single" w:color="CCCCCC" w:sz="1"/>
            </w:tcBorders>
            <w:shd w:fill="FDF3E3" w:val="clear"/>
            <w:tcMar>
              <w:top w:type="dxa" w:w="70"/>
              <w:left w:type="dxa" w:w="110"/>
              <w:bottom w:type="dxa" w:w="70"/>
              <w:right w:type="dxa" w:w="110"/>
            </w:tcMar>
          </w:tcPr>
          <w:p>
            <w:pPr>
              <w:jc w:val="center"/>
            </w:pPr>
            <w:r>
              <w:rPr>
                <w:rFonts w:ascii="Arial" w:cs="Arial" w:eastAsia="Arial" w:hAnsi="Arial"/>
                <w:color w:val="1C2535"/>
                <w:sz w:val="20"/>
                <w:szCs w:val="20"/>
              </w:rPr>
              <w:t xml:space="preserve">640–990h</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
            </w:r>
          </w:p>
        </w:tc>
      </w:tr>
    </w:tbl>
    <w:p>
      <w:pPr>
        <w:spacing w:after="120" w:before="120"/>
      </w:pPr>
    </w:p>
    <w:p>
      <w:pPr>
        <w:spacing w:after="120" w:before="240"/>
      </w:pPr>
      <w:r>
        <w:rPr>
          <w:rFonts w:ascii="Arial" w:cs="Arial" w:eastAsia="Arial" w:hAnsi="Arial"/>
          <w:b/>
          <w:bCs/>
          <w:color w:val="1C2535"/>
          <w:sz w:val="26"/>
          <w:szCs w:val="26"/>
        </w:rPr>
        <w:t xml:space="preserve">F.3 Coste de infraestructura IA mensual (100 usuarios)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560"/>
        <w:gridCol w:w="1200"/>
        <w:gridCol w:w="2400"/>
      </w:tblGrid>
      <w:tr>
        <w:trPr>
          <w:cantSplit/>
        </w:trPr>
        <w:tc>
          <w:tcPr>
            <w:tcW w:type="dxa" w:w="32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Componente</w:t>
            </w:r>
          </w:p>
        </w:tc>
        <w:tc>
          <w:tcPr>
            <w:tcW w:type="dxa" w:w="256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Uso estimado/mes</w:t>
            </w:r>
          </w:p>
        </w:tc>
        <w:tc>
          <w:tcPr>
            <w:tcW w:type="dxa" w:w="12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Coste unitario</w:t>
            </w:r>
          </w:p>
        </w:tc>
        <w:tc>
          <w:tcPr>
            <w:tcW w:type="dxa" w:w="24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Coste mensual est.</w:t>
            </w:r>
          </w:p>
        </w:tc>
      </w:tr>
      <w:tr>
        <w:trPr>
          <w:cantSplit/>
        </w:trPr>
        <w:tc>
          <w:tcPr>
            <w:tcW w:type="dxa" w:w="3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OpenAI GPT-4o mini (generación presupuestos)</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500.000 tokens/mes</w:t>
            </w:r>
          </w:p>
        </w:tc>
        <w:tc>
          <w:tcPr>
            <w:tcW w:type="dxa" w:w="1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€0.15/1M input</w:t>
            </w:r>
          </w:p>
        </w:tc>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€0.08/mes</w:t>
            </w:r>
          </w:p>
        </w:tc>
      </w:tr>
      <w:tr>
        <w:trPr>
          <w:cantSplit/>
        </w:trPr>
        <w:tc>
          <w:tcPr>
            <w:tcW w:type="dxa" w:w="3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OpenAI Whisper (transcripción voz)</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200 minutos/mes</w:t>
            </w:r>
          </w:p>
        </w:tc>
        <w:tc>
          <w:tcPr>
            <w:tcW w:type="dxa" w:w="1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€0.006/min</w:t>
            </w:r>
          </w:p>
        </w:tc>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€1.20/mes</w:t>
            </w:r>
          </w:p>
        </w:tc>
      </w:tr>
      <w:tr>
        <w:trPr>
          <w:cantSplit/>
        </w:trPr>
        <w:tc>
          <w:tcPr>
            <w:tcW w:type="dxa" w:w="3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Voyage AI embeddings (búsqueda actuaciones)</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2M tokens/mes</w:t>
            </w:r>
          </w:p>
        </w:tc>
        <w:tc>
          <w:tcPr>
            <w:tcW w:type="dxa" w:w="1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€0.02/1M</w:t>
            </w:r>
          </w:p>
        </w:tc>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€0.04/mes</w:t>
            </w:r>
          </w:p>
        </w:tc>
      </w:tr>
      <w:tr>
        <w:trPr>
          <w:cantSplit/>
        </w:trPr>
        <w:tc>
          <w:tcPr>
            <w:tcW w:type="dxa" w:w="3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Supabase Pro (DB + Edge Functions + Storage)</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Plan Pro</w:t>
            </w:r>
          </w:p>
        </w:tc>
        <w:tc>
          <w:tcPr>
            <w:tcW w:type="dxa" w:w="1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€25/mes flat</w:t>
            </w:r>
          </w:p>
        </w:tc>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€25/mes</w:t>
            </w:r>
          </w:p>
        </w:tc>
      </w:tr>
      <w:tr>
        <w:trPr>
          <w:cantSplit/>
        </w:trPr>
        <w:tc>
          <w:tcPr>
            <w:tcW w:type="dxa" w:w="3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APIs inversores (polling 15min × 100 plantas)</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Incluido en fabricante</w:t>
            </w:r>
          </w:p>
        </w:tc>
        <w:tc>
          <w:tcPr>
            <w:tcW w:type="dxa" w:w="1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€0</w:t>
            </w:r>
          </w:p>
        </w:tc>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€0</w:t>
            </w:r>
          </w:p>
        </w:tc>
      </w:tr>
      <w:tr>
        <w:trPr>
          <w:cantSplit/>
        </w:trPr>
        <w:tc>
          <w:tcPr>
            <w:tcW w:type="dxa" w:w="3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Crons automatizaciones (pg_cron)</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Incluido en Supabase Pro</w:t>
            </w:r>
          </w:p>
        </w:tc>
        <w:tc>
          <w:tcPr>
            <w:tcW w:type="dxa" w:w="1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€0</w:t>
            </w:r>
          </w:p>
        </w:tc>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€0</w:t>
            </w:r>
          </w:p>
        </w:tc>
      </w:tr>
      <w:tr>
        <w:trPr>
          <w:cantSplit/>
        </w:trPr>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TOTAL infraestructura IA/mes (100 usuarios)</w:t>
            </w:r>
          </w:p>
        </w:tc>
        <w:tc>
          <w:tcPr>
            <w:tcW w:type="dxa" w:w="2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w:t>
            </w:r>
          </w:p>
        </w:tc>
        <w:tc>
          <w:tcPr>
            <w:tcW w:type="dxa" w:w="2400"/>
            <w:tcBorders>
              <w:top w:val="single" w:color="CCCCCC" w:sz="1"/>
              <w:left w:val="single" w:color="CCCCCC" w:sz="1"/>
              <w:bottom w:val="single" w:color="CCCCCC" w:sz="1"/>
              <w:right w:val="single" w:color="CCCCCC" w:sz="1"/>
            </w:tcBorders>
            <w:shd w:fill="D8F3DC" w:val="clear"/>
            <w:tcMar>
              <w:top w:type="dxa" w:w="70"/>
              <w:left w:type="dxa" w:w="110"/>
              <w:bottom w:type="dxa" w:w="70"/>
              <w:right w:type="dxa" w:w="110"/>
            </w:tcMar>
          </w:tcPr>
          <w:p>
            <w:r>
              <w:rPr>
                <w:rFonts w:ascii="Arial" w:cs="Arial" w:eastAsia="Arial" w:hAnsi="Arial"/>
                <w:color w:val="1C2535"/>
                <w:sz w:val="20"/>
                <w:szCs w:val="20"/>
              </w:rPr>
              <w:t xml:space="preserve">~€26–€35/mes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2D6A4F" w:sz="4"/>
              <w:left w:val="single" w:color="2D6A4F" w:sz="4"/>
              <w:bottom w:val="none" w:color="FFFFFF" w:sz="0"/>
              <w:right w:val="none" w:color="FFFFFF" w:sz="0"/>
            </w:tcBorders>
            <w:shd w:fill="D8F3DC" w:val="clear"/>
            <w:tcMar>
              <w:top w:type="dxa" w:w="140"/>
              <w:left w:type="dxa" w:w="200"/>
              <w:bottom w:type="dxa" w:w="140"/>
              <w:right w:type="dxa" w:w="200"/>
            </w:tcMar>
          </w:tcPr>
          <w:p>
            <w:r>
              <w:rPr>
                <w:rFonts w:ascii="Arial" w:cs="Arial" w:eastAsia="Arial" w:hAnsi="Arial"/>
                <w:color w:val="1C2535"/>
                <w:sz w:val="21"/>
                <w:szCs w:val="21"/>
              </w:rPr>
              <w:t xml:space="preserve">Coste marginal de IA por usuario: &lt; €0,35/mes. Con plan base €49/mes el margen bruto de infraestructura supera el 99%. El coste no es infraestructura — es desarrollo y contenido.</w:t>
            </w:r>
          </w:p>
        </w:tc>
      </w:tr>
    </w:tbl>
    <w:p>
      <w:pPr>
        <w:spacing w:after="120" w:before="120"/>
      </w:pPr>
    </w:p>
    <w:p>
      <w:pPr>
        <w:spacing w:after="120" w:before="240"/>
      </w:pPr>
      <w:r>
        <w:rPr>
          <w:rFonts w:ascii="Arial" w:cs="Arial" w:eastAsia="Arial" w:hAnsi="Arial"/>
          <w:b/>
          <w:bCs/>
          <w:color w:val="1C2535"/>
          <w:sz w:val="26"/>
          <w:szCs w:val="26"/>
        </w:rPr>
        <w:t xml:space="preserve">F.4 Coste Base Maestra</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760"/>
        <w:gridCol w:w="1760"/>
        <w:gridCol w:w="1440"/>
        <w:gridCol w:w="1600"/>
      </w:tblGrid>
      <w:tr>
        <w:trPr>
          <w:cantSplit/>
        </w:trPr>
        <w:tc>
          <w:tcPr>
            <w:tcW w:type="dxa" w:w="16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Vertical</w:t>
            </w:r>
          </w:p>
        </w:tc>
        <w:tc>
          <w:tcPr>
            <w:tcW w:type="dxa" w:w="12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Actuaciones</w:t>
            </w:r>
          </w:p>
        </w:tc>
        <w:tc>
          <w:tcPr>
            <w:tcW w:type="dxa" w:w="176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Horas redacción</w:t>
            </w:r>
          </w:p>
        </w:tc>
        <w:tc>
          <w:tcPr>
            <w:tcW w:type="dxa" w:w="176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Horas IA testing</w:t>
            </w:r>
          </w:p>
        </w:tc>
        <w:tc>
          <w:tcPr>
            <w:tcW w:type="dxa" w:w="144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Embeddings (1 vez)</w:t>
            </w:r>
          </w:p>
        </w:tc>
        <w:tc>
          <w:tcPr>
            <w:tcW w:type="dxa" w:w="16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Mantenimiento/año</w:t>
            </w:r>
          </w:p>
        </w:tc>
      </w:tr>
      <w:tr>
        <w:trPr>
          <w:cantSplit/>
        </w:trPr>
        <w:tc>
          <w:tcPr>
            <w:tcW w:type="dxa" w:w="1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pPr>
              <w:jc w:val="center"/>
            </w:pPr>
            <w:r>
              <w:rPr>
                <w:rFonts w:ascii="Arial" w:cs="Arial" w:eastAsia="Arial" w:hAnsi="Arial"/>
                <w:color w:val="1C2535"/>
                <w:sz w:val="20"/>
                <w:szCs w:val="20"/>
              </w:rPr>
              <w:t xml:space="preserve">VE</w:t>
            </w:r>
          </w:p>
        </w:tc>
        <w:tc>
          <w:tcPr>
            <w:tcW w:type="dxa" w:w="1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pPr>
              <w:jc w:val="center"/>
            </w:pPr>
            <w:r>
              <w:rPr>
                <w:rFonts w:ascii="Arial" w:cs="Arial" w:eastAsia="Arial" w:hAnsi="Arial"/>
                <w:color w:val="1C2535"/>
                <w:sz w:val="20"/>
                <w:szCs w:val="20"/>
              </w:rPr>
              <w:t xml:space="preserve">50</w:t>
            </w:r>
          </w:p>
        </w:tc>
        <w:tc>
          <w:tcPr>
            <w:tcW w:type="dxa" w:w="17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pPr>
              <w:jc w:val="center"/>
            </w:pPr>
            <w:r>
              <w:rPr>
                <w:rFonts w:ascii="Arial" w:cs="Arial" w:eastAsia="Arial" w:hAnsi="Arial"/>
                <w:color w:val="1C2535"/>
                <w:sz w:val="20"/>
                <w:szCs w:val="20"/>
              </w:rPr>
              <w:t xml:space="preserve">60h</w:t>
            </w:r>
          </w:p>
        </w:tc>
        <w:tc>
          <w:tcPr>
            <w:tcW w:type="dxa" w:w="17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pPr>
              <w:jc w:val="center"/>
            </w:pPr>
            <w:r>
              <w:rPr>
                <w:rFonts w:ascii="Arial" w:cs="Arial" w:eastAsia="Arial" w:hAnsi="Arial"/>
                <w:color w:val="1C2535"/>
                <w:sz w:val="20"/>
                <w:szCs w:val="20"/>
              </w:rPr>
              <w:t xml:space="preserve">20h</w:t>
            </w:r>
          </w:p>
        </w:tc>
        <w:tc>
          <w:tcPr>
            <w:tcW w:type="dxa" w:w="144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pPr>
              <w:jc w:val="center"/>
            </w:pPr>
            <w:r>
              <w:rPr>
                <w:rFonts w:ascii="Arial" w:cs="Arial" w:eastAsia="Arial" w:hAnsi="Arial"/>
                <w:color w:val="1C2535"/>
                <w:sz w:val="20"/>
                <w:szCs w:val="20"/>
              </w:rPr>
              <w:t xml:space="preserve">&lt; €1</w:t>
            </w:r>
          </w:p>
        </w:tc>
        <w:tc>
          <w:tcPr>
            <w:tcW w:type="dxa" w:w="1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pPr>
              <w:jc w:val="center"/>
            </w:pPr>
            <w:r>
              <w:rPr>
                <w:rFonts w:ascii="Arial" w:cs="Arial" w:eastAsia="Arial" w:hAnsi="Arial"/>
                <w:color w:val="1C2535"/>
                <w:sz w:val="20"/>
                <w:szCs w:val="20"/>
              </w:rPr>
              <w:t xml:space="preserve">10h/año (nuevas normas)</w:t>
            </w:r>
          </w:p>
        </w:tc>
      </w:tr>
      <w:tr>
        <w:trPr>
          <w:cantSplit/>
        </w:trPr>
        <w:tc>
          <w:tcPr>
            <w:tcW w:type="dxa" w:w="1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pPr>
              <w:jc w:val="center"/>
            </w:pPr>
            <w:r>
              <w:rPr>
                <w:rFonts w:ascii="Arial" w:cs="Arial" w:eastAsia="Arial" w:hAnsi="Arial"/>
                <w:color w:val="1C2535"/>
                <w:sz w:val="20"/>
                <w:szCs w:val="20"/>
              </w:rPr>
              <w:t xml:space="preserve">FV Industrial</w:t>
            </w:r>
          </w:p>
        </w:tc>
        <w:tc>
          <w:tcPr>
            <w:tcW w:type="dxa" w:w="1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pPr>
              <w:jc w:val="center"/>
            </w:pPr>
            <w:r>
              <w:rPr>
                <w:rFonts w:ascii="Arial" w:cs="Arial" w:eastAsia="Arial" w:hAnsi="Arial"/>
                <w:color w:val="1C2535"/>
                <w:sz w:val="20"/>
                <w:szCs w:val="20"/>
              </w:rPr>
              <w:t xml:space="preserve">100</w:t>
            </w:r>
          </w:p>
        </w:tc>
        <w:tc>
          <w:tcPr>
            <w:tcW w:type="dxa" w:w="17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pPr>
              <w:jc w:val="center"/>
            </w:pPr>
            <w:r>
              <w:rPr>
                <w:rFonts w:ascii="Arial" w:cs="Arial" w:eastAsia="Arial" w:hAnsi="Arial"/>
                <w:color w:val="1C2535"/>
                <w:sz w:val="20"/>
                <w:szCs w:val="20"/>
              </w:rPr>
              <w:t xml:space="preserve">120h</w:t>
            </w:r>
          </w:p>
        </w:tc>
        <w:tc>
          <w:tcPr>
            <w:tcW w:type="dxa" w:w="17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pPr>
              <w:jc w:val="center"/>
            </w:pPr>
            <w:r>
              <w:rPr>
                <w:rFonts w:ascii="Arial" w:cs="Arial" w:eastAsia="Arial" w:hAnsi="Arial"/>
                <w:color w:val="1C2535"/>
                <w:sz w:val="20"/>
                <w:szCs w:val="20"/>
              </w:rPr>
              <w:t xml:space="preserve">40h</w:t>
            </w:r>
          </w:p>
        </w:tc>
        <w:tc>
          <w:tcPr>
            <w:tcW w:type="dxa" w:w="144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pPr>
              <w:jc w:val="center"/>
            </w:pPr>
            <w:r>
              <w:rPr>
                <w:rFonts w:ascii="Arial" w:cs="Arial" w:eastAsia="Arial" w:hAnsi="Arial"/>
                <w:color w:val="1C2535"/>
                <w:sz w:val="20"/>
                <w:szCs w:val="20"/>
              </w:rPr>
              <w:t xml:space="preserve">&lt; €2</w:t>
            </w:r>
          </w:p>
        </w:tc>
        <w:tc>
          <w:tcPr>
            <w:tcW w:type="dxa" w:w="1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pPr>
              <w:jc w:val="center"/>
            </w:pPr>
            <w:r>
              <w:rPr>
                <w:rFonts w:ascii="Arial" w:cs="Arial" w:eastAsia="Arial" w:hAnsi="Arial"/>
                <w:color w:val="1C2535"/>
                <w:sz w:val="20"/>
                <w:szCs w:val="20"/>
              </w:rPr>
              <w:t xml:space="preserve">20h/año (IEC actualizaciones)</w:t>
            </w:r>
          </w:p>
        </w:tc>
      </w:tr>
      <w:tr>
        <w:trPr>
          <w:cantSplit/>
        </w:trPr>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TOTAL</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150</w:t>
            </w:r>
          </w:p>
        </w:tc>
        <w:tc>
          <w:tcPr>
            <w:tcW w:type="dxa" w:w="1760"/>
            <w:tcBorders>
              <w:top w:val="single" w:color="CCCCCC" w:sz="1"/>
              <w:left w:val="single" w:color="CCCCCC" w:sz="1"/>
              <w:bottom w:val="single" w:color="CCCCCC" w:sz="1"/>
              <w:right w:val="single" w:color="CCCCCC" w:sz="1"/>
            </w:tcBorders>
            <w:shd w:fill="FDF3E3" w:val="clear"/>
            <w:tcMar>
              <w:top w:type="dxa" w:w="70"/>
              <w:left w:type="dxa" w:w="110"/>
              <w:bottom w:type="dxa" w:w="70"/>
              <w:right w:type="dxa" w:w="110"/>
            </w:tcMar>
          </w:tcPr>
          <w:p>
            <w:pPr>
              <w:jc w:val="center"/>
            </w:pPr>
            <w:r>
              <w:rPr>
                <w:rFonts w:ascii="Arial" w:cs="Arial" w:eastAsia="Arial" w:hAnsi="Arial"/>
                <w:color w:val="1C2535"/>
                <w:sz w:val="20"/>
                <w:szCs w:val="20"/>
              </w:rPr>
              <w:t xml:space="preserve">180h</w:t>
            </w:r>
          </w:p>
        </w:tc>
        <w:tc>
          <w:tcPr>
            <w:tcW w:type="dxa" w:w="1760"/>
            <w:tcBorders>
              <w:top w:val="single" w:color="CCCCCC" w:sz="1"/>
              <w:left w:val="single" w:color="CCCCCC" w:sz="1"/>
              <w:bottom w:val="single" w:color="CCCCCC" w:sz="1"/>
              <w:right w:val="single" w:color="CCCCCC" w:sz="1"/>
            </w:tcBorders>
            <w:shd w:fill="FDF3E3" w:val="clear"/>
            <w:tcMar>
              <w:top w:type="dxa" w:w="70"/>
              <w:left w:type="dxa" w:w="110"/>
              <w:bottom w:type="dxa" w:w="70"/>
              <w:right w:type="dxa" w:w="110"/>
            </w:tcMar>
          </w:tcPr>
          <w:p>
            <w:pPr>
              <w:jc w:val="center"/>
            </w:pPr>
            <w:r>
              <w:rPr>
                <w:rFonts w:ascii="Arial" w:cs="Arial" w:eastAsia="Arial" w:hAnsi="Arial"/>
                <w:color w:val="1C2535"/>
                <w:sz w:val="20"/>
                <w:szCs w:val="20"/>
              </w:rPr>
              <w:t xml:space="preserve">60h</w:t>
            </w:r>
          </w:p>
        </w:tc>
        <w:tc>
          <w:tcPr>
            <w:tcW w:type="dxa" w:w="1440"/>
            <w:tcBorders>
              <w:top w:val="single" w:color="CCCCCC" w:sz="1"/>
              <w:left w:val="single" w:color="CCCCCC" w:sz="1"/>
              <w:bottom w:val="single" w:color="CCCCCC" w:sz="1"/>
              <w:right w:val="single" w:color="CCCCCC" w:sz="1"/>
            </w:tcBorders>
            <w:shd w:fill="D8F3DC" w:val="clear"/>
            <w:tcMar>
              <w:top w:type="dxa" w:w="70"/>
              <w:left w:type="dxa" w:w="110"/>
              <w:bottom w:type="dxa" w:w="70"/>
              <w:right w:type="dxa" w:w="110"/>
            </w:tcMar>
          </w:tcPr>
          <w:p>
            <w:pPr>
              <w:jc w:val="center"/>
            </w:pPr>
            <w:r>
              <w:rPr>
                <w:rFonts w:ascii="Arial" w:cs="Arial" w:eastAsia="Arial" w:hAnsi="Arial"/>
                <w:color w:val="1C2535"/>
                <w:sz w:val="20"/>
                <w:szCs w:val="20"/>
              </w:rPr>
              <w:t xml:space="preserve">&lt; €3</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30h/año</w:t>
            </w:r>
          </w:p>
        </w:tc>
      </w:tr>
    </w:tbl>
    <w:p>
      <w:pPr>
        <w:spacing w:after="120" w:before="120"/>
      </w:pPr>
    </w:p>
    <w:p>
      <w:pPr>
        <w:spacing w:after="120" w:before="240"/>
      </w:pPr>
      <w:r>
        <w:rPr>
          <w:rFonts w:ascii="Arial" w:cs="Arial" w:eastAsia="Arial" w:hAnsi="Arial"/>
          <w:b/>
          <w:bCs/>
          <w:color w:val="1C2535"/>
          <w:sz w:val="26"/>
          <w:szCs w:val="26"/>
        </w:rPr>
        <w:t xml:space="preserve">F.5 ROI y Break Even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160"/>
        <w:gridCol w:w="1600"/>
        <w:gridCol w:w="1400"/>
      </w:tblGrid>
      <w:tr>
        <w:trPr>
          <w:cantSplit/>
        </w:trPr>
        <w:tc>
          <w:tcPr>
            <w:tcW w:type="dxa" w:w="24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Escenario</w:t>
            </w:r>
          </w:p>
        </w:tc>
        <w:tc>
          <w:tcPr>
            <w:tcW w:type="dxa" w:w="18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Inversión total</w:t>
            </w:r>
          </w:p>
        </w:tc>
        <w:tc>
          <w:tcPr>
            <w:tcW w:type="dxa" w:w="216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ARR objetivo (Año 2)</w:t>
            </w:r>
          </w:p>
        </w:tc>
        <w:tc>
          <w:tcPr>
            <w:tcW w:type="dxa" w:w="16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Break even</w:t>
            </w:r>
          </w:p>
        </w:tc>
        <w:tc>
          <w:tcPr>
            <w:tcW w:type="dxa" w:w="14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ROI a 3 años</w:t>
            </w:r>
          </w:p>
        </w:tc>
      </w:tr>
      <w:tr>
        <w:trPr>
          <w:cantSplit/>
        </w:trP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Conservador (50% interno)</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€16.500</w:t>
            </w:r>
          </w:p>
        </w:tc>
        <w:tc>
          <w:tcPr>
            <w:tcW w:type="dxa" w:w="2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€100.000</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~2 meses ARR</w:t>
            </w:r>
          </w:p>
        </w:tc>
        <w:tc>
          <w:tcPr>
            <w:tcW w:type="dxa" w:w="1400"/>
            <w:tcBorders>
              <w:top w:val="single" w:color="CCCCCC" w:sz="1"/>
              <w:left w:val="single" w:color="CCCCCC" w:sz="1"/>
              <w:bottom w:val="single" w:color="CCCCCC" w:sz="1"/>
              <w:right w:val="single" w:color="CCCCCC" w:sz="1"/>
            </w:tcBorders>
            <w:shd w:fill="D8F3DC" w:val="clear"/>
            <w:tcMar>
              <w:top w:type="dxa" w:w="70"/>
              <w:left w:type="dxa" w:w="110"/>
              <w:bottom w:type="dxa" w:w="70"/>
              <w:right w:type="dxa" w:w="110"/>
            </w:tcMar>
          </w:tcPr>
          <w:p>
            <w:pPr>
              <w:jc w:val="center"/>
            </w:pPr>
            <w:r>
              <w:rPr>
                <w:rFonts w:ascii="Arial" w:cs="Arial" w:eastAsia="Arial" w:hAnsi="Arial"/>
                <w:color w:val="1C2535"/>
                <w:sz w:val="20"/>
                <w:szCs w:val="20"/>
              </w:rPr>
              <w:t xml:space="preserve">18x</w:t>
            </w:r>
          </w:p>
        </w:tc>
      </w:tr>
      <w:tr>
        <w:trPr>
          <w:cantSplit/>
        </w:trP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Moderado (30% externo)</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€25.000</w:t>
            </w:r>
          </w:p>
        </w:tc>
        <w:tc>
          <w:tcPr>
            <w:tcW w:type="dxa" w:w="2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€170.000</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~1,8 meses ARR</w:t>
            </w:r>
          </w:p>
        </w:tc>
        <w:tc>
          <w:tcPr>
            <w:tcW w:type="dxa" w:w="1400"/>
            <w:tcBorders>
              <w:top w:val="single" w:color="CCCCCC" w:sz="1"/>
              <w:left w:val="single" w:color="CCCCCC" w:sz="1"/>
              <w:bottom w:val="single" w:color="CCCCCC" w:sz="1"/>
              <w:right w:val="single" w:color="CCCCCC" w:sz="1"/>
            </w:tcBorders>
            <w:shd w:fill="D8F3DC" w:val="clear"/>
            <w:tcMar>
              <w:top w:type="dxa" w:w="70"/>
              <w:left w:type="dxa" w:w="110"/>
              <w:bottom w:type="dxa" w:w="70"/>
              <w:right w:type="dxa" w:w="110"/>
            </w:tcMar>
          </w:tcPr>
          <w:p>
            <w:pPr>
              <w:jc w:val="center"/>
            </w:pPr>
            <w:r>
              <w:rPr>
                <w:rFonts w:ascii="Arial" w:cs="Arial" w:eastAsia="Arial" w:hAnsi="Arial"/>
                <w:color w:val="1C2535"/>
                <w:sz w:val="20"/>
                <w:szCs w:val="20"/>
              </w:rPr>
              <w:t xml:space="preserve">20x</w:t>
            </w:r>
          </w:p>
        </w:tc>
      </w:tr>
      <w:tr>
        <w:trPr>
          <w:cantSplit/>
        </w:trP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Agresivo (100% externo)</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€50.000</w:t>
            </w:r>
          </w:p>
        </w:tc>
        <w:tc>
          <w:tcPr>
            <w:tcW w:type="dxa" w:w="2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€270.000</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~2,2 meses ARR</w:t>
            </w:r>
          </w:p>
        </w:tc>
        <w:tc>
          <w:tcPr>
            <w:tcW w:type="dxa" w:w="1400"/>
            <w:tcBorders>
              <w:top w:val="single" w:color="CCCCCC" w:sz="1"/>
              <w:left w:val="single" w:color="CCCCCC" w:sz="1"/>
              <w:bottom w:val="single" w:color="CCCCCC" w:sz="1"/>
              <w:right w:val="single" w:color="CCCCCC" w:sz="1"/>
            </w:tcBorders>
            <w:shd w:fill="D8F3DC" w:val="clear"/>
            <w:tcMar>
              <w:top w:type="dxa" w:w="70"/>
              <w:left w:type="dxa" w:w="110"/>
              <w:bottom w:type="dxa" w:w="70"/>
              <w:right w:type="dxa" w:w="110"/>
            </w:tcMar>
          </w:tcPr>
          <w:p>
            <w:pPr>
              <w:jc w:val="center"/>
            </w:pPr>
            <w:r>
              <w:rPr>
                <w:rFonts w:ascii="Arial" w:cs="Arial" w:eastAsia="Arial" w:hAnsi="Arial"/>
                <w:color w:val="1C2535"/>
                <w:sz w:val="20"/>
                <w:szCs w:val="20"/>
              </w:rPr>
              <w:t xml:space="preserve">16x</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8922A" w:sz="4"/>
              <w:left w:val="single" w:color="C8922A" w:sz="4"/>
              <w:bottom w:val="none" w:color="FFFFFF" w:sz="0"/>
              <w:right w:val="none" w:color="FFFFFF" w:sz="0"/>
            </w:tcBorders>
            <w:shd w:fill="FDF3E3" w:val="clear"/>
            <w:tcMar>
              <w:top w:type="dxa" w:w="140"/>
              <w:left w:type="dxa" w:w="200"/>
              <w:bottom w:type="dxa" w:w="140"/>
              <w:right w:type="dxa" w:w="200"/>
            </w:tcMar>
          </w:tcPr>
          <w:p>
            <w:r>
              <w:rPr>
                <w:rFonts w:ascii="Arial" w:cs="Arial" w:eastAsia="Arial" w:hAnsi="Arial"/>
                <w:color w:val="1C2535"/>
                <w:sz w:val="21"/>
                <w:szCs w:val="21"/>
              </w:rPr>
              <w:t xml:space="preserve">Los tres escenarios muestran un ROI excepcional porque el modelo SaaS con facturación recurrente O&amp;M multiplica el LTV sin incrementar el CAPEX. El break even se produce antes del primer cliente fidelizado con contrato O&amp;M anual.</w:t>
            </w:r>
          </w:p>
        </w:tc>
      </w:tr>
    </w:tbl>
    <w:p>
      <w:pPr>
        <w:spacing w:after="120" w:before="120"/>
      </w:pPr>
    </w:p>
    <w:p>
      <w:pPr>
        <w:spacing w:after="120" w:before="240"/>
      </w:pPr>
      <w:r>
        <w:rPr>
          <w:rFonts w:ascii="Arial" w:cs="Arial" w:eastAsia="Arial" w:hAnsi="Arial"/>
          <w:b/>
          <w:bCs/>
          <w:color w:val="1C2535"/>
          <w:sz w:val="26"/>
          <w:szCs w:val="26"/>
        </w:rPr>
        <w:t xml:space="preserve">F.6 Priorización de inversión por impacto/coste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1600"/>
        <w:gridCol w:w="2160"/>
        <w:gridCol w:w="1600"/>
        <w:gridCol w:w="600"/>
      </w:tblGrid>
      <w:tr>
        <w:trPr>
          <w:cantSplit/>
        </w:trPr>
        <w:tc>
          <w:tcPr>
            <w:tcW w:type="dxa" w:w="5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w:t>
            </w:r>
          </w:p>
        </w:tc>
        <w:tc>
          <w:tcPr>
            <w:tcW w:type="dxa" w:w="28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Inversión</w:t>
            </w:r>
          </w:p>
        </w:tc>
        <w:tc>
          <w:tcPr>
            <w:tcW w:type="dxa" w:w="16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Coste est.</w:t>
            </w:r>
          </w:p>
        </w:tc>
        <w:tc>
          <w:tcPr>
            <w:tcW w:type="dxa" w:w="216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Impacto en ARR</w:t>
            </w:r>
          </w:p>
        </w:tc>
        <w:tc>
          <w:tcPr>
            <w:tcW w:type="dxa" w:w="16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Tiempo de retorno</w:t>
            </w:r>
          </w:p>
        </w:tc>
        <w:tc>
          <w:tcPr>
            <w:tcW w:type="dxa" w:w="6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Prio.</w:t>
            </w:r>
          </w:p>
        </w:tc>
      </w:tr>
      <w:tr>
        <w:trPr>
          <w:cantSplit/>
        </w:trP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Base Maestra VE (50 actuaciones)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€8.000–€12.000</w:t>
            </w:r>
          </w:p>
        </w:tc>
        <w:tc>
          <w:tcPr>
            <w:tcW w:type="dxa" w:w="2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Alto. Diferenciación inmediata</w:t>
            </w:r>
          </w:p>
        </w:tc>
        <w:tc>
          <w:tcPr>
            <w:tcW w:type="dxa" w:w="1600"/>
            <w:tcBorders>
              <w:top w:val="single" w:color="CCCCCC" w:sz="1"/>
              <w:left w:val="single" w:color="CCCCCC" w:sz="1"/>
              <w:bottom w:val="single" w:color="CCCCCC" w:sz="1"/>
              <w:right w:val="single" w:color="CCCCCC" w:sz="1"/>
            </w:tcBorders>
            <w:shd w:fill="D8F3DC" w:val="clear"/>
            <w:tcMar>
              <w:top w:type="dxa" w:w="70"/>
              <w:left w:type="dxa" w:w="110"/>
              <w:bottom w:type="dxa" w:w="70"/>
              <w:right w:type="dxa" w:w="110"/>
            </w:tcMar>
          </w:tcPr>
          <w:p>
            <w:r>
              <w:rPr>
                <w:rFonts w:ascii="Arial" w:cs="Arial" w:eastAsia="Arial" w:hAnsi="Arial"/>
                <w:color w:val="1C2535"/>
                <w:sz w:val="20"/>
                <w:szCs w:val="20"/>
              </w:rPr>
              <w:t xml:space="preserve">&lt; 6 meses</w:t>
            </w:r>
          </w:p>
        </w:tc>
        <w:tc>
          <w:tcPr>
            <w:tcW w:type="dxa" w:w="600"/>
            <w:tcBorders>
              <w:top w:val="single" w:color="CCCCCC" w:sz="1"/>
              <w:left w:val="single" w:color="CCCCCC" w:sz="1"/>
              <w:bottom w:val="single" w:color="CCCCCC" w:sz="1"/>
              <w:right w:val="single" w:color="CCCCCC" w:sz="1"/>
            </w:tcBorders>
            <w:shd w:fill="FDEAE5" w:val="clear"/>
            <w:tcMar>
              <w:top w:type="dxa" w:w="70"/>
              <w:left w:type="dxa" w:w="110"/>
              <w:bottom w:type="dxa" w:w="70"/>
              <w:right w:type="dxa" w:w="110"/>
            </w:tcMar>
          </w:tcPr>
          <w:p>
            <w:r>
              <w:rPr>
                <w:rFonts w:ascii="Arial" w:cs="Arial" w:eastAsia="Arial" w:hAnsi="Arial"/>
                <w:color w:val="1C2535"/>
                <w:sz w:val="20"/>
                <w:szCs w:val="20"/>
              </w:rPr>
              <w:t xml:space="preserve">#1</w:t>
            </w:r>
          </w:p>
        </w:tc>
      </w:tr>
      <w:tr>
        <w:trPr>
          <w:cantSplit/>
        </w:trP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Contratos O&amp;M VE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€3.000–€5.000</w:t>
            </w:r>
          </w:p>
        </w:tc>
        <w:tc>
          <w:tcPr>
            <w:tcW w:type="dxa" w:w="2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Muy alto. Recurrencia directa</w:t>
            </w:r>
          </w:p>
        </w:tc>
        <w:tc>
          <w:tcPr>
            <w:tcW w:type="dxa" w:w="1600"/>
            <w:tcBorders>
              <w:top w:val="single" w:color="CCCCCC" w:sz="1"/>
              <w:left w:val="single" w:color="CCCCCC" w:sz="1"/>
              <w:bottom w:val="single" w:color="CCCCCC" w:sz="1"/>
              <w:right w:val="single" w:color="CCCCCC" w:sz="1"/>
            </w:tcBorders>
            <w:shd w:fill="D8F3DC" w:val="clear"/>
            <w:tcMar>
              <w:top w:type="dxa" w:w="70"/>
              <w:left w:type="dxa" w:w="110"/>
              <w:bottom w:type="dxa" w:w="70"/>
              <w:right w:type="dxa" w:w="110"/>
            </w:tcMar>
          </w:tcPr>
          <w:p>
            <w:r>
              <w:rPr>
                <w:rFonts w:ascii="Arial" w:cs="Arial" w:eastAsia="Arial" w:hAnsi="Arial"/>
                <w:color w:val="1C2535"/>
                <w:sz w:val="20"/>
                <w:szCs w:val="20"/>
              </w:rPr>
              <w:t xml:space="preserve">&lt; 3 meses</w:t>
            </w:r>
          </w:p>
        </w:tc>
        <w:tc>
          <w:tcPr>
            <w:tcW w:type="dxa" w:w="600"/>
            <w:tcBorders>
              <w:top w:val="single" w:color="CCCCCC" w:sz="1"/>
              <w:left w:val="single" w:color="CCCCCC" w:sz="1"/>
              <w:bottom w:val="single" w:color="CCCCCC" w:sz="1"/>
              <w:right w:val="single" w:color="CCCCCC" w:sz="1"/>
            </w:tcBorders>
            <w:shd w:fill="FDEAE5" w:val="clear"/>
            <w:tcMar>
              <w:top w:type="dxa" w:w="70"/>
              <w:left w:type="dxa" w:w="110"/>
              <w:bottom w:type="dxa" w:w="70"/>
              <w:right w:type="dxa" w:w="110"/>
            </w:tcMar>
          </w:tcPr>
          <w:p>
            <w:r>
              <w:rPr>
                <w:rFonts w:ascii="Arial" w:cs="Arial" w:eastAsia="Arial" w:hAnsi="Arial"/>
                <w:color w:val="1C2535"/>
                <w:sz w:val="20"/>
                <w:szCs w:val="20"/>
              </w:rPr>
              <w:t xml:space="preserve">#2</w:t>
            </w:r>
          </w:p>
        </w:tc>
      </w:tr>
      <w:tr>
        <w:trPr>
          <w:cantSplit/>
        </w:trP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Normativa RAG VE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€2.500–€4.000</w:t>
            </w:r>
          </w:p>
        </w:tc>
        <w:tc>
          <w:tcPr>
            <w:tcW w:type="dxa" w:w="2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Alto. Retención y NPS</w:t>
            </w:r>
          </w:p>
        </w:tc>
        <w:tc>
          <w:tcPr>
            <w:tcW w:type="dxa" w:w="1600"/>
            <w:tcBorders>
              <w:top w:val="single" w:color="CCCCCC" w:sz="1"/>
              <w:left w:val="single" w:color="CCCCCC" w:sz="1"/>
              <w:bottom w:val="single" w:color="CCCCCC" w:sz="1"/>
              <w:right w:val="single" w:color="CCCCCC" w:sz="1"/>
            </w:tcBorders>
            <w:shd w:fill="D8F3DC" w:val="clear"/>
            <w:tcMar>
              <w:top w:type="dxa" w:w="70"/>
              <w:left w:type="dxa" w:w="110"/>
              <w:bottom w:type="dxa" w:w="70"/>
              <w:right w:type="dxa" w:w="110"/>
            </w:tcMar>
          </w:tcPr>
          <w:p>
            <w:r>
              <w:rPr>
                <w:rFonts w:ascii="Arial" w:cs="Arial" w:eastAsia="Arial" w:hAnsi="Arial"/>
                <w:color w:val="1C2535"/>
                <w:sz w:val="20"/>
                <w:szCs w:val="20"/>
              </w:rPr>
              <w:t xml:space="preserve">&lt; 6 meses</w:t>
            </w:r>
          </w:p>
        </w:tc>
        <w:tc>
          <w:tcPr>
            <w:tcW w:type="dxa" w:w="60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r>
              <w:rPr>
                <w:rFonts w:ascii="Arial" w:cs="Arial" w:eastAsia="Arial" w:hAnsi="Arial"/>
                <w:color w:val="1C2535"/>
                <w:sz w:val="20"/>
                <w:szCs w:val="20"/>
              </w:rPr>
              <w:t xml:space="preserve">#3</w:t>
            </w:r>
          </w:p>
        </w:tc>
      </w:tr>
      <w:tr>
        <w:trPr>
          <w:cantSplit/>
        </w:trP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Base Maestra FV (100 actuaciones)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€15.000–€22.000</w:t>
            </w:r>
          </w:p>
        </w:tc>
        <w:tc>
          <w:tcPr>
            <w:tcW w:type="dxa" w:w="2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Muy alto. Ticket más alto</w:t>
            </w:r>
          </w:p>
        </w:tc>
        <w:tc>
          <w:tcPr>
            <w:tcW w:type="dxa" w:w="160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r>
              <w:rPr>
                <w:rFonts w:ascii="Arial" w:cs="Arial" w:eastAsia="Arial" w:hAnsi="Arial"/>
                <w:color w:val="1C2535"/>
                <w:sz w:val="20"/>
                <w:szCs w:val="20"/>
              </w:rPr>
              <w:t xml:space="preserve">6–12 meses</w:t>
            </w:r>
          </w:p>
        </w:tc>
        <w:tc>
          <w:tcPr>
            <w:tcW w:type="dxa" w:w="60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r>
              <w:rPr>
                <w:rFonts w:ascii="Arial" w:cs="Arial" w:eastAsia="Arial" w:hAnsi="Arial"/>
                <w:color w:val="1C2535"/>
                <w:sz w:val="20"/>
                <w:szCs w:val="20"/>
              </w:rPr>
              <w:t xml:space="preserve">#4</w:t>
            </w:r>
          </w:p>
        </w:tc>
      </w:tr>
      <w:tr>
        <w:trPr>
          <w:cantSplit/>
        </w:trPr>
        <w:tc>
          <w:tcPr>
            <w:tcW w:type="dxa" w:w="5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5</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Módulo Monitorización FV</w:t>
            </w:r>
          </w:p>
        </w:tc>
        <w:tc>
          <w:tcPr>
            <w:tcW w:type="dxa" w:w="1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€8.000–€12.000</w:t>
            </w:r>
          </w:p>
        </w:tc>
        <w:tc>
          <w:tcPr>
            <w:tcW w:type="dxa" w:w="2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Alto. Add-on premium €29/mes</w:t>
            </w:r>
          </w:p>
        </w:tc>
        <w:tc>
          <w:tcPr>
            <w:tcW w:type="dxa" w:w="1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12–18 meses</w:t>
            </w:r>
          </w:p>
        </w:tc>
        <w:tc>
          <w:tcPr>
            <w:tcW w:type="dxa" w:w="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#5</w:t>
            </w:r>
          </w:p>
        </w:tc>
      </w:tr>
      <w:tr>
        <w:trPr>
          <w:cantSplit/>
        </w:trPr>
        <w:tc>
          <w:tcPr>
            <w:tcW w:type="dxa" w:w="5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6</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Integraciones API inversores</w:t>
            </w:r>
          </w:p>
        </w:tc>
        <w:tc>
          <w:tcPr>
            <w:tcW w:type="dxa" w:w="1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€6.000–€9.000</w:t>
            </w:r>
          </w:p>
        </w:tc>
        <w:tc>
          <w:tcPr>
            <w:tcW w:type="dxa" w:w="2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Medio-alto. Retención O&amp;M</w:t>
            </w:r>
          </w:p>
        </w:tc>
        <w:tc>
          <w:tcPr>
            <w:tcW w:type="dxa" w:w="1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12–18 meses</w:t>
            </w:r>
          </w:p>
        </w:tc>
        <w:tc>
          <w:tcPr>
            <w:tcW w:type="dxa" w:w="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#6</w:t>
            </w:r>
          </w:p>
        </w:tc>
      </w:tr>
      <w:tr>
        <w:trPr>
          <w:cantSplit/>
        </w:trPr>
        <w:tc>
          <w:tcPr>
            <w:tcW w:type="dxa" w:w="5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7</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Automatizaciones IA</w:t>
            </w:r>
          </w:p>
        </w:tc>
        <w:tc>
          <w:tcPr>
            <w:tcW w:type="dxa" w:w="1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€4.000–€6.000</w:t>
            </w:r>
          </w:p>
        </w:tc>
        <w:tc>
          <w:tcPr>
            <w:tcW w:type="dxa" w:w="2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Alto. Diferenciación y retención</w:t>
            </w:r>
          </w:p>
        </w:tc>
        <w:tc>
          <w:tcPr>
            <w:tcW w:type="dxa" w:w="1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&lt; 12 meses</w:t>
            </w:r>
          </w:p>
        </w:tc>
        <w:tc>
          <w:tcPr>
            <w:tcW w:type="dxa" w:w="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#7</w:t>
            </w:r>
          </w:p>
        </w:tc>
      </w:tr>
    </w:tbl>
    <w:p>
      <w:pPr>
        <w:spacing w:after="120" w:before="120"/>
      </w:pPr>
    </w:p>
    <w:p>
      <w:pPr>
        <w:spacing w:after="120" w:before="240"/>
      </w:pPr>
      <w:r>
        <w:rPr>
          <w:rFonts w:ascii="Arial" w:cs="Arial" w:eastAsia="Arial" w:hAnsi="Arial"/>
          <w:b/>
          <w:bCs/>
          <w:color w:val="1C2535"/>
          <w:sz w:val="26"/>
          <w:szCs w:val="26"/>
        </w:rPr>
        <w:t xml:space="preserve">F.7 Vertical Playbook — Plantilla replicable para nuevos oficios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A5A96" w:sz="4"/>
              <w:left w:val="single" w:color="1A5A96" w:sz="4"/>
              <w:bottom w:val="none" w:color="FFFFFF" w:sz="0"/>
              <w:right w:val="none" w:color="FFFFFF" w:sz="0"/>
            </w:tcBorders>
            <w:shd w:fill="D5E8F0" w:val="clear"/>
            <w:tcMar>
              <w:top w:type="dxa" w:w="140"/>
              <w:left w:type="dxa" w:w="200"/>
              <w:bottom w:type="dxa" w:w="140"/>
              <w:right w:type="dxa" w:w="200"/>
            </w:tcMar>
          </w:tcPr>
          <w:p>
            <w:r>
              <w:rPr>
                <w:rFonts w:ascii="Arial" w:cs="Arial" w:eastAsia="Arial" w:hAnsi="Arial"/>
                <w:color w:val="1C2535"/>
                <w:sz w:val="21"/>
                <w:szCs w:val="21"/>
              </w:rPr>
              <w:t xml:space="preserve">Este documento establece el estándar para todos los verticales futuros de TrabFlow. Para cada nuevo oficio (PCI, Aerotermia, Frío Industrial, Domótica, Gas Industrial) se replicará esta estructura de 12 secciones.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Sección</w:t>
            </w:r>
          </w:p>
        </w:tc>
        <w:tc>
          <w:tcPr>
            <w:tcW w:type="dxa" w:w="696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Contenido estándar del Vertical Playbook</w:t>
            </w:r>
          </w:p>
        </w:tc>
      </w:tr>
      <w:tr>
        <w:trPr>
          <w:cantSplit/>
        </w:trPr>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Mercado</w:t>
            </w:r>
          </w:p>
        </w:tc>
        <w:tc>
          <w:tcPr>
            <w:tcW w:type="dxa" w:w="69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TAM, SAM, SOM Spain. CAGR. Perfil de instalador target por segmento</w:t>
            </w:r>
          </w:p>
        </w:tc>
      </w:tr>
      <w:tr>
        <w:trPr>
          <w:cantSplit/>
        </w:trPr>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Problemas</w:t>
            </w:r>
          </w:p>
        </w:tc>
        <w:tc>
          <w:tcPr>
            <w:tcW w:type="dxa" w:w="69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Top 10 dolores del instalador específico del vertical</w:t>
            </w:r>
          </w:p>
        </w:tc>
      </w:tr>
      <w:tr>
        <w:trPr>
          <w:cantSplit/>
        </w:trPr>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Base Maestra</w:t>
            </w:r>
          </w:p>
        </w:tc>
        <w:tc>
          <w:tcPr>
            <w:tcW w:type="dxa" w:w="69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Actuaciones con materiales, normativa y complejidad</w:t>
            </w:r>
          </w:p>
        </w:tc>
      </w:tr>
      <w:tr>
        <w:trPr>
          <w:cantSplit/>
        </w:trPr>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Arquitectura IA</w:t>
            </w:r>
          </w:p>
        </w:tc>
        <w:tc>
          <w:tcPr>
            <w:tcW w:type="dxa" w:w="69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Prompts, embeddings, colecciones vectoriales, plantillas específicas</w:t>
            </w:r>
          </w:p>
        </w:tc>
      </w:tr>
      <w:tr>
        <w:trPr>
          <w:cantSplit/>
        </w:trPr>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Flujo usuario</w:t>
            </w:r>
          </w:p>
        </w:tc>
        <w:tc>
          <w:tcPr>
            <w:tcW w:type="dxa" w:w="69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Customer journey completo del vertical de extremo a extremo</w:t>
            </w:r>
          </w:p>
        </w:tc>
      </w:tr>
      <w:tr>
        <w:trPr>
          <w:cantSplit/>
        </w:trPr>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Normativa</w:t>
            </w:r>
          </w:p>
        </w:tc>
        <w:tc>
          <w:tcPr>
            <w:tcW w:type="dxa" w:w="69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RAG: normativa crítica, alta y media a indexar con fuentes y coste</w:t>
            </w:r>
          </w:p>
        </w:tc>
      </w:tr>
      <w:tr>
        <w:trPr>
          <w:cantSplit/>
        </w:trPr>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Integraciones</w:t>
            </w:r>
          </w:p>
        </w:tc>
        <w:tc>
          <w:tcPr>
            <w:tcW w:type="dxa" w:w="69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APIs fabricantes + protocolos + IoT específicos del oficio</w:t>
            </w:r>
          </w:p>
        </w:tc>
      </w:tr>
      <w:tr>
        <w:trPr>
          <w:cantSplit/>
        </w:trPr>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Automatizaciones</w:t>
            </w:r>
          </w:p>
        </w:tc>
        <w:tc>
          <w:tcPr>
            <w:tcW w:type="dxa" w:w="69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Triggers temporales + eventos + reporting automático</w:t>
            </w:r>
          </w:p>
        </w:tc>
      </w:tr>
      <w:tr>
        <w:trPr>
          <w:cantSplit/>
        </w:trPr>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Monitorización</w:t>
            </w:r>
          </w:p>
        </w:tc>
        <w:tc>
          <w:tcPr>
            <w:tcW w:type="dxa" w:w="69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KPIs específicos del oficio (si aplica). Dashboard instalador + cliente</w:t>
            </w:r>
          </w:p>
        </w:tc>
      </w:tr>
      <w:tr>
        <w:trPr>
          <w:cantSplit/>
        </w:trPr>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Contratos</w:t>
            </w:r>
          </w:p>
        </w:tc>
        <w:tc>
          <w:tcPr>
            <w:tcW w:type="dxa" w:w="69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Plantillas O&amp;M con SLA y niveles de servicio</w:t>
            </w:r>
          </w:p>
        </w:tc>
      </w:tr>
      <w:tr>
        <w:trPr>
          <w:cantSplit/>
        </w:trPr>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Roadmap</w:t>
            </w:r>
          </w:p>
        </w:tc>
        <w:tc>
          <w:tcPr>
            <w:tcW w:type="dxa" w:w="69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5 fases: MVP → Base Maestra → Contratos → RAG → Integraciones</w:t>
            </w:r>
          </w:p>
        </w:tc>
      </w:tr>
      <w:tr>
        <w:trPr>
          <w:cantSplit/>
        </w:trPr>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Modelo económico</w:t>
            </w:r>
          </w:p>
        </w:tc>
        <w:tc>
          <w:tcPr>
            <w:tcW w:type="dxa" w:w="69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Costes desarrollo, infraestructura IA, ROI, break even, priorización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none" w:color="FFFFFF" w:sz="0"/>
              <w:bottom w:val="none" w:color="FFFFFF" w:sz="0"/>
              <w:right w:val="none" w:color="FFFFFF" w:sz="0"/>
            </w:tcBorders>
            <w:shd w:fill="1C2535" w:val="clear"/>
            <w:tcMar>
              <w:top w:type="dxa" w:w="160"/>
              <w:left w:type="dxa" w:w="240"/>
              <w:bottom w:type="dxa" w:w="160"/>
              <w:right w:type="dxa" w:w="240"/>
            </w:tcMar>
          </w:tcPr>
          <w:p>
            <w:r>
              <w:rPr>
                <w:rFonts w:ascii="Arial" w:cs="Arial" w:eastAsia="Arial" w:hAnsi="Arial"/>
                <w:b/>
                <w:bCs/>
                <w:color w:val="FFFFFF"/>
                <w:sz w:val="30"/>
                <w:szCs w:val="30"/>
              </w:rPr>
              <w:t xml:space="preserve">02. Tamaño de Mercado</w:t>
            </w:r>
          </w:p>
          <w:p>
            <w:r>
              <w:rPr>
                <w:rFonts w:ascii="Arial" w:cs="Arial" w:eastAsia="Arial" w:hAnsi="Arial"/>
                <w:color w:val="D5E8F0"/>
                <w:sz w:val="20"/>
                <w:szCs w:val="20"/>
              </w:rPr>
              <w:t xml:space="preserve">España · Europa · Instaladores · Crecimiento</w:t>
            </w:r>
          </w:p>
        </w:tc>
      </w:tr>
    </w:tbl>
    <w:p>
      <w:pPr>
        <w:spacing w:after="160" w:before="160"/>
      </w:pPr>
    </w:p>
    <w:p>
      <w:pPr>
        <w:spacing w:after="120" w:before="240"/>
      </w:pPr>
      <w:r>
        <w:rPr>
          <w:rFonts w:ascii="Arial" w:cs="Arial" w:eastAsia="Arial" w:hAnsi="Arial"/>
          <w:b/>
          <w:bCs/>
          <w:color w:val="1C2535"/>
          <w:sz w:val="26"/>
          <w:szCs w:val="26"/>
        </w:rPr>
        <w:t xml:space="preserve">2.1 Mercado Cargadores de Vehículo Eléctrico</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cantSplit/>
        </w:trPr>
        <w:tc>
          <w:tcPr>
            <w:tcW w:type="dxa" w:w="36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Indicador</w:t>
            </w:r>
          </w:p>
        </w:tc>
        <w:tc>
          <w:tcPr>
            <w:tcW w:type="dxa" w:w="576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Datos 2025-2026</w:t>
            </w:r>
          </w:p>
        </w:tc>
      </w:tr>
      <w:tr>
        <w:trPr>
          <w:cantSplit/>
        </w:trPr>
        <w:tc>
          <w:tcPr>
            <w:tcW w:type="dxa" w:w="3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Mercado España (instalación puntos recarga)</w:t>
            </w:r>
          </w:p>
        </w:tc>
        <w:tc>
          <w:tcPr>
            <w:tcW w:type="dxa" w:w="57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~€2.100M anuales (instalación + O&amp;M + legalización)</w:t>
            </w:r>
          </w:p>
        </w:tc>
      </w:tr>
      <w:tr>
        <w:trPr>
          <w:cantSplit/>
        </w:trPr>
        <w:tc>
          <w:tcPr>
            <w:tcW w:type="dxa" w:w="3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Mercado Europa</w:t>
            </w:r>
          </w:p>
        </w:tc>
        <w:tc>
          <w:tcPr>
            <w:tcW w:type="dxa" w:w="57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€18.000M anuales. Objetivo 3,5M puntos de recarga en 2030 (AFIR)</w:t>
            </w:r>
          </w:p>
        </w:tc>
      </w:tr>
      <w:tr>
        <w:trPr>
          <w:cantSplit/>
        </w:trPr>
        <w:tc>
          <w:tcPr>
            <w:tcW w:type="dxa" w:w="3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Puntos de recarga activos en España</w:t>
            </w:r>
          </w:p>
        </w:tc>
        <w:tc>
          <w:tcPr>
            <w:tcW w:type="dxa" w:w="57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~180.000 (2025). Objetivo: 340.000 en 2030 (PNIEC)</w:t>
            </w:r>
          </w:p>
        </w:tc>
      </w:tr>
      <w:tr>
        <w:trPr>
          <w:cantSplit/>
        </w:trPr>
        <w:tc>
          <w:tcPr>
            <w:tcW w:type="dxa" w:w="3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Instaladores eléctricos especializados VE</w:t>
            </w:r>
          </w:p>
        </w:tc>
        <w:tc>
          <w:tcPr>
            <w:tcW w:type="dxa" w:w="57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Aprox. 8.000-12.000 empresas y autónomos habilitados en España</w:t>
            </w:r>
          </w:p>
        </w:tc>
      </w:tr>
      <w:tr>
        <w:trPr>
          <w:cantSplit/>
        </w:trPr>
        <w:tc>
          <w:tcPr>
            <w:tcW w:type="dxa" w:w="3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Empresas especializadas</w:t>
            </w:r>
          </w:p>
        </w:tc>
        <w:tc>
          <w:tcPr>
            <w:tcW w:type="dxa" w:w="57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~2.500 instaladoras con actividad VE declarada (CNAE 4321 + 4329)</w:t>
            </w:r>
          </w:p>
        </w:tc>
      </w:tr>
      <w:tr>
        <w:trPr>
          <w:cantSplit/>
        </w:trPr>
        <w:tc>
          <w:tcPr>
            <w:tcW w:type="dxa" w:w="3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Crecimiento esperado (CAGR 2025-2030)</w:t>
            </w:r>
          </w:p>
        </w:tc>
        <w:tc>
          <w:tcPr>
            <w:tcW w:type="dxa" w:w="57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22-28% anual. Impulsado por AFIR, MOVES III, comunidades de propietarios</w:t>
            </w:r>
          </w:p>
        </w:tc>
      </w:tr>
      <w:tr>
        <w:trPr>
          <w:cantSplit/>
        </w:trPr>
        <w:tc>
          <w:tcPr>
            <w:tcW w:type="dxa" w:w="3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Ticket medio instalación wallbox residencial</w:t>
            </w:r>
          </w:p>
        </w:tc>
        <w:tc>
          <w:tcPr>
            <w:tcW w:type="dxa" w:w="57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€600–€1.200</w:t>
            </w:r>
          </w:p>
        </w:tc>
      </w:tr>
      <w:tr>
        <w:trPr>
          <w:cantSplit/>
        </w:trPr>
        <w:tc>
          <w:tcPr>
            <w:tcW w:type="dxa" w:w="3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Ticket medio instalación punto carga empresarial</w:t>
            </w:r>
          </w:p>
        </w:tc>
        <w:tc>
          <w:tcPr>
            <w:tcW w:type="dxa" w:w="57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€1.500–€5.000</w:t>
            </w:r>
          </w:p>
        </w:tc>
      </w:tr>
      <w:tr>
        <w:trPr>
          <w:cantSplit/>
        </w:trPr>
        <w:tc>
          <w:tcPr>
            <w:tcW w:type="dxa" w:w="3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Ticket medio contrato O&amp;M (por punto/año)</w:t>
            </w:r>
          </w:p>
        </w:tc>
        <w:tc>
          <w:tcPr>
            <w:tcW w:type="dxa" w:w="57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€120–€300/punto/año</w:t>
            </w:r>
          </w:p>
        </w:tc>
      </w:tr>
      <w:tr>
        <w:trPr>
          <w:cantSplit/>
        </w:trPr>
        <w:tc>
          <w:tcPr>
            <w:tcW w:type="dxa" w:w="3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Driver regulatorio clave</w:t>
            </w:r>
          </w:p>
        </w:tc>
        <w:tc>
          <w:tcPr>
            <w:tcW w:type="dxa" w:w="57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Real Decreto 1085/2015 (MOVEA), ITE-BT-52, AFIR (UE 2023/1804)</w:t>
            </w:r>
          </w:p>
        </w:tc>
      </w:tr>
    </w:tbl>
    <w:p>
      <w:pPr>
        <w:spacing w:after="120" w:before="120"/>
      </w:pPr>
    </w:p>
    <w:p>
      <w:pPr>
        <w:spacing w:after="120" w:before="240"/>
      </w:pPr>
      <w:r>
        <w:rPr>
          <w:rFonts w:ascii="Arial" w:cs="Arial" w:eastAsia="Arial" w:hAnsi="Arial"/>
          <w:b/>
          <w:bCs/>
          <w:color w:val="1C2535"/>
          <w:sz w:val="26"/>
          <w:szCs w:val="26"/>
        </w:rPr>
        <w:t xml:space="preserve">2.2 Mercado Fotovoltaica Industrial (O&amp;M y Mantenimiento)</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cantSplit/>
        </w:trPr>
        <w:tc>
          <w:tcPr>
            <w:tcW w:type="dxa" w:w="36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Indicador</w:t>
            </w:r>
          </w:p>
        </w:tc>
        <w:tc>
          <w:tcPr>
            <w:tcW w:type="dxa" w:w="576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Datos 2025-2026</w:t>
            </w:r>
          </w:p>
        </w:tc>
      </w:tr>
      <w:tr>
        <w:trPr>
          <w:cantSplit/>
        </w:trPr>
        <w:tc>
          <w:tcPr>
            <w:tcW w:type="dxa" w:w="3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Mercado España (instalación + O&amp;M fotovoltaico)</w:t>
            </w:r>
          </w:p>
        </w:tc>
        <w:tc>
          <w:tcPr>
            <w:tcW w:type="dxa" w:w="57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~€4.800M anuales (instalación nueva + mantenimiento parque existente)</w:t>
            </w:r>
          </w:p>
        </w:tc>
      </w:tr>
      <w:tr>
        <w:trPr>
          <w:cantSplit/>
        </w:trPr>
        <w:tc>
          <w:tcPr>
            <w:tcW w:type="dxa" w:w="3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Potencia instalada en España</w:t>
            </w:r>
          </w:p>
        </w:tc>
        <w:tc>
          <w:tcPr>
            <w:tcW w:type="dxa" w:w="57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~40 GW (2025). Objetivo 76 GW en 2030 (PNIEC)</w:t>
            </w:r>
          </w:p>
        </w:tc>
      </w:tr>
      <w:tr>
        <w:trPr>
          <w:cantSplit/>
        </w:trPr>
        <w:tc>
          <w:tcPr>
            <w:tcW w:type="dxa" w:w="3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Mercado Europa</w:t>
            </w:r>
          </w:p>
        </w:tc>
        <w:tc>
          <w:tcPr>
            <w:tcW w:type="dxa" w:w="57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€45.000M anuales. España es el 3er mercado europeo en instalación</w:t>
            </w:r>
          </w:p>
        </w:tc>
      </w:tr>
      <w:tr>
        <w:trPr>
          <w:cantSplit/>
        </w:trPr>
        <w:tc>
          <w:tcPr>
            <w:tcW w:type="dxa" w:w="3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Mercado O&amp;M específico (mantenimiento parque existente)</w:t>
            </w:r>
          </w:p>
        </w:tc>
        <w:tc>
          <w:tcPr>
            <w:tcW w:type="dxa" w:w="57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€1.200M anuales en España. Crecimiento estructural garantizado</w:t>
            </w:r>
          </w:p>
        </w:tc>
      </w:tr>
      <w:tr>
        <w:trPr>
          <w:cantSplit/>
        </w:trPr>
        <w:tc>
          <w:tcPr>
            <w:tcW w:type="dxa" w:w="3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Empresas instaladoras fotovoltaicas en España</w:t>
            </w:r>
          </w:p>
        </w:tc>
        <w:tc>
          <w:tcPr>
            <w:tcW w:type="dxa" w:w="57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~6.000-9.000 activas (CNAE 4321 + 4322 con actividad FV)</w:t>
            </w:r>
          </w:p>
        </w:tc>
      </w:tr>
      <w:tr>
        <w:trPr>
          <w:cantSplit/>
        </w:trPr>
        <w:tc>
          <w:tcPr>
            <w:tcW w:type="dxa" w:w="3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Empresas especializadas en O&amp;M industrial</w:t>
            </w:r>
          </w:p>
        </w:tc>
        <w:tc>
          <w:tcPr>
            <w:tcW w:type="dxa" w:w="57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~1.500-2.500 con foco en plantas &gt;50 kWp</w:t>
            </w:r>
          </w:p>
        </w:tc>
      </w:tr>
      <w:tr>
        <w:trPr>
          <w:cantSplit/>
        </w:trPr>
        <w:tc>
          <w:tcPr>
            <w:tcW w:type="dxa" w:w="3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Crecimiento esperado O&amp;M (CAGR 2025-2030)</w:t>
            </w:r>
          </w:p>
        </w:tc>
        <w:tc>
          <w:tcPr>
            <w:tcW w:type="dxa" w:w="57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18-24% anual. El parque instalado crece → el O&amp;M crece proporcionalmente</w:t>
            </w:r>
          </w:p>
        </w:tc>
      </w:tr>
      <w:tr>
        <w:trPr>
          <w:cantSplit/>
        </w:trPr>
        <w:tc>
          <w:tcPr>
            <w:tcW w:type="dxa" w:w="3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Ticket medio mantenimiento preventivo (planta 100 kWp/año)</w:t>
            </w:r>
          </w:p>
        </w:tc>
        <w:tc>
          <w:tcPr>
            <w:tcW w:type="dxa" w:w="57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€2.000–€5.000/año</w:t>
            </w:r>
          </w:p>
        </w:tc>
      </w:tr>
      <w:tr>
        <w:trPr>
          <w:cantSplit/>
        </w:trPr>
        <w:tc>
          <w:tcPr>
            <w:tcW w:type="dxa" w:w="3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Ticket medio contrato O&amp;M completo (planta 500 kWp)</w:t>
            </w:r>
          </w:p>
        </w:tc>
        <w:tc>
          <w:tcPr>
            <w:tcW w:type="dxa" w:w="57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€8.000–€20.000/año</w:t>
            </w:r>
          </w:p>
        </w:tc>
      </w:tr>
      <w:tr>
        <w:trPr>
          <w:cantSplit/>
        </w:trPr>
        <w:tc>
          <w:tcPr>
            <w:tcW w:type="dxa" w:w="3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Ticket medio instalación nueva (industrial 100 kWp)</w:t>
            </w:r>
          </w:p>
        </w:tc>
        <w:tc>
          <w:tcPr>
            <w:tcW w:type="dxa" w:w="57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€60.000–€120.000</w:t>
            </w:r>
          </w:p>
        </w:tc>
      </w:tr>
      <w:tr>
        <w:trPr>
          <w:cantSplit/>
        </w:trPr>
        <w:tc>
          <w:tcPr>
            <w:tcW w:type="dxa" w:w="3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Driver regulatorio clave</w:t>
            </w:r>
          </w:p>
        </w:tc>
        <w:tc>
          <w:tcPr>
            <w:tcW w:type="dxa" w:w="57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RD 244/2019 (autoconsumo), RD 1183/2020 (acceso red), PNIEC 2021-2030</w:t>
            </w:r>
          </w:p>
        </w:tc>
      </w:tr>
    </w:tbl>
    <w:p>
      <w:pPr>
        <w:spacing w:after="120" w:before="120"/>
      </w:pPr>
    </w:p>
    <w:p>
      <w:pPr>
        <w:spacing w:after="120" w:before="240"/>
      </w:pPr>
      <w:r>
        <w:rPr>
          <w:rFonts w:ascii="Arial" w:cs="Arial" w:eastAsia="Arial" w:hAnsi="Arial"/>
          <w:b/>
          <w:bCs/>
          <w:color w:val="1C2535"/>
          <w:sz w:val="26"/>
          <w:szCs w:val="26"/>
        </w:rPr>
        <w:t xml:space="preserve">2.3 Asociaciones del Sector</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2160"/>
        <w:gridCol w:w="3240"/>
      </w:tblGrid>
      <w:tr>
        <w:trPr>
          <w:cantSplit/>
        </w:trPr>
        <w:tc>
          <w:tcPr>
            <w:tcW w:type="dxa" w:w="18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Asociación</w:t>
            </w:r>
          </w:p>
        </w:tc>
        <w:tc>
          <w:tcPr>
            <w:tcW w:type="dxa" w:w="216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Vertical</w:t>
            </w:r>
          </w:p>
        </w:tc>
        <w:tc>
          <w:tcPr>
            <w:tcW w:type="dxa" w:w="216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Asociados est.</w:t>
            </w:r>
          </w:p>
        </w:tc>
        <w:tc>
          <w:tcPr>
            <w:tcW w:type="dxa" w:w="324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Relevancia para TrabFlow</w:t>
            </w:r>
          </w:p>
        </w:tc>
      </w:tr>
      <w:tr>
        <w:trPr>
          <w:cantSplit/>
        </w:trPr>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AEDIVE</w:t>
            </w:r>
          </w:p>
        </w:tc>
        <w:tc>
          <w:tcPr>
            <w:tcW w:type="dxa" w:w="2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VE / Cargadores</w:t>
            </w:r>
          </w:p>
        </w:tc>
        <w:tc>
          <w:tcPr>
            <w:tcW w:type="dxa" w:w="2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300+ empresas</w:t>
            </w:r>
          </w:p>
        </w:tc>
        <w:tc>
          <w:tcPr>
            <w:tcW w:type="dxa" w:w="324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 Canal directo a instaladores VE y fabricantes</w:t>
            </w:r>
          </w:p>
        </w:tc>
      </w:tr>
      <w:tr>
        <w:trPr>
          <w:cantSplit/>
        </w:trPr>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FENIE</w:t>
            </w:r>
          </w:p>
        </w:tc>
        <w:tc>
          <w:tcPr>
            <w:tcW w:type="dxa" w:w="2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Eléctrico / VE / FV</w:t>
            </w:r>
          </w:p>
        </w:tc>
        <w:tc>
          <w:tcPr>
            <w:tcW w:type="dxa" w:w="2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35.000+ empresas</w:t>
            </w:r>
          </w:p>
        </w:tc>
        <w:tc>
          <w:tcPr>
            <w:tcW w:type="dxa" w:w="324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Muy alta. Ya en outreach activo</w:t>
            </w:r>
          </w:p>
        </w:tc>
      </w:tr>
      <w:tr>
        <w:trPr>
          <w:cantSplit/>
        </w:trPr>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APIEM</w:t>
            </w:r>
          </w:p>
        </w:tc>
        <w:tc>
          <w:tcPr>
            <w:tcW w:type="dxa" w:w="2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Eléctrico / VE</w:t>
            </w:r>
          </w:p>
        </w:tc>
        <w:tc>
          <w:tcPr>
            <w:tcW w:type="dxa" w:w="2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8.000+ instaladores Madrid</w:t>
            </w:r>
          </w:p>
        </w:tc>
        <w:tc>
          <w:tcPr>
            <w:tcW w:type="dxa" w:w="324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 Ya en outreach activo</w:t>
            </w:r>
          </w:p>
        </w:tc>
      </w:tr>
      <w:tr>
        <w:trPr>
          <w:cantSplit/>
        </w:trPr>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CONAIF</w:t>
            </w:r>
          </w:p>
        </w:tc>
        <w:tc>
          <w:tcPr>
            <w:tcW w:type="dxa" w:w="2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Instaladores (todos)</w:t>
            </w:r>
          </w:p>
        </w:tc>
        <w:tc>
          <w:tcPr>
            <w:tcW w:type="dxa" w:w="2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200.000+ trabajadores</w:t>
            </w:r>
          </w:p>
        </w:tc>
        <w:tc>
          <w:tcPr>
            <w:tcW w:type="dxa" w:w="324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Muy alta. Canal nacional multi-oficio</w:t>
            </w:r>
          </w:p>
        </w:tc>
      </w:tr>
      <w:tr>
        <w:trPr>
          <w:cantSplit/>
        </w:trPr>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UNEF</w:t>
            </w:r>
          </w:p>
        </w:tc>
        <w:tc>
          <w:tcPr>
            <w:tcW w:type="dxa" w:w="2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Fotovoltaica</w:t>
            </w:r>
          </w:p>
        </w:tc>
        <w:tc>
          <w:tcPr>
            <w:tcW w:type="dxa" w:w="2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500+ empresas</w:t>
            </w:r>
          </w:p>
        </w:tc>
        <w:tc>
          <w:tcPr>
            <w:tcW w:type="dxa" w:w="324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 Referente FV en España</w:t>
            </w:r>
          </w:p>
        </w:tc>
      </w:tr>
      <w:tr>
        <w:trPr>
          <w:cantSplit/>
        </w:trPr>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ANES</w:t>
            </w:r>
          </w:p>
        </w:tc>
        <w:tc>
          <w:tcPr>
            <w:tcW w:type="dxa" w:w="2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Energía solar</w:t>
            </w:r>
          </w:p>
        </w:tc>
        <w:tc>
          <w:tcPr>
            <w:tcW w:type="dxa" w:w="2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400+ empresas</w:t>
            </w:r>
          </w:p>
        </w:tc>
        <w:tc>
          <w:tcPr>
            <w:tcW w:type="dxa" w:w="324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Media-alta. Especializada en O&amp;M</w:t>
            </w:r>
          </w:p>
        </w:tc>
      </w:tr>
      <w:tr>
        <w:trPr>
          <w:cantSplit/>
        </w:trPr>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AFRE</w:t>
            </w:r>
          </w:p>
        </w:tc>
        <w:tc>
          <w:tcPr>
            <w:tcW w:type="dxa" w:w="2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Recarga eléctrica</w:t>
            </w:r>
          </w:p>
        </w:tc>
        <w:tc>
          <w:tcPr>
            <w:tcW w:type="dxa" w:w="2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150+ empresas</w:t>
            </w:r>
          </w:p>
        </w:tc>
        <w:tc>
          <w:tcPr>
            <w:tcW w:type="dxa" w:w="324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 Foco en operadores de red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none" w:color="FFFFFF" w:sz="0"/>
              <w:bottom w:val="none" w:color="FFFFFF" w:sz="0"/>
              <w:right w:val="none" w:color="FFFFFF" w:sz="0"/>
            </w:tcBorders>
            <w:shd w:fill="1C2535" w:val="clear"/>
            <w:tcMar>
              <w:top w:type="dxa" w:w="160"/>
              <w:left w:type="dxa" w:w="240"/>
              <w:bottom w:type="dxa" w:w="160"/>
              <w:right w:type="dxa" w:w="240"/>
            </w:tcMar>
          </w:tcPr>
          <w:p>
            <w:r>
              <w:rPr>
                <w:rFonts w:ascii="Arial" w:cs="Arial" w:eastAsia="Arial" w:hAnsi="Arial"/>
                <w:b/>
                <w:bCs/>
                <w:color w:val="FFFFFF"/>
                <w:sz w:val="30"/>
                <w:szCs w:val="30"/>
              </w:rPr>
              <w:t xml:space="preserve">03. Perfil de Cliente Ideal</w:t>
            </w:r>
          </w:p>
          <w:p>
            <w:r>
              <w:rPr>
                <w:rFonts w:ascii="Arial" w:cs="Arial" w:eastAsia="Arial" w:hAnsi="Arial"/>
                <w:color w:val="D5E8F0"/>
                <w:sz w:val="20"/>
                <w:szCs w:val="20"/>
              </w:rPr>
              <w:t xml:space="preserve">Autónomo · PYME · Empresa</w:t>
            </w:r>
          </w:p>
        </w:tc>
      </w:tr>
    </w:tbl>
    <w:p>
      <w:pPr>
        <w:spacing w:after="160" w:before="160"/>
      </w:pPr>
    </w:p>
    <w:p>
      <w:pPr>
        <w:spacing w:after="120" w:before="240"/>
      </w:pPr>
      <w:r>
        <w:rPr>
          <w:rFonts w:ascii="Arial" w:cs="Arial" w:eastAsia="Arial" w:hAnsi="Arial"/>
          <w:b/>
          <w:bCs/>
          <w:color w:val="1C2535"/>
          <w:sz w:val="26"/>
          <w:szCs w:val="26"/>
        </w:rPr>
        <w:t xml:space="preserve">3.1 Cargadores VE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rPr>
          <w:cantSplit/>
        </w:trPr>
        <w:tc>
          <w:tcPr>
            <w:tcW w:type="dxa" w:w="156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
            </w:r>
          </w:p>
        </w:tc>
        <w:tc>
          <w:tcPr>
            <w:tcW w:type="dxa" w:w="26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Autónomo</w:t>
            </w:r>
          </w:p>
        </w:tc>
        <w:tc>
          <w:tcPr>
            <w:tcW w:type="dxa" w:w="26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PYME (2-10 técnicos)</w:t>
            </w:r>
          </w:p>
        </w:tc>
        <w:tc>
          <w:tcPr>
            <w:tcW w:type="dxa" w:w="26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Empresa (10+ técnicos)</w:t>
            </w:r>
          </w:p>
        </w:tc>
      </w:tr>
      <w:tr>
        <w:trPr>
          <w:cantSplit/>
        </w:trPr>
        <w:tc>
          <w:tcPr>
            <w:tcW w:type="dxa" w:w="1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Perfil</w:t>
            </w:r>
          </w:p>
        </w:tc>
        <w:tc>
          <w:tcPr>
            <w:tcW w:type="dxa" w:w="2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Electricista habilitado para VE. 1-2 técnicos. Instala wallboxes residenciales y comunitarios</w:t>
            </w:r>
          </w:p>
        </w:tc>
        <w:tc>
          <w:tcPr>
            <w:tcW w:type="dxa" w:w="2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Empresa eléctrica con división VE. Contratos con promotoras, hoteles, empresas de flotas</w:t>
            </w:r>
          </w:p>
        </w:tc>
        <w:tc>
          <w:tcPr>
            <w:tcW w:type="dxa" w:w="2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Empresa especializada en infraestructura de recarga. Contratos con autopistas, municipios, grandes superficies</w:t>
            </w:r>
          </w:p>
        </w:tc>
      </w:tr>
      <w:tr>
        <w:trPr>
          <w:cantSplit/>
        </w:trPr>
        <w:tc>
          <w:tcPr>
            <w:tcW w:type="dxa" w:w="1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Facturación</w:t>
            </w:r>
          </w:p>
        </w:tc>
        <w:tc>
          <w:tcPr>
            <w:tcW w:type="dxa" w:w="2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€40.000–€120.000/año</w:t>
            </w:r>
          </w:p>
        </w:tc>
        <w:tc>
          <w:tcPr>
            <w:tcW w:type="dxa" w:w="2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€200.000–€1.200.000/año</w:t>
            </w:r>
          </w:p>
        </w:tc>
        <w:tc>
          <w:tcPr>
            <w:tcW w:type="dxa" w:w="2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€1.200.000+/año</w:t>
            </w:r>
          </w:p>
        </w:tc>
      </w:tr>
      <w:tr>
        <w:trPr>
          <w:cantSplit/>
        </w:trPr>
        <w:tc>
          <w:tcPr>
            <w:tcW w:type="dxa" w:w="1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Trabajos/mes</w:t>
            </w:r>
          </w:p>
        </w:tc>
        <w:tc>
          <w:tcPr>
            <w:tcW w:type="dxa" w:w="2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8–20 instalaciones</w:t>
            </w:r>
          </w:p>
        </w:tc>
        <w:tc>
          <w:tcPr>
            <w:tcW w:type="dxa" w:w="2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30–80 puntos de recarga</w:t>
            </w:r>
          </w:p>
        </w:tc>
        <w:tc>
          <w:tcPr>
            <w:tcW w:type="dxa" w:w="2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100+ puntos, gestión flota</w:t>
            </w:r>
          </w:p>
        </w:tc>
      </w:tr>
      <w:tr>
        <w:trPr>
          <w:cantSplit/>
        </w:trPr>
        <w:tc>
          <w:tcPr>
            <w:tcW w:type="dxa" w:w="1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Pain principal</w:t>
            </w:r>
          </w:p>
        </w:tc>
        <w:tc>
          <w:tcPr>
            <w:tcW w:type="dxa" w:w="2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Legalización manual, presupuestos lentos, ITC-BT-52 compleja</w:t>
            </w:r>
          </w:p>
        </w:tc>
        <w:tc>
          <w:tcPr>
            <w:tcW w:type="dxa" w:w="2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Coordinación técnicos, documentación legalización, planificación rutas</w:t>
            </w:r>
          </w:p>
        </w:tc>
        <w:tc>
          <w:tcPr>
            <w:tcW w:type="dxa" w:w="2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CRM clientes recarga, O&amp;M preventivo, facturación recurrente</w:t>
            </w:r>
          </w:p>
        </w:tc>
      </w:tr>
      <w:tr>
        <w:trPr>
          <w:cantSplit/>
        </w:trPr>
        <w:tc>
          <w:tcPr>
            <w:tcW w:type="dxa" w:w="1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Plan TrabFlow ideal</w:t>
            </w:r>
          </w:p>
        </w:tc>
        <w:tc>
          <w:tcPr>
            <w:tcW w:type="dxa" w:w="2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Profesional €49/mes</w:t>
            </w:r>
          </w:p>
        </w:tc>
        <w:tc>
          <w:tcPr>
            <w:tcW w:type="dxa" w:w="2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Empresa €89/mes</w:t>
            </w:r>
          </w:p>
        </w:tc>
        <w:tc>
          <w:tcPr>
            <w:tcW w:type="dxa" w:w="2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Empresa+ €179/mes</w:t>
            </w:r>
          </w:p>
        </w:tc>
      </w:tr>
    </w:tbl>
    <w:p>
      <w:pPr>
        <w:spacing w:after="120" w:before="120"/>
      </w:pPr>
    </w:p>
    <w:p>
      <w:pPr>
        <w:spacing w:after="120" w:before="240"/>
      </w:pPr>
      <w:r>
        <w:rPr>
          <w:rFonts w:ascii="Arial" w:cs="Arial" w:eastAsia="Arial" w:hAnsi="Arial"/>
          <w:b/>
          <w:bCs/>
          <w:color w:val="1C2535"/>
          <w:sz w:val="26"/>
          <w:szCs w:val="26"/>
        </w:rPr>
        <w:t xml:space="preserve">3.2 Fotovoltaica Industrial</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rPr>
          <w:cantSplit/>
        </w:trPr>
        <w:tc>
          <w:tcPr>
            <w:tcW w:type="dxa" w:w="156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
            </w:r>
          </w:p>
        </w:tc>
        <w:tc>
          <w:tcPr>
            <w:tcW w:type="dxa" w:w="26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Autónomo</w:t>
            </w:r>
          </w:p>
        </w:tc>
        <w:tc>
          <w:tcPr>
            <w:tcW w:type="dxa" w:w="26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PYME (2-10 técnicos)</w:t>
            </w:r>
          </w:p>
        </w:tc>
        <w:tc>
          <w:tcPr>
            <w:tcW w:type="dxa" w:w="26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Empresa (10+ técnicos)</w:t>
            </w:r>
          </w:p>
        </w:tc>
      </w:tr>
      <w:tr>
        <w:trPr>
          <w:cantSplit/>
        </w:trPr>
        <w:tc>
          <w:tcPr>
            <w:tcW w:type="dxa" w:w="1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Perfil</w:t>
            </w:r>
          </w:p>
        </w:tc>
        <w:tc>
          <w:tcPr>
            <w:tcW w:type="dxa" w:w="2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Instalador FV residencial/industrial pequeño. Instalaciones hasta 100 kWp</w:t>
            </w:r>
          </w:p>
        </w:tc>
        <w:tc>
          <w:tcPr>
            <w:tcW w:type="dxa" w:w="2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Empresa con proyectos industriales 100-500 kWp. Cartera de mantenimiento activa</w:t>
            </w:r>
          </w:p>
        </w:tc>
        <w:tc>
          <w:tcPr>
            <w:tcW w:type="dxa" w:w="2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O&amp;M provider. Gestiona parque de plantas. Contratos plurianuales</w:t>
            </w:r>
          </w:p>
        </w:tc>
      </w:tr>
      <w:tr>
        <w:trPr>
          <w:cantSplit/>
        </w:trPr>
        <w:tc>
          <w:tcPr>
            <w:tcW w:type="dxa" w:w="1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Facturación</w:t>
            </w:r>
          </w:p>
        </w:tc>
        <w:tc>
          <w:tcPr>
            <w:tcW w:type="dxa" w:w="2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€60.000–€200.000/año</w:t>
            </w:r>
          </w:p>
        </w:tc>
        <w:tc>
          <w:tcPr>
            <w:tcW w:type="dxa" w:w="2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€400.000–€3.000.000/año</w:t>
            </w:r>
          </w:p>
        </w:tc>
        <w:tc>
          <w:tcPr>
            <w:tcW w:type="dxa" w:w="2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€3.000.000+/año</w:t>
            </w:r>
          </w:p>
        </w:tc>
      </w:tr>
      <w:tr>
        <w:trPr>
          <w:cantSplit/>
        </w:trPr>
        <w:tc>
          <w:tcPr>
            <w:tcW w:type="dxa" w:w="1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Contratos O&amp;M activos</w:t>
            </w:r>
          </w:p>
        </w:tc>
        <w:tc>
          <w:tcPr>
            <w:tcW w:type="dxa" w:w="2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0-5 contratos</w:t>
            </w:r>
          </w:p>
        </w:tc>
        <w:tc>
          <w:tcPr>
            <w:tcW w:type="dxa" w:w="2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10-50 contratos</w:t>
            </w:r>
          </w:p>
        </w:tc>
        <w:tc>
          <w:tcPr>
            <w:tcW w:type="dxa" w:w="2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50-500 contratos</w:t>
            </w:r>
          </w:p>
        </w:tc>
      </w:tr>
      <w:tr>
        <w:trPr>
          <w:cantSplit/>
        </w:trPr>
        <w:tc>
          <w:tcPr>
            <w:tcW w:type="dxa" w:w="1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Pain principal</w:t>
            </w:r>
          </w:p>
        </w:tc>
        <w:tc>
          <w:tcPr>
            <w:tcW w:type="dxa" w:w="2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Informes de producción manuales, partes de trabajo en papel, sin seguimiento de incidencias</w:t>
            </w:r>
          </w:p>
        </w:tc>
        <w:tc>
          <w:tcPr>
            <w:tcW w:type="dxa" w:w="2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Coordinación preventivos, termografías programadas, reporting a clientes, facturación recurrente O&amp;M</w:t>
            </w:r>
          </w:p>
        </w:tc>
        <w:tc>
          <w:tcPr>
            <w:tcW w:type="dxa" w:w="2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Monitorización centralizada, alertas de rendimiento, gestión SLA, documentación regulatoria</w:t>
            </w:r>
          </w:p>
        </w:tc>
      </w:tr>
      <w:tr>
        <w:trPr>
          <w:cantSplit/>
        </w:trPr>
        <w:tc>
          <w:tcPr>
            <w:tcW w:type="dxa" w:w="1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Plan TrabFlow ideal</w:t>
            </w:r>
          </w:p>
        </w:tc>
        <w:tc>
          <w:tcPr>
            <w:tcW w:type="dxa" w:w="2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Profesional €49/mes</w:t>
            </w:r>
          </w:p>
        </w:tc>
        <w:tc>
          <w:tcPr>
            <w:tcW w:type="dxa" w:w="2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Empresa €89/mes</w:t>
            </w:r>
          </w:p>
        </w:tc>
        <w:tc>
          <w:tcPr>
            <w:tcW w:type="dxa" w:w="2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Empresa+ €179/mes + módulo O&amp;M avanzado</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none" w:color="FFFFFF" w:sz="0"/>
              <w:bottom w:val="none" w:color="FFFFFF" w:sz="0"/>
              <w:right w:val="none" w:color="FFFFFF" w:sz="0"/>
            </w:tcBorders>
            <w:shd w:fill="1C2535" w:val="clear"/>
            <w:tcMar>
              <w:top w:type="dxa" w:w="160"/>
              <w:left w:type="dxa" w:w="240"/>
              <w:bottom w:type="dxa" w:w="160"/>
              <w:right w:type="dxa" w:w="240"/>
            </w:tcMar>
          </w:tcPr>
          <w:p>
            <w:r>
              <w:rPr>
                <w:rFonts w:ascii="Arial" w:cs="Arial" w:eastAsia="Arial" w:hAnsi="Arial"/>
                <w:b/>
                <w:bCs/>
                <w:color w:val="FFFFFF"/>
                <w:sz w:val="30"/>
                <w:szCs w:val="30"/>
              </w:rPr>
              <w:t xml:space="preserve">04. Problemas que Resuelve TrabFlow</w:t>
            </w:r>
          </w:p>
          <w:p>
            <w:r>
              <w:rPr>
                <w:rFonts w:ascii="Arial" w:cs="Arial" w:eastAsia="Arial" w:hAnsi="Arial"/>
                <w:color w:val="D5E8F0"/>
                <w:sz w:val="20"/>
                <w:szCs w:val="20"/>
              </w:rPr>
              <w:t xml:space="preserve">Los 10 dolores principales de cada vertical</w:t>
            </w:r>
          </w:p>
        </w:tc>
      </w:tr>
    </w:tbl>
    <w:p>
      <w:pPr>
        <w:spacing w:after="160" w:before="160"/>
      </w:pPr>
    </w:p>
    <w:p>
      <w:pPr>
        <w:spacing w:after="120" w:before="240"/>
      </w:pPr>
      <w:r>
        <w:rPr>
          <w:rFonts w:ascii="Arial" w:cs="Arial" w:eastAsia="Arial" w:hAnsi="Arial"/>
          <w:b/>
          <w:bCs/>
          <w:color w:val="1C2535"/>
          <w:sz w:val="26"/>
          <w:szCs w:val="26"/>
        </w:rPr>
        <w:t xml:space="preserve">4.1 Cargadores VE — Problemas actuales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cantSplit/>
        </w:trPr>
        <w:tc>
          <w:tcPr>
            <w:tcW w:type="dxa" w:w="36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Problema</w:t>
            </w:r>
          </w:p>
        </w:tc>
        <w:tc>
          <w:tcPr>
            <w:tcW w:type="dxa" w:w="576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Cómo lo resuelve TrabFlow</w:t>
            </w:r>
          </w:p>
        </w:tc>
      </w:tr>
      <w:tr>
        <w:trPr>
          <w:cantSplit/>
        </w:trPr>
        <w:tc>
          <w:tcPr>
            <w:tcW w:type="dxa" w:w="3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Presupuestos lentos por complejidad de ITC-BT-52</w:t>
            </w:r>
          </w:p>
        </w:tc>
        <w:tc>
          <w:tcPr>
            <w:tcW w:type="dxa" w:w="57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IA genera partidas REBT/ITC-BT-52 automáticamente desde voz</w:t>
            </w:r>
          </w:p>
        </w:tc>
      </w:tr>
      <w:tr>
        <w:trPr>
          <w:cantSplit/>
        </w:trPr>
        <w:tc>
          <w:tcPr>
            <w:tcW w:type="dxa" w:w="3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Documentación legalización manual</w:t>
            </w:r>
          </w:p>
        </w:tc>
        <w:tc>
          <w:tcPr>
            <w:tcW w:type="dxa" w:w="57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Asistente RAG genera borradores de memoria técnica y certificado de instalación</w:t>
            </w:r>
          </w:p>
        </w:tc>
      </w:tr>
      <w:tr>
        <w:trPr>
          <w:cantSplit/>
        </w:trPr>
        <w:tc>
          <w:tcPr>
            <w:tcW w:type="dxa" w:w="3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Gestión de subvenciones MOVES sin seguimiento</w:t>
            </w:r>
          </w:p>
        </w:tc>
        <w:tc>
          <w:tcPr>
            <w:tcW w:type="dxa" w:w="57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CRM TrabFlow con estado de expediente y fechas límite</w:t>
            </w:r>
          </w:p>
        </w:tc>
      </w:tr>
      <w:tr>
        <w:trPr>
          <w:cantSplit/>
        </w:trPr>
        <w:tc>
          <w:tcPr>
            <w:tcW w:type="dxa" w:w="3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Planificación ineficiente de rutas</w:t>
            </w:r>
          </w:p>
        </w:tc>
        <w:tc>
          <w:tcPr>
            <w:tcW w:type="dxa" w:w="57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Módulo de ruta diaria óptima por técnico</w:t>
            </w:r>
          </w:p>
        </w:tc>
      </w:tr>
      <w:tr>
        <w:trPr>
          <w:cantSplit/>
        </w:trPr>
        <w:tc>
          <w:tcPr>
            <w:tcW w:type="dxa" w:w="3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Sin control de mantenimientos preventivos</w:t>
            </w:r>
          </w:p>
        </w:tc>
        <w:tc>
          <w:tcPr>
            <w:tcW w:type="dxa" w:w="57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Módulo de contratos O&amp;M con avisos automáticos</w:t>
            </w:r>
          </w:p>
        </w:tc>
      </w:tr>
      <w:tr>
        <w:trPr>
          <w:cantSplit/>
        </w:trPr>
        <w:tc>
          <w:tcPr>
            <w:tcW w:type="dxa" w:w="3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Partes de trabajo en papel</w:t>
            </w:r>
          </w:p>
        </w:tc>
        <w:tc>
          <w:tcPr>
            <w:tcW w:type="dxa" w:w="57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Partes digitales desde el móvil con foto de la instalación</w:t>
            </w:r>
          </w:p>
        </w:tc>
      </w:tr>
      <w:tr>
        <w:trPr>
          <w:cantSplit/>
        </w:trPr>
        <w:tc>
          <w:tcPr>
            <w:tcW w:type="dxa" w:w="3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Facturación manual post-instalación</w:t>
            </w:r>
          </w:p>
        </w:tc>
        <w:tc>
          <w:tcPr>
            <w:tcW w:type="dxa" w:w="57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Factura automática desde presupuesto aceptado. VeriFactu incluido</w:t>
            </w:r>
          </w:p>
        </w:tc>
      </w:tr>
      <w:tr>
        <w:trPr>
          <w:cantSplit/>
        </w:trPr>
        <w:tc>
          <w:tcPr>
            <w:tcW w:type="dxa" w:w="3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Sin seguimiento de avería ni historial</w:t>
            </w:r>
          </w:p>
        </w:tc>
        <w:tc>
          <w:tcPr>
            <w:tcW w:type="dxa" w:w="57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CRM con historial completo de cada punto de recarga</w:t>
            </w:r>
          </w:p>
        </w:tc>
      </w:tr>
      <w:tr>
        <w:trPr>
          <w:cantSplit/>
        </w:trPr>
        <w:tc>
          <w:tcPr>
            <w:tcW w:type="dxa" w:w="3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Coordinación difícil en instalaciones comunitarias</w:t>
            </w:r>
          </w:p>
        </w:tc>
        <w:tc>
          <w:tcPr>
            <w:tcW w:type="dxa" w:w="57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Gestión multi-propietario, pagos parciales, comunicaciones</w:t>
            </w:r>
          </w:p>
        </w:tc>
      </w:tr>
      <w:tr>
        <w:trPr>
          <w:cantSplit/>
        </w:trPr>
        <w:tc>
          <w:tcPr>
            <w:tcW w:type="dxa" w:w="3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Sin catálogo de materiales VE integrado</w:t>
            </w:r>
          </w:p>
        </w:tc>
        <w:tc>
          <w:tcPr>
            <w:tcW w:type="dxa" w:w="57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Catálogo con referencias Wallbox, ABB, Schneider, Circutor</w:t>
            </w:r>
          </w:p>
        </w:tc>
      </w:tr>
    </w:tbl>
    <w:p>
      <w:pPr>
        <w:spacing w:after="120" w:before="120"/>
      </w:pPr>
    </w:p>
    <w:p>
      <w:pPr>
        <w:spacing w:after="120" w:before="240"/>
      </w:pPr>
      <w:r>
        <w:rPr>
          <w:rFonts w:ascii="Arial" w:cs="Arial" w:eastAsia="Arial" w:hAnsi="Arial"/>
          <w:b/>
          <w:bCs/>
          <w:color w:val="1C2535"/>
          <w:sz w:val="26"/>
          <w:szCs w:val="26"/>
        </w:rPr>
        <w:t xml:space="preserve">4.2 Fotovoltaica Industrial — Problemas actuales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cantSplit/>
        </w:trPr>
        <w:tc>
          <w:tcPr>
            <w:tcW w:type="dxa" w:w="36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Problema</w:t>
            </w:r>
          </w:p>
        </w:tc>
        <w:tc>
          <w:tcPr>
            <w:tcW w:type="dxa" w:w="576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Cómo lo resuelve TrabFlow</w:t>
            </w:r>
          </w:p>
        </w:tc>
      </w:tr>
      <w:tr>
        <w:trPr>
          <w:cantSplit/>
        </w:trPr>
        <w:tc>
          <w:tcPr>
            <w:tcW w:type="dxa" w:w="3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Reporting de producción manual</w:t>
            </w:r>
          </w:p>
        </w:tc>
        <w:tc>
          <w:tcPr>
            <w:tcW w:type="dxa" w:w="57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Módulo O&amp;M con informes de rendimiento automatizados</w:t>
            </w:r>
          </w:p>
        </w:tc>
      </w:tr>
      <w:tr>
        <w:trPr>
          <w:cantSplit/>
        </w:trPr>
        <w:tc>
          <w:tcPr>
            <w:tcW w:type="dxa" w:w="3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Gestión de contratos O&amp;M en Excel</w:t>
            </w:r>
          </w:p>
        </w:tc>
        <w:tc>
          <w:tcPr>
            <w:tcW w:type="dxa" w:w="57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Contratos de mantenimiento con SLA, preventivos programados y alertas</w:t>
            </w:r>
          </w:p>
        </w:tc>
      </w:tr>
      <w:tr>
        <w:trPr>
          <w:cantSplit/>
        </w:trPr>
        <w:tc>
          <w:tcPr>
            <w:tcW w:type="dxa" w:w="3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Sin control de termografías programadas</w:t>
            </w:r>
          </w:p>
        </w:tc>
        <w:tc>
          <w:tcPr>
            <w:tcW w:type="dxa" w:w="57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Base Maestra incluye actuación 'inspección termográfica' con checklist y periodicidad</w:t>
            </w:r>
          </w:p>
        </w:tc>
      </w:tr>
      <w:tr>
        <w:trPr>
          <w:cantSplit/>
        </w:trPr>
        <w:tc>
          <w:tcPr>
            <w:tcW w:type="dxa" w:w="3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Incidencias sin trazabilidad</w:t>
            </w:r>
          </w:p>
        </w:tc>
        <w:tc>
          <w:tcPr>
            <w:tcW w:type="dxa" w:w="57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Sistema de incidencias con prioridad, asignación y cierre</w:t>
            </w:r>
          </w:p>
        </w:tc>
      </w:tr>
      <w:tr>
        <w:trPr>
          <w:cantSplit/>
        </w:trPr>
        <w:tc>
          <w:tcPr>
            <w:tcW w:type="dxa" w:w="3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Documentación regulatoria dispersa</w:t>
            </w:r>
          </w:p>
        </w:tc>
        <w:tc>
          <w:tcPr>
            <w:tcW w:type="dxa" w:w="57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Asistente RAG con RD 244/2019, RD 1183/2020, normativa IDAE, UNE-EN 62446</w:t>
            </w:r>
          </w:p>
        </w:tc>
      </w:tr>
      <w:tr>
        <w:trPr>
          <w:cantSplit/>
        </w:trPr>
        <w:tc>
          <w:tcPr>
            <w:tcW w:type="dxa" w:w="3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Presupuestos de ampliación lentos</w:t>
            </w:r>
          </w:p>
        </w:tc>
        <w:tc>
          <w:tcPr>
            <w:tcW w:type="dxa" w:w="57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IA genera presupuesto de ampliación desde actuación tipo</w:t>
            </w:r>
          </w:p>
        </w:tc>
      </w:tr>
      <w:tr>
        <w:trPr>
          <w:cantSplit/>
        </w:trPr>
        <w:tc>
          <w:tcPr>
            <w:tcW w:type="dxa" w:w="3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Sin seguimiento de garantías de inversor</w:t>
            </w:r>
          </w:p>
        </w:tc>
        <w:tc>
          <w:tcPr>
            <w:tcW w:type="dxa" w:w="57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CRM con registro de garantías, fechas, fabricante y gestor</w:t>
            </w:r>
          </w:p>
        </w:tc>
      </w:tr>
      <w:tr>
        <w:trPr>
          <w:cantSplit/>
        </w:trPr>
        <w:tc>
          <w:tcPr>
            <w:tcW w:type="dxa" w:w="3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Facturación O&amp;M manual y repetitiva</w:t>
            </w:r>
          </w:p>
        </w:tc>
        <w:tc>
          <w:tcPr>
            <w:tcW w:type="dxa" w:w="57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Facturación recurrente automática desde contratos de mantenimiento</w:t>
            </w:r>
          </w:p>
        </w:tc>
      </w:tr>
      <w:tr>
        <w:trPr>
          <w:cantSplit/>
        </w:trPr>
        <w:tc>
          <w:tcPr>
            <w:tcW w:type="dxa" w:w="3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Sin control de rendimiento vs. estimado</w:t>
            </w:r>
          </w:p>
        </w:tc>
        <w:tc>
          <w:tcPr>
            <w:tcW w:type="dxa" w:w="57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Módulo comparativo producción real vs. estimada (roadmap avanzado)</w:t>
            </w:r>
          </w:p>
        </w:tc>
      </w:tr>
      <w:tr>
        <w:trPr>
          <w:cantSplit/>
        </w:trPr>
        <w:tc>
          <w:tcPr>
            <w:tcW w:type="dxa" w:w="3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Gestión de subcontratistas en campo</w:t>
            </w:r>
          </w:p>
        </w:tc>
        <w:tc>
          <w:tcPr>
            <w:tcW w:type="dxa" w:w="57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Módulo de trabajos externalizados con seguimiento y margen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none" w:color="FFFFFF" w:sz="0"/>
              <w:bottom w:val="none" w:color="FFFFFF" w:sz="0"/>
              <w:right w:val="none" w:color="FFFFFF" w:sz="0"/>
            </w:tcBorders>
            <w:shd w:fill="1C2535" w:val="clear"/>
            <w:tcMar>
              <w:top w:type="dxa" w:w="160"/>
              <w:left w:type="dxa" w:w="240"/>
              <w:bottom w:type="dxa" w:w="160"/>
              <w:right w:type="dxa" w:w="240"/>
            </w:tcMar>
          </w:tcPr>
          <w:p>
            <w:r>
              <w:rPr>
                <w:rFonts w:ascii="Arial" w:cs="Arial" w:eastAsia="Arial" w:hAnsi="Arial"/>
                <w:b/>
                <w:bCs/>
                <w:color w:val="FFFFFF"/>
                <w:sz w:val="30"/>
                <w:szCs w:val="30"/>
              </w:rPr>
              <w:t xml:space="preserve">05. Módulos de TrabFlow — Valor por Vertical</w:t>
            </w:r>
          </w:p>
          <w:p>
            <w:r>
              <w:rPr>
                <w:rFonts w:ascii="Arial" w:cs="Arial" w:eastAsia="Arial" w:hAnsi="Arial"/>
                <w:color w:val="D5E8F0"/>
                <w:sz w:val="20"/>
                <w:szCs w:val="20"/>
              </w:rPr>
              <w:t xml:space="preserve">Evaluación de impacto por módulo</w:t>
            </w:r>
          </w:p>
        </w:tc>
      </w:tr>
    </w:tbl>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760"/>
      </w:tblGrid>
      <w:tr>
        <w:trPr>
          <w:cantSplit/>
        </w:trPr>
        <w:tc>
          <w:tcPr>
            <w:tcW w:type="dxa" w:w="28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Módulo TrabFlow</w:t>
            </w:r>
          </w:p>
        </w:tc>
        <w:tc>
          <w:tcPr>
            <w:tcW w:type="dxa" w:w="14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VE</w:t>
            </w:r>
          </w:p>
        </w:tc>
        <w:tc>
          <w:tcPr>
            <w:tcW w:type="dxa" w:w="14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FV Industrial</w:t>
            </w:r>
          </w:p>
        </w:tc>
        <w:tc>
          <w:tcPr>
            <w:tcW w:type="dxa" w:w="376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Comentario</w:t>
            </w:r>
          </w:p>
        </w:tc>
      </w:tr>
      <w:tr>
        <w:trPr>
          <w:cantSplit/>
        </w:trP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Presupuestos IA</w:t>
            </w:r>
          </w:p>
        </w:tc>
        <w:tc>
          <w:tcPr>
            <w:tcW w:type="dxa" w:w="1400"/>
            <w:tcBorders>
              <w:top w:val="single" w:color="CCCCCC" w:sz="1"/>
              <w:left w:val="single" w:color="CCCCCC" w:sz="1"/>
              <w:bottom w:val="single" w:color="CCCCCC" w:sz="1"/>
              <w:right w:val="single" w:color="CCCCCC" w:sz="1"/>
            </w:tcBorders>
            <w:shd w:fill="D8F3DC" w:val="clear"/>
            <w:tcMar>
              <w:top w:type="dxa" w:w="70"/>
              <w:left w:type="dxa" w:w="110"/>
              <w:bottom w:type="dxa" w:w="70"/>
              <w:right w:type="dxa" w:w="110"/>
            </w:tcMar>
          </w:tcPr>
          <w:p>
            <w:pPr>
              <w:jc w:val="center"/>
            </w:pPr>
            <w:r>
              <w:rPr>
                <w:rFonts w:ascii="Arial" w:cs="Arial" w:eastAsia="Arial" w:hAnsi="Arial"/>
                <w:color w:val="1C2535"/>
                <w:sz w:val="20"/>
                <w:szCs w:val="20"/>
              </w:rPr>
              <w:t xml:space="preserve">Muy Alto</w:t>
            </w:r>
          </w:p>
        </w:tc>
        <w:tc>
          <w:tcPr>
            <w:tcW w:type="dxa" w:w="1400"/>
            <w:tcBorders>
              <w:top w:val="single" w:color="CCCCCC" w:sz="1"/>
              <w:left w:val="single" w:color="CCCCCC" w:sz="1"/>
              <w:bottom w:val="single" w:color="CCCCCC" w:sz="1"/>
              <w:right w:val="single" w:color="CCCCCC" w:sz="1"/>
            </w:tcBorders>
            <w:shd w:fill="D8F3DC" w:val="clear"/>
            <w:tcMar>
              <w:top w:type="dxa" w:w="70"/>
              <w:left w:type="dxa" w:w="110"/>
              <w:bottom w:type="dxa" w:w="70"/>
              <w:right w:type="dxa" w:w="110"/>
            </w:tcMar>
          </w:tcPr>
          <w:p>
            <w:pPr>
              <w:jc w:val="center"/>
            </w:pPr>
            <w:r>
              <w:rPr>
                <w:rFonts w:ascii="Arial" w:cs="Arial" w:eastAsia="Arial" w:hAnsi="Arial"/>
                <w:color w:val="1C2535"/>
                <w:sz w:val="20"/>
                <w:szCs w:val="20"/>
              </w:rPr>
              <w:t xml:space="preserve">Muy Alto</w:t>
            </w:r>
          </w:p>
        </w:tc>
        <w:tc>
          <w:tcPr>
            <w:tcW w:type="dxa" w:w="3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ITC-BT-52 y actuaciones FV tienen partidas complejas. La IA aporta el mayor valor diferencial</w:t>
            </w:r>
          </w:p>
        </w:tc>
      </w:tr>
      <w:tr>
        <w:trPr>
          <w:cantSplit/>
        </w:trP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Contratos de Mantenimiento O&amp;M</w:t>
            </w:r>
          </w:p>
        </w:tc>
        <w:tc>
          <w:tcPr>
            <w:tcW w:type="dxa" w:w="1400"/>
            <w:tcBorders>
              <w:top w:val="single" w:color="CCCCCC" w:sz="1"/>
              <w:left w:val="single" w:color="CCCCCC" w:sz="1"/>
              <w:bottom w:val="single" w:color="CCCCCC" w:sz="1"/>
              <w:right w:val="single" w:color="CCCCCC" w:sz="1"/>
            </w:tcBorders>
            <w:shd w:fill="D8F3DC" w:val="clear"/>
            <w:tcMar>
              <w:top w:type="dxa" w:w="70"/>
              <w:left w:type="dxa" w:w="110"/>
              <w:bottom w:type="dxa" w:w="70"/>
              <w:right w:type="dxa" w:w="110"/>
            </w:tcMar>
          </w:tcPr>
          <w:p>
            <w:pPr>
              <w:jc w:val="center"/>
            </w:pPr>
            <w:r>
              <w:rPr>
                <w:rFonts w:ascii="Arial" w:cs="Arial" w:eastAsia="Arial" w:hAnsi="Arial"/>
                <w:color w:val="1C2535"/>
                <w:sz w:val="20"/>
                <w:szCs w:val="20"/>
              </w:rPr>
              <w:t xml:space="preserve">Muy Alto</w:t>
            </w:r>
          </w:p>
        </w:tc>
        <w:tc>
          <w:tcPr>
            <w:tcW w:type="dxa" w:w="1400"/>
            <w:tcBorders>
              <w:top w:val="single" w:color="CCCCCC" w:sz="1"/>
              <w:left w:val="single" w:color="CCCCCC" w:sz="1"/>
              <w:bottom w:val="single" w:color="CCCCCC" w:sz="1"/>
              <w:right w:val="single" w:color="CCCCCC" w:sz="1"/>
            </w:tcBorders>
            <w:shd w:fill="D8F3DC" w:val="clear"/>
            <w:tcMar>
              <w:top w:type="dxa" w:w="70"/>
              <w:left w:type="dxa" w:w="110"/>
              <w:bottom w:type="dxa" w:w="70"/>
              <w:right w:type="dxa" w:w="110"/>
            </w:tcMar>
          </w:tcPr>
          <w:p>
            <w:pPr>
              <w:jc w:val="center"/>
            </w:pPr>
            <w:r>
              <w:rPr>
                <w:rFonts w:ascii="Arial" w:cs="Arial" w:eastAsia="Arial" w:hAnsi="Arial"/>
                <w:color w:val="1C2535"/>
                <w:sz w:val="20"/>
                <w:szCs w:val="20"/>
              </w:rPr>
              <w:t xml:space="preserve">Muy Alto</w:t>
            </w:r>
          </w:p>
        </w:tc>
        <w:tc>
          <w:tcPr>
            <w:tcW w:type="dxa" w:w="3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Ambos verticales tienen recurrencia estructural. Los contratos O&amp;M son la base del modelo de ingresos</w:t>
            </w:r>
          </w:p>
        </w:tc>
      </w:tr>
      <w:tr>
        <w:trPr>
          <w:cantSplit/>
        </w:trP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Base Maestra de Actuaciones</w:t>
            </w:r>
          </w:p>
        </w:tc>
        <w:tc>
          <w:tcPr>
            <w:tcW w:type="dxa" w:w="1400"/>
            <w:tcBorders>
              <w:top w:val="single" w:color="CCCCCC" w:sz="1"/>
              <w:left w:val="single" w:color="CCCCCC" w:sz="1"/>
              <w:bottom w:val="single" w:color="CCCCCC" w:sz="1"/>
              <w:right w:val="single" w:color="CCCCCC" w:sz="1"/>
            </w:tcBorders>
            <w:shd w:fill="D8F3DC" w:val="clear"/>
            <w:tcMar>
              <w:top w:type="dxa" w:w="70"/>
              <w:left w:type="dxa" w:w="110"/>
              <w:bottom w:type="dxa" w:w="70"/>
              <w:right w:type="dxa" w:w="110"/>
            </w:tcMar>
          </w:tcPr>
          <w:p>
            <w:pPr>
              <w:jc w:val="center"/>
            </w:pPr>
            <w:r>
              <w:rPr>
                <w:rFonts w:ascii="Arial" w:cs="Arial" w:eastAsia="Arial" w:hAnsi="Arial"/>
                <w:color w:val="1C2535"/>
                <w:sz w:val="20"/>
                <w:szCs w:val="20"/>
              </w:rPr>
              <w:t xml:space="preserve">Muy Alto</w:t>
            </w:r>
          </w:p>
        </w:tc>
        <w:tc>
          <w:tcPr>
            <w:tcW w:type="dxa" w:w="1400"/>
            <w:tcBorders>
              <w:top w:val="single" w:color="CCCCCC" w:sz="1"/>
              <w:left w:val="single" w:color="CCCCCC" w:sz="1"/>
              <w:bottom w:val="single" w:color="CCCCCC" w:sz="1"/>
              <w:right w:val="single" w:color="CCCCCC" w:sz="1"/>
            </w:tcBorders>
            <w:shd w:fill="D8F3DC" w:val="clear"/>
            <w:tcMar>
              <w:top w:type="dxa" w:w="70"/>
              <w:left w:type="dxa" w:w="110"/>
              <w:bottom w:type="dxa" w:w="70"/>
              <w:right w:type="dxa" w:w="110"/>
            </w:tcMar>
          </w:tcPr>
          <w:p>
            <w:pPr>
              <w:jc w:val="center"/>
            </w:pPr>
            <w:r>
              <w:rPr>
                <w:rFonts w:ascii="Arial" w:cs="Arial" w:eastAsia="Arial" w:hAnsi="Arial"/>
                <w:color w:val="1C2535"/>
                <w:sz w:val="20"/>
                <w:szCs w:val="20"/>
              </w:rPr>
              <w:t xml:space="preserve">Muy Alto</w:t>
            </w:r>
          </w:p>
        </w:tc>
        <w:tc>
          <w:tcPr>
            <w:tcW w:type="dxa" w:w="3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Sin Base Maestra específica, la IA no puede generar presupuestos correctos. Es el corazón</w:t>
            </w:r>
          </w:p>
        </w:tc>
      </w:tr>
      <w:tr>
        <w:trPr>
          <w:cantSplit/>
        </w:trP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Asistente Técnico Normativo (RAG)</w:t>
            </w:r>
          </w:p>
        </w:tc>
        <w:tc>
          <w:tcPr>
            <w:tcW w:type="dxa" w:w="1400"/>
            <w:tcBorders>
              <w:top w:val="single" w:color="CCCCCC" w:sz="1"/>
              <w:left w:val="single" w:color="CCCCCC" w:sz="1"/>
              <w:bottom w:val="single" w:color="CCCCCC" w:sz="1"/>
              <w:right w:val="single" w:color="CCCCCC" w:sz="1"/>
            </w:tcBorders>
            <w:shd w:fill="D8F3DC" w:val="clear"/>
            <w:tcMar>
              <w:top w:type="dxa" w:w="70"/>
              <w:left w:type="dxa" w:w="110"/>
              <w:bottom w:type="dxa" w:w="70"/>
              <w:right w:type="dxa" w:w="110"/>
            </w:tcMar>
          </w:tcPr>
          <w:p>
            <w:pPr>
              <w:jc w:val="center"/>
            </w:pPr>
            <w:r>
              <w:rPr>
                <w:rFonts w:ascii="Arial" w:cs="Arial" w:eastAsia="Arial" w:hAnsi="Arial"/>
                <w:color w:val="1C2535"/>
                <w:sz w:val="20"/>
                <w:szCs w:val="20"/>
              </w:rPr>
              <w:t xml:space="preserve">Muy Alto</w:t>
            </w:r>
          </w:p>
        </w:tc>
        <w:tc>
          <w:tcPr>
            <w:tcW w:type="dxa" w:w="140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pPr>
              <w:jc w:val="center"/>
            </w:pPr>
            <w:r>
              <w:rPr>
                <w:rFonts w:ascii="Arial" w:cs="Arial" w:eastAsia="Arial" w:hAnsi="Arial"/>
                <w:color w:val="1C2535"/>
                <w:sz w:val="20"/>
                <w:szCs w:val="20"/>
              </w:rPr>
              <w:t xml:space="preserve">Alto</w:t>
            </w:r>
          </w:p>
        </w:tc>
        <w:tc>
          <w:tcPr>
            <w:tcW w:type="dxa" w:w="3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ITC-BT-52 y RD 244/2019 son complejos. El instalador necesita consulta rápida en obra</w:t>
            </w:r>
          </w:p>
        </w:tc>
      </w:tr>
      <w:tr>
        <w:trPr>
          <w:cantSplit/>
        </w:trP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CRM y Seguimiento de Clientes</w:t>
            </w:r>
          </w:p>
        </w:tc>
        <w:tc>
          <w:tcPr>
            <w:tcW w:type="dxa" w:w="140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pPr>
              <w:jc w:val="center"/>
            </w:pPr>
            <w:r>
              <w:rPr>
                <w:rFonts w:ascii="Arial" w:cs="Arial" w:eastAsia="Arial" w:hAnsi="Arial"/>
                <w:color w:val="1C2535"/>
                <w:sz w:val="20"/>
                <w:szCs w:val="20"/>
              </w:rPr>
              <w:t xml:space="preserve">Alto</w:t>
            </w:r>
          </w:p>
        </w:tc>
        <w:tc>
          <w:tcPr>
            <w:tcW w:type="dxa" w:w="1400"/>
            <w:tcBorders>
              <w:top w:val="single" w:color="CCCCCC" w:sz="1"/>
              <w:left w:val="single" w:color="CCCCCC" w:sz="1"/>
              <w:bottom w:val="single" w:color="CCCCCC" w:sz="1"/>
              <w:right w:val="single" w:color="CCCCCC" w:sz="1"/>
            </w:tcBorders>
            <w:shd w:fill="D8F3DC" w:val="clear"/>
            <w:tcMar>
              <w:top w:type="dxa" w:w="70"/>
              <w:left w:type="dxa" w:w="110"/>
              <w:bottom w:type="dxa" w:w="70"/>
              <w:right w:type="dxa" w:w="110"/>
            </w:tcMar>
          </w:tcPr>
          <w:p>
            <w:pPr>
              <w:jc w:val="center"/>
            </w:pPr>
            <w:r>
              <w:rPr>
                <w:rFonts w:ascii="Arial" w:cs="Arial" w:eastAsia="Arial" w:hAnsi="Arial"/>
                <w:color w:val="1C2535"/>
                <w:sz w:val="20"/>
                <w:szCs w:val="20"/>
              </w:rPr>
              <w:t xml:space="preserve">Muy Alto</w:t>
            </w:r>
          </w:p>
        </w:tc>
        <w:tc>
          <w:tcPr>
            <w:tcW w:type="dxa" w:w="3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FV tiene clientes corporativos con múltiples plantas. Historial largo. Muy crítico</w:t>
            </w:r>
          </w:p>
        </w:tc>
      </w:tr>
      <w:tr>
        <w:trPr>
          <w:cantSplit/>
        </w:trP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Partes de Trabajo Digital</w:t>
            </w:r>
          </w:p>
        </w:tc>
        <w:tc>
          <w:tcPr>
            <w:tcW w:type="dxa" w:w="140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pPr>
              <w:jc w:val="center"/>
            </w:pPr>
            <w:r>
              <w:rPr>
                <w:rFonts w:ascii="Arial" w:cs="Arial" w:eastAsia="Arial" w:hAnsi="Arial"/>
                <w:color w:val="1C2535"/>
                <w:sz w:val="20"/>
                <w:szCs w:val="20"/>
              </w:rPr>
              <w:t xml:space="preserve">Alto</w:t>
            </w:r>
          </w:p>
        </w:tc>
        <w:tc>
          <w:tcPr>
            <w:tcW w:type="dxa" w:w="1400"/>
            <w:tcBorders>
              <w:top w:val="single" w:color="CCCCCC" w:sz="1"/>
              <w:left w:val="single" w:color="CCCCCC" w:sz="1"/>
              <w:bottom w:val="single" w:color="CCCCCC" w:sz="1"/>
              <w:right w:val="single" w:color="CCCCCC" w:sz="1"/>
            </w:tcBorders>
            <w:shd w:fill="D8F3DC" w:val="clear"/>
            <w:tcMar>
              <w:top w:type="dxa" w:w="70"/>
              <w:left w:type="dxa" w:w="110"/>
              <w:bottom w:type="dxa" w:w="70"/>
              <w:right w:type="dxa" w:w="110"/>
            </w:tcMar>
          </w:tcPr>
          <w:p>
            <w:pPr>
              <w:jc w:val="center"/>
            </w:pPr>
            <w:r>
              <w:rPr>
                <w:rFonts w:ascii="Arial" w:cs="Arial" w:eastAsia="Arial" w:hAnsi="Arial"/>
                <w:color w:val="1C2535"/>
                <w:sz w:val="20"/>
                <w:szCs w:val="20"/>
              </w:rPr>
              <w:t xml:space="preserve">Muy Alto</w:t>
            </w:r>
          </w:p>
        </w:tc>
        <w:tc>
          <w:tcPr>
            <w:tcW w:type="dxa" w:w="3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Las inspecciones termográficas, limpiezas y revisiones requieren parte con foto y firma</w:t>
            </w:r>
          </w:p>
        </w:tc>
      </w:tr>
      <w:tr>
        <w:trPr>
          <w:cantSplit/>
        </w:trP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Planificación y Rutas</w:t>
            </w:r>
          </w:p>
        </w:tc>
        <w:tc>
          <w:tcPr>
            <w:tcW w:type="dxa" w:w="140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pPr>
              <w:jc w:val="center"/>
            </w:pPr>
            <w:r>
              <w:rPr>
                <w:rFonts w:ascii="Arial" w:cs="Arial" w:eastAsia="Arial" w:hAnsi="Arial"/>
                <w:color w:val="1C2535"/>
                <w:sz w:val="20"/>
                <w:szCs w:val="20"/>
              </w:rPr>
              <w:t xml:space="preserve">Alto</w:t>
            </w:r>
          </w:p>
        </w:tc>
        <w:tc>
          <w:tcPr>
            <w:tcW w:type="dxa" w:w="140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pPr>
              <w:jc w:val="center"/>
            </w:pPr>
            <w:r>
              <w:rPr>
                <w:rFonts w:ascii="Arial" w:cs="Arial" w:eastAsia="Arial" w:hAnsi="Arial"/>
                <w:color w:val="1C2535"/>
                <w:sz w:val="20"/>
                <w:szCs w:val="20"/>
              </w:rPr>
              <w:t xml:space="preserve">Alto</w:t>
            </w:r>
          </w:p>
        </w:tc>
        <w:tc>
          <w:tcPr>
            <w:tcW w:type="dxa" w:w="3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Ambos tienen desplazamientos a clientes. FV con plantas alejadas. VE con garajes y parkings</w:t>
            </w:r>
          </w:p>
        </w:tc>
      </w:tr>
      <w:tr>
        <w:trPr>
          <w:cantSplit/>
        </w:trP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Facturación Automática VeriFactu</w:t>
            </w:r>
          </w:p>
        </w:tc>
        <w:tc>
          <w:tcPr>
            <w:tcW w:type="dxa" w:w="140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pPr>
              <w:jc w:val="center"/>
            </w:pPr>
            <w:r>
              <w:rPr>
                <w:rFonts w:ascii="Arial" w:cs="Arial" w:eastAsia="Arial" w:hAnsi="Arial"/>
                <w:color w:val="1C2535"/>
                <w:sz w:val="20"/>
                <w:szCs w:val="20"/>
              </w:rPr>
              <w:t xml:space="preserve">Alto</w:t>
            </w:r>
          </w:p>
        </w:tc>
        <w:tc>
          <w:tcPr>
            <w:tcW w:type="dxa" w:w="140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pPr>
              <w:jc w:val="center"/>
            </w:pPr>
            <w:r>
              <w:rPr>
                <w:rFonts w:ascii="Arial" w:cs="Arial" w:eastAsia="Arial" w:hAnsi="Arial"/>
                <w:color w:val="1C2535"/>
                <w:sz w:val="20"/>
                <w:szCs w:val="20"/>
              </w:rPr>
              <w:t xml:space="preserve">Alto</w:t>
            </w:r>
          </w:p>
        </w:tc>
        <w:tc>
          <w:tcPr>
            <w:tcW w:type="dxa" w:w="3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Ambos tienen facturación recurrente y puntual. Crítico para 2027</w:t>
            </w:r>
          </w:p>
        </w:tc>
      </w:tr>
      <w:tr>
        <w:trPr>
          <w:cantSplit/>
        </w:trP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Catálogo de Materiales</w:t>
            </w:r>
          </w:p>
        </w:tc>
        <w:tc>
          <w:tcPr>
            <w:tcW w:type="dxa" w:w="140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pPr>
              <w:jc w:val="center"/>
            </w:pPr>
            <w:r>
              <w:rPr>
                <w:rFonts w:ascii="Arial" w:cs="Arial" w:eastAsia="Arial" w:hAnsi="Arial"/>
                <w:color w:val="1C2535"/>
                <w:sz w:val="20"/>
                <w:szCs w:val="20"/>
              </w:rPr>
              <w:t xml:space="preserve">Alto</w:t>
            </w:r>
          </w:p>
        </w:tc>
        <w:tc>
          <w:tcPr>
            <w:tcW w:type="dxa" w:w="140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pPr>
              <w:jc w:val="center"/>
            </w:pPr>
            <w:r>
              <w:rPr>
                <w:rFonts w:ascii="Arial" w:cs="Arial" w:eastAsia="Arial" w:hAnsi="Arial"/>
                <w:color w:val="1C2535"/>
                <w:sz w:val="20"/>
                <w:szCs w:val="20"/>
              </w:rPr>
              <w:t xml:space="preserve">Alto</w:t>
            </w:r>
          </w:p>
        </w:tc>
        <w:tc>
          <w:tcPr>
            <w:tcW w:type="dxa" w:w="3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Referencias específicas VE (wallboxes, cableado, protecciones) y FV (inversores, paneles, strings)</w:t>
            </w:r>
          </w:p>
        </w:tc>
      </w:tr>
      <w:tr>
        <w:trPr>
          <w:cantSplit/>
        </w:trP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Gestión de Trabajadores</w:t>
            </w:r>
          </w:p>
        </w:tc>
        <w:tc>
          <w:tcPr>
            <w:tcW w:type="dxa" w:w="1400"/>
            <w:tcBorders>
              <w:top w:val="single" w:color="CCCCCC" w:sz="1"/>
              <w:left w:val="single" w:color="CCCCCC" w:sz="1"/>
              <w:bottom w:val="single" w:color="CCCCCC" w:sz="1"/>
              <w:right w:val="single" w:color="CCCCCC" w:sz="1"/>
            </w:tcBorders>
            <w:shd w:fill="E2E8F0" w:val="clear"/>
            <w:tcMar>
              <w:top w:type="dxa" w:w="70"/>
              <w:left w:type="dxa" w:w="110"/>
              <w:bottom w:type="dxa" w:w="70"/>
              <w:right w:type="dxa" w:w="110"/>
            </w:tcMar>
          </w:tcPr>
          <w:p>
            <w:pPr>
              <w:jc w:val="center"/>
            </w:pPr>
            <w:r>
              <w:rPr>
                <w:rFonts w:ascii="Arial" w:cs="Arial" w:eastAsia="Arial" w:hAnsi="Arial"/>
                <w:color w:val="1C2535"/>
                <w:sz w:val="20"/>
                <w:szCs w:val="20"/>
              </w:rPr>
              <w:t xml:space="preserve">Medio</w:t>
            </w:r>
          </w:p>
        </w:tc>
        <w:tc>
          <w:tcPr>
            <w:tcW w:type="dxa" w:w="140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pPr>
              <w:jc w:val="center"/>
            </w:pPr>
            <w:r>
              <w:rPr>
                <w:rFonts w:ascii="Arial" w:cs="Arial" w:eastAsia="Arial" w:hAnsi="Arial"/>
                <w:color w:val="1C2535"/>
                <w:sz w:val="20"/>
                <w:szCs w:val="20"/>
              </w:rPr>
              <w:t xml:space="preserve">Alto</w:t>
            </w:r>
          </w:p>
        </w:tc>
        <w:tc>
          <w:tcPr>
            <w:tcW w:type="dxa" w:w="3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FV industrial tiene equipos más grandes. Coordinación de técnicos de campo crítica</w:t>
            </w:r>
          </w:p>
        </w:tc>
      </w:tr>
      <w:tr>
        <w:trPr>
          <w:cantSplit/>
        </w:trP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Trabajos Externalizados</w:t>
            </w:r>
          </w:p>
        </w:tc>
        <w:tc>
          <w:tcPr>
            <w:tcW w:type="dxa" w:w="1400"/>
            <w:tcBorders>
              <w:top w:val="single" w:color="CCCCCC" w:sz="1"/>
              <w:left w:val="single" w:color="CCCCCC" w:sz="1"/>
              <w:bottom w:val="single" w:color="CCCCCC" w:sz="1"/>
              <w:right w:val="single" w:color="CCCCCC" w:sz="1"/>
            </w:tcBorders>
            <w:shd w:fill="E2E8F0" w:val="clear"/>
            <w:tcMar>
              <w:top w:type="dxa" w:w="70"/>
              <w:left w:type="dxa" w:w="110"/>
              <w:bottom w:type="dxa" w:w="70"/>
              <w:right w:type="dxa" w:w="110"/>
            </w:tcMar>
          </w:tcPr>
          <w:p>
            <w:pPr>
              <w:jc w:val="center"/>
            </w:pPr>
            <w:r>
              <w:rPr>
                <w:rFonts w:ascii="Arial" w:cs="Arial" w:eastAsia="Arial" w:hAnsi="Arial"/>
                <w:color w:val="1C2535"/>
                <w:sz w:val="20"/>
                <w:szCs w:val="20"/>
              </w:rPr>
              <w:t xml:space="preserve">Medio</w:t>
            </w:r>
          </w:p>
        </w:tc>
        <w:tc>
          <w:tcPr>
            <w:tcW w:type="dxa" w:w="140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pPr>
              <w:jc w:val="center"/>
            </w:pPr>
            <w:r>
              <w:rPr>
                <w:rFonts w:ascii="Arial" w:cs="Arial" w:eastAsia="Arial" w:hAnsi="Arial"/>
                <w:color w:val="1C2535"/>
                <w:sz w:val="20"/>
                <w:szCs w:val="20"/>
              </w:rPr>
              <w:t xml:space="preserve">Alto</w:t>
            </w:r>
          </w:p>
        </w:tc>
        <w:tc>
          <w:tcPr>
            <w:tcW w:type="dxa" w:w="3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FV subcontrata especialistas (termografía, limpieza). TrabFlow gestiona el margen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none" w:color="FFFFFF" w:sz="0"/>
              <w:bottom w:val="none" w:color="FFFFFF" w:sz="0"/>
              <w:right w:val="none" w:color="FFFFFF" w:sz="0"/>
            </w:tcBorders>
            <w:shd w:fill="1C2535" w:val="clear"/>
            <w:tcMar>
              <w:top w:type="dxa" w:w="160"/>
              <w:left w:type="dxa" w:w="240"/>
              <w:bottom w:type="dxa" w:w="160"/>
              <w:right w:type="dxa" w:w="240"/>
            </w:tcMar>
          </w:tcPr>
          <w:p>
            <w:r>
              <w:rPr>
                <w:rFonts w:ascii="Arial" w:cs="Arial" w:eastAsia="Arial" w:hAnsi="Arial"/>
                <w:b/>
                <w:bCs/>
                <w:color w:val="FFFFFF"/>
                <w:sz w:val="30"/>
                <w:szCs w:val="30"/>
              </w:rPr>
              <w:t xml:space="preserve">06. Base Maestra de Actuaciones</w:t>
            </w:r>
          </w:p>
          <w:p>
            <w:r>
              <w:rPr>
                <w:rFonts w:ascii="Arial" w:cs="Arial" w:eastAsia="Arial" w:hAnsi="Arial"/>
                <w:color w:val="D5E8F0"/>
                <w:sz w:val="20"/>
                <w:szCs w:val="20"/>
              </w:rPr>
              <w:t xml:space="preserve">50 actuaciones VE · 100 actuaciones Fotovoltaica</w:t>
            </w:r>
          </w:p>
        </w:tc>
      </w:tr>
    </w:tbl>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A5A96" w:sz="4"/>
              <w:left w:val="single" w:color="1A5A96" w:sz="4"/>
              <w:bottom w:val="none" w:color="FFFFFF" w:sz="0"/>
              <w:right w:val="none" w:color="FFFFFF" w:sz="0"/>
            </w:tcBorders>
            <w:shd w:fill="D5E8F0" w:val="clear"/>
            <w:tcMar>
              <w:top w:type="dxa" w:w="140"/>
              <w:left w:type="dxa" w:w="200"/>
              <w:bottom w:type="dxa" w:w="140"/>
              <w:right w:type="dxa" w:w="200"/>
            </w:tcMar>
          </w:tcPr>
          <w:p>
            <w:r>
              <w:rPr>
                <w:rFonts w:ascii="Arial" w:cs="Arial" w:eastAsia="Arial" w:hAnsi="Arial"/>
                <w:color w:val="1C2535"/>
                <w:sz w:val="21"/>
                <w:szCs w:val="21"/>
              </w:rPr>
              <w:t xml:space="preserve">Principio TrabFlow: la IA no inventa. Detecta una actuación y ejecuta una plantilla técnica con materiales, reglas de cálculo y partidas predefinidas. La Base Maestra es el corazón del sistema.</w:t>
            </w:r>
          </w:p>
        </w:tc>
      </w:tr>
    </w:tbl>
    <w:p>
      <w:pPr>
        <w:spacing w:after="120" w:before="120"/>
      </w:pPr>
    </w:p>
    <w:p>
      <w:pPr>
        <w:spacing w:after="120" w:before="240"/>
      </w:pPr>
      <w:r>
        <w:rPr>
          <w:rFonts w:ascii="Arial" w:cs="Arial" w:eastAsia="Arial" w:hAnsi="Arial"/>
          <w:b/>
          <w:bCs/>
          <w:color w:val="1C2535"/>
          <w:sz w:val="26"/>
          <w:szCs w:val="26"/>
        </w:rPr>
        <w:t xml:space="preserve">6.1 Cargadores de Vehículo Eléctrico — 50 Actuaciones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800"/>
        <w:gridCol w:w="2200"/>
        <w:gridCol w:w="2200"/>
        <w:gridCol w:w="1060"/>
        <w:gridCol w:w="700"/>
      </w:tblGrid>
      <w:tr>
        <w:trPr>
          <w:cantSplit/>
        </w:trPr>
        <w:tc>
          <w:tcPr>
            <w:tcW w:type="dxa" w:w="3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Nº</w:t>
            </w:r>
          </w:p>
        </w:tc>
        <w:tc>
          <w:tcPr>
            <w:tcW w:type="dxa" w:w="28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Actuación</w:t>
            </w:r>
          </w:p>
        </w:tc>
        <w:tc>
          <w:tcPr>
            <w:tcW w:type="dxa" w:w="22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Materiales principales</w:t>
            </w:r>
          </w:p>
        </w:tc>
        <w:tc>
          <w:tcPr>
            <w:tcW w:type="dxa" w:w="22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Normativa</w:t>
            </w:r>
          </w:p>
        </w:tc>
        <w:tc>
          <w:tcPr>
            <w:tcW w:type="dxa" w:w="106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Frecuencia</w:t>
            </w:r>
          </w:p>
        </w:tc>
        <w:tc>
          <w:tcPr>
            <w:tcW w:type="dxa" w:w="7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Complejidad</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01</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Instalación wallbox monofásico 7,4 kW (vivienda)</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Wallbox 7,4 kW, cable 6mm², caja ICP, protecciones diferenciales, toma schuko</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ITC-BT-52, REBT</w:t>
            </w:r>
          </w:p>
        </w:tc>
        <w:tc>
          <w:tcPr>
            <w:tcW w:type="dxa" w:w="10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Puntual</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02</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Instalación wallbox trifásico 11 kW</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Wallbox 11 kW trifásico, cable 6mm² x3F+N, caja protecciones, diferencial clase B</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ITC-BT-52, REBT</w:t>
            </w:r>
          </w:p>
        </w:tc>
        <w:tc>
          <w:tcPr>
            <w:tcW w:type="dxa" w:w="10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Puntual</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03</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Instalación wallbox trifásico 22 kW</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Wallbox 22 kW, cable 10mm² trifásico, línea desde CGP o cuadro secundario</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ITC-BT-52</w:t>
            </w:r>
          </w:p>
        </w:tc>
        <w:tc>
          <w:tcPr>
            <w:tcW w:type="dxa" w:w="10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Puntual</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04</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Preinstalación garaje comunitario (circuito preparado)</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Tubo vacío, cajas de registro, acometida prevista, ICP reservado</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ITC-BT-52, RD 1514/2010</w:t>
            </w:r>
          </w:p>
        </w:tc>
        <w:tc>
          <w:tcPr>
            <w:tcW w:type="dxa" w:w="10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Puntual</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05</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Instalación infraestructura recarga comunidad propietarios (4-20 plazas)</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Cuadro distribución VE, ramales por plaza, contadores individuales</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ITC-BT-52, Ley 49/1960</w:t>
            </w:r>
          </w:p>
        </w:tc>
        <w:tc>
          <w:tcPr>
            <w:tcW w:type="dxa" w:w="10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Puntual</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Muy 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06</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Instalación punto recarga empresa / parking privado</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Wallbox o cargador AC hasta 22 kW, cuadro general VE, gestión de potencia</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ITC-BT-52</w:t>
            </w:r>
          </w:p>
        </w:tc>
        <w:tc>
          <w:tcPr>
            <w:tcW w:type="dxa" w:w="10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Puntual</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07</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Instalación cargador semirrápido DC 50 kW (vía pública)</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Cargador DC 50 kW, línea MT o BT reforzada, armario medida, obra civil</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ITC-BT-52, RD 1085/2015</w:t>
            </w:r>
          </w:p>
        </w:tc>
        <w:tc>
          <w:tcPr>
            <w:tcW w:type="dxa" w:w="10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Puntual</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Muy 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08</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Instalación cargador ultrarrápido DC 150 kW+</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Cargador DC 150+ kW, línea MT, transformador dedicado, gestión potencia</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ITC-BT-52, RD 1085/2015</w:t>
            </w:r>
          </w:p>
        </w:tc>
        <w:tc>
          <w:tcPr>
            <w:tcW w:type="dxa" w:w="10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Puntual</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Muy 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09</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Ampliación potencia contratada para recarga VE</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Gestión con distribuidora, nuevo ICP, actualización BIE</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REBT, regulación distribuidoras</w:t>
            </w:r>
          </w:p>
        </w:tc>
        <w:tc>
          <w:tcPr>
            <w:tcW w:type="dxa" w:w="10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Puntual</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10</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Gestión de solicitud subvención MOVES III</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Documentación técnica, presupuesto normalizado, certificados instalador</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RD 266/2021 (MOVES III)</w:t>
            </w:r>
          </w:p>
        </w:tc>
        <w:tc>
          <w:tcPr>
            <w:tcW w:type="dxa" w:w="10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Puntual</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11</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Legalización instalación de recarga (certificado)</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Certificado de instalación eléctrica (CIE), memoria técnica, esquema unifilar</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ITC-BT-52, REBT</w:t>
            </w:r>
          </w:p>
        </w:tc>
        <w:tc>
          <w:tcPr>
            <w:tcW w:type="dxa" w:w="10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Puntual</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12</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Sustitución wallbox averiado (mismo modelo)</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Wallbox sustitución, conexionado, comprobación circuito</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ITC-BT-52</w:t>
            </w:r>
          </w:p>
        </w:tc>
        <w:tc>
          <w:tcPr>
            <w:tcW w:type="dxa" w:w="10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Puntual</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Baja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13</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Sustitución wallbox por modelo superior (más potencia)</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Wallbox nuevo, revisión cable existente, posible refuerzo de línea</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ITC-BT-52</w:t>
            </w:r>
          </w:p>
        </w:tc>
        <w:tc>
          <w:tcPr>
            <w:tcW w:type="dxa" w:w="10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Puntual</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14</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Ampliación de puntos de recarga en instalación existente</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Nuevos wallboxes, sistema balanceo dinámico, ampliación cuadro</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ITC-BT-52</w:t>
            </w:r>
          </w:p>
        </w:tc>
        <w:tc>
          <w:tcPr>
            <w:tcW w:type="dxa" w:w="10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Puntual</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15</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Instalación sistema balanceo dinámico de carga</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Módulo balanceo, sensores de corriente, configuración SW</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ITC-BT-52</w:t>
            </w:r>
          </w:p>
        </w:tc>
        <w:tc>
          <w:tcPr>
            <w:tcW w:type="dxa" w:w="10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Puntual</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16</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Instalación gestión inteligente de energía (solar + recarga)</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Controlador energético, integración inversor FV, algoritmo carga</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ITC-BT-52, RD 244/2019</w:t>
            </w:r>
          </w:p>
        </w:tc>
        <w:tc>
          <w:tcPr>
            <w:tcW w:type="dxa" w:w="10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Puntual</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Muy 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17</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Diagnóstico avería punto de recarga</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Comprobación línea, wallbox, comunicaciones, informe técnico</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ITC-BT-52</w:t>
            </w:r>
          </w:p>
        </w:tc>
        <w:tc>
          <w:tcPr>
            <w:tcW w:type="dxa" w:w="10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Puntual</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18</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Reparación avería eléctrica punto de recarga</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Sustitución componente averiado según diagnóstico</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ITC-BT-52</w:t>
            </w:r>
          </w:p>
        </w:tc>
        <w:tc>
          <w:tcPr>
            <w:tcW w:type="dxa" w:w="10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Puntual</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19</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Mantenimiento preventivo anual punto de recarga</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Revisión conexiones, test funcional, limpieza, actualización firmware</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ITC-BT-52</w:t>
            </w:r>
          </w:p>
        </w:tc>
        <w:tc>
          <w:tcPr>
            <w:tcW w:type="dxa" w:w="10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Anual</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Baja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20</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Mantenimiento preventivo semestral (contrato O&amp;M)</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Revisión eléctrica completa, test RCCB, comprobación comunicaciones</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ITC-BT-52</w:t>
            </w:r>
          </w:p>
        </w:tc>
        <w:tc>
          <w:tcPr>
            <w:tcW w:type="dxa" w:w="10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Semestral</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Baja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21</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Inspección y revisión cuadro eléctrico VE</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Comprobación protecciones, calibrado diferencial, apriete bornas</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REBT</w:t>
            </w:r>
          </w:p>
        </w:tc>
        <w:tc>
          <w:tcPr>
            <w:tcW w:type="dxa" w:w="10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Anual</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Baja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22</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Actualización firmware wallbox</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Conexión remota o presencial, descarga versión fabricante</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Manual fabricante</w:t>
            </w:r>
          </w:p>
        </w:tc>
        <w:tc>
          <w:tcPr>
            <w:tcW w:type="dxa" w:w="10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 demanda</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Baja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23</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Configuración perfil de carga horario (tarifa valle)</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Configuración SW cargador, conexión a plataforma gestión</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Manual fabricante</w:t>
            </w:r>
          </w:p>
        </w:tc>
        <w:tc>
          <w:tcPr>
            <w:tcW w:type="dxa" w:w="10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 demanda</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Baja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24</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Instalación y configuración plataforma gestión remota</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Backend OCPP, cuentas usuario, integración facturación</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OCPP 1.6/2.0</w:t>
            </w:r>
          </w:p>
        </w:tc>
        <w:tc>
          <w:tcPr>
            <w:tcW w:type="dxa" w:w="10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Puntual</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25</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Integración OCPP con sistema de gestión del cliente</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API OCPP, pruebas de integración, formación usuario</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OCPP 2.0</w:t>
            </w:r>
          </w:p>
        </w:tc>
        <w:tc>
          <w:tcPr>
            <w:tcW w:type="dxa" w:w="10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Puntual</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Muy 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26</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Instalación punto recarga en flota empresarial (base)</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Cargadores AC en cochera, cuadro VE, gestión de acceso por tarjeta</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ITC-BT-52</w:t>
            </w:r>
          </w:p>
        </w:tc>
        <w:tc>
          <w:tcPr>
            <w:tcW w:type="dxa" w:w="10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Puntual</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27</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Instalación monitorización consumo por punto de recarga</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Contadores inteligentes por plaza, software reporting</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ITC-BT-52</w:t>
            </w:r>
          </w:p>
        </w:tc>
        <w:tc>
          <w:tcPr>
            <w:tcW w:type="dxa" w:w="10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Puntual</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28</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Instalación protección contra sobretensiones (SPD) en cuadro VE</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SPD tipo 2, coordinación con ICP, cableado</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ITC-BT-23</w:t>
            </w:r>
          </w:p>
        </w:tc>
        <w:tc>
          <w:tcPr>
            <w:tcW w:type="dxa" w:w="10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Puntual</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Baja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29</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Canalización subterránea para nueva red de recarga</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Tubo PE doble pared, arquetas, cables BT, restauración pavimento</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ITC-BT-07</w:t>
            </w:r>
          </w:p>
        </w:tc>
        <w:tc>
          <w:tcPr>
            <w:tcW w:type="dxa" w:w="10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Puntual</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Muy 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30</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Instalación tótem de recarga exterior IP65</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Tótem VE exterior, base de hormigón, canalización estanca</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ITC-BT-52, IP65</w:t>
            </w:r>
          </w:p>
        </w:tc>
        <w:tc>
          <w:tcPr>
            <w:tcW w:type="dxa" w:w="10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Puntual</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31</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Revisión periódica instalación de recarga (3 años)</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Inspección visual, termografía básica, test funcional completo</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REBT, ITC-BT-52</w:t>
            </w:r>
          </w:p>
        </w:tc>
        <w:tc>
          <w:tcPr>
            <w:tcW w:type="dxa" w:w="10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Trienal</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32</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Sustitución de cable de recarga de usuario (modo 3)</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Cable Tipo 2 homologado, conexión al wallbox</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62196</w:t>
            </w:r>
          </w:p>
        </w:tc>
        <w:tc>
          <w:tcPr>
            <w:tcW w:type="dxa" w:w="10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 demanda</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Baja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33</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Reparación pantalla/interfaz wallbox</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Diagnóstico display, sustitución módulo IHM si necesario</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Manual fabricante</w:t>
            </w:r>
          </w:p>
        </w:tc>
        <w:tc>
          <w:tcPr>
            <w:tcW w:type="dxa" w:w="10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 demanda</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34</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Instalación SAI/UPS para continuidad de servicio en recarga crítica</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SAI rack, bypass, conexionado con cuadro VE</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ITC-BT-52</w:t>
            </w:r>
          </w:p>
        </w:tc>
        <w:tc>
          <w:tcPr>
            <w:tcW w:type="dxa" w:w="10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Puntual</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35</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Tramitación de acceso a red para punto de recarga de alta potencia</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Solicitud distribuidora, documentación técnica, seguimiento</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RD 1183/2020</w:t>
            </w:r>
          </w:p>
        </w:tc>
        <w:tc>
          <w:tcPr>
            <w:tcW w:type="dxa" w:w="10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Puntual</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Muy 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36</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Instalación de cargador bidireccional V2G</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Cargador V2G certificado, integración red eléctrica, configuración</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ITC-BT-52, V2G draft</w:t>
            </w:r>
          </w:p>
        </w:tc>
        <w:tc>
          <w:tcPr>
            <w:tcW w:type="dxa" w:w="10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Puntual</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Muy 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37</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Formación usuario final en uso de punto de recarga</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1-2h presenciales, manual usuario, configuración app móvil</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w:t>
            </w:r>
          </w:p>
        </w:tc>
        <w:tc>
          <w:tcPr>
            <w:tcW w:type="dxa" w:w="10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Puntual</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Baja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38</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Puesta en servicio de instalación de recarga (comisionado)</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Test completo, prueba de carga, documentación, entrega al cliente</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ITC-BT-52</w:t>
            </w:r>
          </w:p>
        </w:tc>
        <w:tc>
          <w:tcPr>
            <w:tcW w:type="dxa" w:w="10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Puntual</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39</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Auditoría eléctrica previa a instalación VE (vivienda existente)</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Comprobación BIE, potencia disponible, estado cuadro, informe</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REBT</w:t>
            </w:r>
          </w:p>
        </w:tc>
        <w:tc>
          <w:tcPr>
            <w:tcW w:type="dxa" w:w="10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Puntual</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40</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Auditoría eléctrica previa a instalación VE (comunidad)</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Inspección cuadro general, potencia contratada, BIE individuales</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REBT</w:t>
            </w:r>
          </w:p>
        </w:tc>
        <w:tc>
          <w:tcPr>
            <w:tcW w:type="dxa" w:w="10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Puntual</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41</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Instalación recarga en garaje residencial subterráneo (canalización)</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Tubo corrugado, cable 6mm², caja registro, wallbox</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ITC-BT-52</w:t>
            </w:r>
          </w:p>
        </w:tc>
        <w:tc>
          <w:tcPr>
            <w:tcW w:type="dxa" w:w="10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Puntual</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42</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Migración de infraestructura de recarga a nuevo proveedor OCPP</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Cambio backend, reconfiguración cargadores, pruebas</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OCPP</w:t>
            </w:r>
          </w:p>
        </w:tc>
        <w:tc>
          <w:tcPr>
            <w:tcW w:type="dxa" w:w="10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Puntual</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43</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Diseño de proyecto de recarga para parking de más de 20 plazas</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Cálculos, planos, memoria, esquema unifilar, presupuesto</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ITC-BT-52, reglamento</w:t>
            </w:r>
          </w:p>
        </w:tc>
        <w:tc>
          <w:tcPr>
            <w:tcW w:type="dxa" w:w="10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Puntual</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Muy 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44</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Sustitución de protecciones eléctricas cuadro VE (ICP/diferencial)</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ICP nuevo, diferencial clase B, apriete bornas, test</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REBT</w:t>
            </w:r>
          </w:p>
        </w:tc>
        <w:tc>
          <w:tcPr>
            <w:tcW w:type="dxa" w:w="10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Puntual</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Baja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45</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Instalación de contador telegestionado para punto de recarga</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Contador BT telegestionado, comunicación PLC, configuración</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RD 1110/2007</w:t>
            </w:r>
          </w:p>
        </w:tc>
        <w:tc>
          <w:tcPr>
            <w:tcW w:type="dxa" w:w="10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Puntual</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46</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Revisión de instalación post-siniestro (incendio, inundación)</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Inspección visual, pruebas aislamiento, informe pericial</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REBT</w:t>
            </w:r>
          </w:p>
        </w:tc>
        <w:tc>
          <w:tcPr>
            <w:tcW w:type="dxa" w:w="10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 demanda</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47</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Instalación de punto de recarga en área de servicio de carretera</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Cargadores DC/AC mixtos, armario medida, señalización</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ITC-BT-52, DGT</w:t>
            </w:r>
          </w:p>
        </w:tc>
        <w:tc>
          <w:tcPr>
            <w:tcW w:type="dxa" w:w="10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Puntual</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Muy 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48</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Inspección termográfica de cuadro eléctrico VE</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Cámara termográfica, informe puntos calientes, recomendaciones</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ITC-BT-52</w:t>
            </w:r>
          </w:p>
        </w:tc>
        <w:tc>
          <w:tcPr>
            <w:tcW w:type="dxa" w:w="10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Anual</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49</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Configuración de recarga inteligente con tarifa dinámica</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Integración API comercializadora, configuración horaria en plataforma</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Directiva UE 2019/944</w:t>
            </w:r>
          </w:p>
        </w:tc>
        <w:tc>
          <w:tcPr>
            <w:tcW w:type="dxa" w:w="10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Puntual</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50</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Sustitución de transformador dedicado para carga de alta potencia</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Transformador MT/BT, cuadro BT, interconexión cargadores</w:t>
            </w:r>
          </w:p>
        </w:tc>
        <w:tc>
          <w:tcPr>
            <w:tcW w:type="dxa" w:w="2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Normativa MT</w:t>
            </w:r>
          </w:p>
        </w:tc>
        <w:tc>
          <w:tcPr>
            <w:tcW w:type="dxa" w:w="10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Puntual</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Muy Alta</w:t>
            </w:r>
          </w:p>
        </w:tc>
      </w:tr>
    </w:tbl>
    <w:p>
      <w:pPr>
        <w:spacing w:after="160" w:before="160"/>
      </w:pPr>
    </w:p>
    <w:p>
      <w:r>
        <w:br w:type="page"/>
      </w:r>
    </w:p>
    <w:p>
      <w:pPr>
        <w:spacing w:after="120" w:before="240"/>
      </w:pPr>
      <w:r>
        <w:rPr>
          <w:rFonts w:ascii="Arial" w:cs="Arial" w:eastAsia="Arial" w:hAnsi="Arial"/>
          <w:b/>
          <w:bCs/>
          <w:color w:val="1C2535"/>
          <w:sz w:val="26"/>
          <w:szCs w:val="26"/>
        </w:rPr>
        <w:t xml:space="preserve">6.2 Fotovoltaica Industrial — 100 Actuaciones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800"/>
        <w:gridCol w:w="2560"/>
        <w:gridCol w:w="2000"/>
        <w:gridCol w:w="700"/>
        <w:gridCol w:w="1000"/>
      </w:tblGrid>
      <w:tr>
        <w:trPr>
          <w:cantSplit/>
        </w:trPr>
        <w:tc>
          <w:tcPr>
            <w:tcW w:type="dxa" w:w="3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Nº</w:t>
            </w:r>
          </w:p>
        </w:tc>
        <w:tc>
          <w:tcPr>
            <w:tcW w:type="dxa" w:w="28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Actuación</w:t>
            </w:r>
          </w:p>
        </w:tc>
        <w:tc>
          <w:tcPr>
            <w:tcW w:type="dxa" w:w="256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Materiales principales</w:t>
            </w:r>
          </w:p>
        </w:tc>
        <w:tc>
          <w:tcPr>
            <w:tcW w:type="dxa" w:w="20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Normativa</w:t>
            </w:r>
          </w:p>
        </w:tc>
        <w:tc>
          <w:tcPr>
            <w:tcW w:type="dxa" w:w="7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Frec.</w:t>
            </w:r>
          </w:p>
        </w:tc>
        <w:tc>
          <w:tcPr>
            <w:tcW w:type="dxa" w:w="10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Complejidad</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01</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Instalación inversor string (hasta 20 kW)</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Inversor string, estructura, cable DC, protecciones DC</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RD 244/2019, REBT</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02</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Instalación inversor central (&gt;20 kW)</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Inversor central, cuadro AC, transformador si &gt;100 kW</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RD 244/2019</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03</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Instalación inversor híbrido con baterías</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Inversor híbrido, batería LFP, BMS, cableado DC/AC</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RD 244/2019</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04</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Instalación paneles fotovoltaicos (módulos)</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Paneles, estructura, tornillería, cable UV, conectores MC4</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61215, RD 244</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05</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Instalación estructura coplanar cubierta inclinada</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Perfiles aluminio, ganchos teja, raíles, contravientos</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Resistencia estructural</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06</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Instalación estructura cubierta plana (balastro)</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Lastres hormigón, perfiles aluminio, ángulo optimizado</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Resistencia estructural</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07</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Instalación estructura suelo (ground-mount)</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Postes acero galvanizado, vigas, anclajes hormigón</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Resistencia estructural</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08</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Instalación optimizadores de potencia</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Optimizador por panel, cableado específico, configuración</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62109</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09</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Instalación microinversores</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Microinversor por panel, cableado AC daisy-chain</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62109</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10</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Instalación sistema monitorización (datalogger)</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Datalogger, sonda temperatura, irradiancia, comunicación RS485/WiFi</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61724</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11</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Mantenimiento preventivo anual planta FV</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Revisión visual, limpieza contactos, test aislamiento, informe</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62446, UNE-EN 62548</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Anual</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12</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Mantenimiento preventivo semestral (contrato O&amp;M)</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Revisión protecciones, test inversor, lectura producción</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62446</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Semestral</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Baja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13</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Revisión de cuadro de protecciones AC</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Comprobación fusibles, magnetotérmicos, diferencial, apriete</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REBT</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Anual</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Baja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14</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Revisión de cuadro de protecciones DC (caja de strings)</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Comprobación fusibles string, varistores, DPS, diodos bypass</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62548</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Anual</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Baja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15</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Revisión y apriete de conexiones DC (strings)</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Conectores MC4, borneros, resistencia de contacto</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62852</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Anual</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16</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Revisión y apriete de conexiones AC</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Borneros AC, cables PE, apriete según par</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REBT</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Anual</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Baja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17</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Verificación de aislamiento strings fotovoltaicos</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Megóhmetro 1000V, registro valores por string</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62446</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Anual</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18</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Medición y registro de parámetros de inversor</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VOC, ISC, Pmpp por string, comparativa con valores nominales</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61724</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Anual</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19</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Revisión de firmware inversor y actualización</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Descarga versión fabricante, actualización OTA o presencial</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Manual fabricante</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 demanda</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Baja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20</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Test de funcionamiento completo de la instalación</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Secuencia arranque/parada, test MPP, test protecciones</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62446</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Anual</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21</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Limpieza de paneles fotovoltaicos (manual, cubierta)</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Agua desionizada, detergente neutro, escobillas suaves</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Semestral</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Baja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22</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Limpieza de paneles con sistema de agua a presión baja</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Cañón agua, percha telescópica, agua osmótica</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Semestral</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Baja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23</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Limpieza de paneles planta suelo (vehículo o dron)</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Equipo de limpieza rodante o dron limpiador</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Semestral</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24</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Limpieza de inversor (filtros y ventilación)</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Aspirado filtros, limpieza rejillas, test ventiladores</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Manual fabricante</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Anual</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Baja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25</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Limpieza de cuadros eléctricos (exterior e interior)</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Aspirado, limpieza contactos, antioxidante contactos</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Anual</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Baja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26</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Inspección termográfica de paneles fotovoltaicos</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Cámara termográfica certificada, informe de puntos calientes</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TS 62446-3</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Anual</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27</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Inspección termográfica de conexiones y cuadros</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Cámara termográfica, identificación conexiones calientes</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TS 62446-3</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Anual</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28</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Inspección termográfica con dron (plantas &gt;200 kWp)</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Dron con cámara termográfica, ortofoto, georeferenciación</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TS 62446-3</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Anual</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29</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Informe de termografía con recomendaciones</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Procesado imágenes, clasificación defectos IEC, priorización</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TS 62446-3</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Anual</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30</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Diagnóstico de caída de producción inesperada</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Análisis datos monitorización, inspección visual, mediciones</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62446</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 demanda</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31</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Sustitución de panel fotovoltaico dañado (granizo/rotura)</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Panel sustitución, conexionado MC4, verificación string</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61215</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 demanda</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32</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Sustitución de inversor averiado</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Inversor nuevo, desconexión AC/DC, instalación, configuración</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62109</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 demanda</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33</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Sustitución de optimizador averiado</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Optimizador, desconeción string, instalación, pairing</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62109</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 demanda</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34</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Sustitución de microinversor averiado</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Microinversor, desconexión, instalación, configuración</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62109</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 demanda</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35</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Reparación de fuga de corriente en string (localización)</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TDR, medición aislamiento, localización defecto</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62548</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 demanda</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36</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Sustitución de fusible de string quemado</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Fusible de repuesto, base portafusibles si dañada</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62548</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 demanda</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Baja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37</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Reparación de conector MC4 deteriorado o quemado</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Conectores MC4 nuevos, crimpadora, test aislamiento</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62852</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 demanda</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38</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Reparación de cable DC dañado por roedores</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Cable solar UV nuevo, protección metálica tubo, reconexión</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62548</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 demanda</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39</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Sustitución de protección DPS (varistor) quemada</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DPS nuevo mismo tipo, verificación coordinación</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62561</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 demanda</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Baja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40</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Reparación de estructura metálica dañada (viento/granizo)</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Perfil aluminio, tornillería inox, nivelación, reajuste paneles</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 demanda</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41</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Instalación sistema monitorización remota avanzada</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Datalogger industrial, SCADA, comunicación 4G/Ethernet</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61724</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42</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Configuración alertas de producción y rendimiento</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Umbrales PR, alarmas comunicación inversor, notificaciones email</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61724</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43</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Análisis de rendimiento vs. producción estimada (PR)</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Software análisis, datos PVGIS, informe mensual</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61724</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Mensual</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44</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Generación de informe mensual de producción O&amp;M</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Informe PDF automático, producción real vs. esperada, incidencias</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61724</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Mensual</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Baja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45</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Generación de informe anual de auditoría de planta</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Informe completo: producción, mantenimientos, incidencias, termografía</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62446</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Anual</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46</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Migración de sistema de monitorización a nueva plataforma</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Exportación histórico, configuración nueva plataforma, validación</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47</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Ampliación de planta fotovoltaica (nuevos strings)</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Paneles, estructura, cable DC, fusibles, caja de strings ampliada</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RD 244/2019</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48</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Ampliación de planta con nuevo inversor adicional</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Inversor, cuadro AC adicional, cableado, legalización</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RD 244/2019</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49</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Incorporación de baterías a instalación existente</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Baterías LFP, inversor híbrido o cargador baterías, BMS</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RD 244/2019</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Muy 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50</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Modificación de inclinación de estructura (optimización)</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Recálculo ángulo, reforma estructura, ajuste paneles</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51</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Tramitación de inscripción en registro autoconsumo</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Documentación administrativa, modelo TCU, seguimiento expediente</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RD 244/2019</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52</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Tramitación de acceso y conexión a red (distribuidora)</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Solicitud ATR, documentación técnica, seguimiento</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RD 1183/2020</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Muy 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53</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Elaboración de proyecto técnico de instalación FV</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Memoria, planos, cálculos, esquemas unifilares, presupuesto</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RD 244/2019, REBT</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Muy 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54</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Obtención de certificado de fin de obra (legalización)</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Certificado instalador, memoria descriptiva, esquemas finales</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RD 244/2019</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55</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Tramitación de compensación de excedentes con comercializadora</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Contrato compensación, CNMC, configuración contador</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RD 244/2019, RD 1164/2001</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56</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Revisión de toma de tierra de instalación FV</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Medición resistencia tierra, mejora si necesario</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REBT, IEC 62548</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Anual</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57</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Instalación de protección contra rayo (DPS clase 1)</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DPS clase 1, coordinación protecciones, cableado equipotencial</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62561</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58</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Revisión de señalización de seguridad de la instalación</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Carteles de tensión peligrosa, esquemas en cuadro, etiquetado</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RD 614/2001</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Anual</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Baja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59</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Instalación de seccionadores de emergencia (MLPE)</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Seccionadores rápidos, integración con inversor o módulo externo</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62548</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60</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Mantenimiento de sistema de baterías (BMS y ciclos)</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Revisión BMS, análisis ciclos, SOH estimación, calibrado</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62933</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Semestral</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61</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Sustitución de módulo de batería degradado</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Módulo LFP equivalente, equilibrado celdas, test carga</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62933</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 demanda</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Muy 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62</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Revisión de ventilación y temperatura de sala de baterías</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Sondas temperatura, extracción ventilación, alarmas</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62933</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Anual</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63</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Análisis de sombras y estudio de pérdidas actuales</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Solmetric o similar, curvas IV, informe pérdidas, soluciones</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61724</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64</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Estudio de viabilidad de ampliación de planta existente</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PVGIS, análisis técnico-económico, propuesta inversión</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65</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Auditoría técnica completa de planta (due diligence)</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Termografía, mediciones IV, revisión documental, informe completo</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62446</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Muy 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66</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Formación del personal técnico del cliente en O&amp;M básico</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 jornada presencial, manual de operación, checklist mensual</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Baja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67</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Formación en uso de plataforma de monitorización</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Sesión online, manual usuario, configuración alertas personalizadas</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Baja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68</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Inspección post-granizo (daños paneles y estructura)</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Revisión visual, termografía urgente, informe asegurador</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 demanda</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69</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Inspección post-inundación (cuadros y cableado)</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Revisión aislamiento, sustitución componentes mojados</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REBT</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 demanda</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70</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Retirada y reciclaje de paneles obsoletos</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Desmontaje, transporte punto limpio, certificado reciclaje</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RD 110/2015 (RAEE)</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71</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Revisión de seguro de planta y documentación técnica</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Inventario equipos, valoración actualizada, fotos estado</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Anual</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Baja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72</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Gestión de garantías de inversor con fabricante</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Documentación avería, comunicación fabricante, seguimiento RMA</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 demanda</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73</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Gestión de garantías de paneles con fabricante</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Documentación defecto, ensayo EL si necesario, seguimiento</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61215</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 demanda</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74</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Cálculo de pérdidas por degradación acumulada</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Comparativa producción histórica, modelo degradación, informe</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61724</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Anual</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75</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Sustitución de datalogger averiado o sin soporte</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Nuevo datalogger, migración configuración, validación datos</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 demanda</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76</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Revisión de instalación eléctrica BT de evacuación</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Inspección cableado, protecciones, medidor red, cuadro principal</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REBT</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Anual</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77</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Instalación de contador de energía bidireccional</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Contador BT clase B, comunicación Modbus, integración SCADA</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RD 244/2019</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78</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Análisis de rendimiento de strings individualmente</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Curvas IV por string, comparativa, identificación string bajo rendimiento</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61724</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Anual</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79</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Revisión de instalación de pararrayos y tierras</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Medición resistencia, trazado tierra, continuidad equipotencial</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REBT, IEC 62561</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Anual</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80</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Sustitución de estructura soporte panel individual</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Perfil o gancho nuevo, nivelación, ajuste panel</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 demanda</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81</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Configuración de exportación cero (vertido cero)</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Módulo anti-vertido, sonda corriente red, configuración inversor</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RD 244/2019</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82</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Revisión y calibración de sondas de monitorización</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Irradiancia, temperatura célula, temperatura ambiente, validación</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61724</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Anual</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83</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Instalación de protección anti-islanding (reconexión automática)</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Relé de protección, coordinación con red distribuidora</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RD 1699/2011</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84</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Tramitación de alta de planta en Registro de Instalaciones de Producción</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Documentación RIPRE, seguimiento CCAA</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RD 413/2014</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Muy 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85</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Análisis de viabilidad de instalación de baterías en planta existente</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Estudio ciclos, ahorro OPEX, análisis retorno, propuesta técnica</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86</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Revisión de instalación según norma IEC 62446 (anual)</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Checklist completo IEC 62446, informe de conformidad</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62446</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Anual</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87</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Puesta en marcha de planta fotovoltaica nueva (comisionado)</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Test completo, ajuste protecciones, activación monitorización</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62446</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88</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Revisión quinquenal de instalación FV</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Inspección completa, termografía, mediciones, actualización documental</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62446</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Quinquenal</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Muy 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89</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Tramitación de baja o desmantelamiento de planta</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Documentación baja registro, notificación distribuidora, gestión RAEE</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RD 413/2014</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90</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Revisión del estado de cubierta bajo instalación FV</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Inspección impermeabilización, anclajes, filtraciones, informe</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Anual</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91</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Instalación de cámara de vigilancia en planta FV</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Cámara IP exterior, grabador, alimentación, conexión red</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92</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Instalación de valla perimetral o sistema antiintrusión</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Detectores perimetral, sirenas, integración alarma</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93</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Análisis de vibración de seguidores solares</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Revisión mecánica, engrase, test movimiento, calibración</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Anual</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94</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Revisión de instalación de seguimiento solar (trackers)</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Test electrónico, anemómetros, calibración ángulos</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Anual</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95</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Limpieza de inversor central (filtros industriales)</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Desmontaje filtros, limpieza, reinstalación, test ventiladores</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Manual fabricante</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Semestral</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96</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Sustitución de condensadores de inversor central envejecidos</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Condensadores industriales, soldadura, test carga</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Manual fabricante</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Decenal</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Muy 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97</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Revisión de puntos de conexión a subestación MT</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Inspección seccionadores, interruptores, TP/TI, relés</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Normativa MT</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Anual</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Muy 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98</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Instalación de sistema SCADA industrial para parque FV</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SCADA licencia, servidor, integración inversores, paneles SCADA</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61724</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Muy 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99</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Migración de contrato O&amp;M a nueva empresa mantenedora</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Auditoría de recepción, inventario, estado, informe entrega</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62446</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Punt.</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100</w:t>
            </w:r>
          </w:p>
        </w:tc>
        <w:tc>
          <w:tcPr>
            <w:tcW w:type="dxa" w:w="2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Intervención de emergencia en planta FV (incendio/fallo grave)</w:t>
            </w:r>
          </w:p>
        </w:tc>
        <w:tc>
          <w:tcPr>
            <w:tcW w:type="dxa" w:w="25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Desconexión segura, colaboración bomberos, peritaje, informe</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REBT</w:t>
            </w:r>
          </w:p>
        </w:tc>
        <w:tc>
          <w:tcPr>
            <w:tcW w:type="dxa" w:w="7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 demanda</w:t>
            </w:r>
          </w:p>
        </w:tc>
        <w:tc>
          <w:tcPr>
            <w:tcW w:type="dxa" w:w="1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Muy Alta</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none" w:color="FFFFFF" w:sz="0"/>
              <w:bottom w:val="none" w:color="FFFFFF" w:sz="0"/>
              <w:right w:val="none" w:color="FFFFFF" w:sz="0"/>
            </w:tcBorders>
            <w:shd w:fill="1C2535" w:val="clear"/>
            <w:tcMar>
              <w:top w:type="dxa" w:w="160"/>
              <w:left w:type="dxa" w:w="240"/>
              <w:bottom w:type="dxa" w:w="160"/>
              <w:right w:type="dxa" w:w="240"/>
            </w:tcMar>
          </w:tcPr>
          <w:p>
            <w:r>
              <w:rPr>
                <w:rFonts w:ascii="Arial" w:cs="Arial" w:eastAsia="Arial" w:hAnsi="Arial"/>
                <w:b/>
                <w:bCs/>
                <w:color w:val="FFFFFF"/>
                <w:sz w:val="30"/>
                <w:szCs w:val="30"/>
              </w:rPr>
              <w:t xml:space="preserve">07. Contratos de Mantenimiento O&amp;M</w:t>
            </w:r>
          </w:p>
          <w:p>
            <w:r>
              <w:rPr>
                <w:rFonts w:ascii="Arial" w:cs="Arial" w:eastAsia="Arial" w:hAnsi="Arial"/>
                <w:color w:val="D5E8F0"/>
                <w:sz w:val="20"/>
                <w:szCs w:val="20"/>
              </w:rPr>
              <w:t xml:space="preserve">Plantillas · SLA · Cuotas · Niveles de servicio</w:t>
            </w:r>
          </w:p>
        </w:tc>
      </w:tr>
    </w:tbl>
    <w:p>
      <w:pPr>
        <w:spacing w:after="160" w:before="160"/>
      </w:pPr>
    </w:p>
    <w:p>
      <w:pPr>
        <w:spacing w:after="120" w:before="240"/>
      </w:pPr>
      <w:r>
        <w:rPr>
          <w:rFonts w:ascii="Arial" w:cs="Arial" w:eastAsia="Arial" w:hAnsi="Arial"/>
          <w:b/>
          <w:bCs/>
          <w:color w:val="1C2535"/>
          <w:sz w:val="26"/>
          <w:szCs w:val="26"/>
        </w:rPr>
        <w:t xml:space="preserve">7.1 Cargadores VE — Niveles de Servicio</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1900"/>
        <w:gridCol w:w="1900"/>
        <w:gridCol w:w="1860"/>
      </w:tblGrid>
      <w:tr>
        <w:trPr>
          <w:cantSplit/>
        </w:trPr>
        <w:tc>
          <w:tcPr>
            <w:tcW w:type="dxa" w:w="18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Parámetro</w:t>
            </w:r>
          </w:p>
        </w:tc>
        <w:tc>
          <w:tcPr>
            <w:tcW w:type="dxa" w:w="19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Básico</w:t>
            </w:r>
          </w:p>
        </w:tc>
        <w:tc>
          <w:tcPr>
            <w:tcW w:type="dxa" w:w="19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Estándar</w:t>
            </w:r>
          </w:p>
        </w:tc>
        <w:tc>
          <w:tcPr>
            <w:tcW w:type="dxa" w:w="19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Premium</w:t>
            </w:r>
          </w:p>
        </w:tc>
        <w:tc>
          <w:tcPr>
            <w:tcW w:type="dxa" w:w="186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Crítico 24/7</w:t>
            </w:r>
          </w:p>
        </w:tc>
      </w:tr>
      <w:tr>
        <w:trPr>
          <w:cantSplit/>
        </w:trPr>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Cuota mensual / punto</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€12–€18</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€20–€28</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€35–€50</w:t>
            </w:r>
          </w:p>
        </w:tc>
        <w:tc>
          <w:tcPr>
            <w:tcW w:type="dxa" w:w="18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€60–€90</w:t>
            </w:r>
          </w:p>
        </w:tc>
      </w:tr>
      <w:tr>
        <w:trPr>
          <w:cantSplit/>
        </w:trPr>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Horario atención</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L-V 9h-18h</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L-V 8h-20h</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L-V 7h-22h</w:t>
            </w:r>
          </w:p>
        </w:tc>
        <w:tc>
          <w:tcPr>
            <w:tcW w:type="dxa" w:w="18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24/7/365</w:t>
            </w:r>
          </w:p>
        </w:tc>
      </w:tr>
      <w:tr>
        <w:trPr>
          <w:cantSplit/>
        </w:trPr>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Tiempo respuesta incidencia</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48h</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24h</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8h</w:t>
            </w:r>
          </w:p>
        </w:tc>
        <w:tc>
          <w:tcPr>
            <w:tcW w:type="dxa" w:w="18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2h</w:t>
            </w:r>
          </w:p>
        </w:tc>
      </w:tr>
      <w:tr>
        <w:trPr>
          <w:cantSplit/>
        </w:trPr>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Tiempo resolución</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5 días hábiles</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3 días hábiles</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24h</w:t>
            </w:r>
          </w:p>
        </w:tc>
        <w:tc>
          <w:tcPr>
            <w:tcW w:type="dxa" w:w="18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8h</w:t>
            </w:r>
          </w:p>
        </w:tc>
      </w:tr>
      <w:tr>
        <w:trPr>
          <w:cantSplit/>
        </w:trPr>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Preventivo anual</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 visita</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2 visitas</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2 visitas + termografía</w:t>
            </w:r>
          </w:p>
        </w:tc>
        <w:tc>
          <w:tcPr>
            <w:tcW w:type="dxa" w:w="18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2 visitas + termografía + test carga</w:t>
            </w:r>
          </w:p>
        </w:tc>
      </w:tr>
      <w:tr>
        <w:trPr>
          <w:cantSplit/>
        </w:trPr>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Monitorización remota</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No</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Básica</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Avanzada con alertas</w:t>
            </w:r>
          </w:p>
        </w:tc>
        <w:tc>
          <w:tcPr>
            <w:tcW w:type="dxa" w:w="18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Tiempo real + NOC</w:t>
            </w:r>
          </w:p>
        </w:tc>
      </w:tr>
      <w:tr>
        <w:trPr>
          <w:cantSplit/>
        </w:trPr>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Repuesto en garantía</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No</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Piezas menores</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Piezas menores + mano obra</w:t>
            </w:r>
          </w:p>
        </w:tc>
        <w:tc>
          <w:tcPr>
            <w:tcW w:type="dxa" w:w="18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Todo incluido</w:t>
            </w:r>
          </w:p>
        </w:tc>
      </w:tr>
      <w:tr>
        <w:trPr>
          <w:cantSplit/>
        </w:trPr>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Informe</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Anual</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Semestral</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Trimestral</w:t>
            </w:r>
          </w:p>
        </w:tc>
        <w:tc>
          <w:tcPr>
            <w:tcW w:type="dxa" w:w="18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Mensual</w:t>
            </w:r>
          </w:p>
        </w:tc>
      </w:tr>
      <w:tr>
        <w:trPr>
          <w:cantSplit/>
        </w:trPr>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Penalización SLA</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No</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5% cuota</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10% cuota</w:t>
            </w:r>
          </w:p>
        </w:tc>
        <w:tc>
          <w:tcPr>
            <w:tcW w:type="dxa" w:w="18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20% cuota</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8922A" w:sz="4"/>
              <w:left w:val="single" w:color="C8922A" w:sz="4"/>
              <w:bottom w:val="none" w:color="FFFFFF" w:sz="0"/>
              <w:right w:val="none" w:color="FFFFFF" w:sz="0"/>
            </w:tcBorders>
            <w:shd w:fill="FDF3E3" w:val="clear"/>
            <w:tcMar>
              <w:top w:type="dxa" w:w="140"/>
              <w:left w:type="dxa" w:w="200"/>
              <w:bottom w:type="dxa" w:w="140"/>
              <w:right w:type="dxa" w:w="200"/>
            </w:tcMar>
          </w:tcPr>
          <w:p>
            <w:r>
              <w:rPr>
                <w:rFonts w:ascii="Arial" w:cs="Arial" w:eastAsia="Arial" w:hAnsi="Arial"/>
                <w:color w:val="1C2535"/>
                <w:sz w:val="21"/>
                <w:szCs w:val="21"/>
              </w:rPr>
              <w:t xml:space="preserve">Ejemplo de ingreso recurrente: 50 puntos de recarga en parking corporativo × €25/punto/mes = €1.250/mes = €15.000/año por un solo cliente.</w:t>
            </w:r>
          </w:p>
        </w:tc>
      </w:tr>
    </w:tbl>
    <w:p>
      <w:pPr>
        <w:spacing w:after="120" w:before="120"/>
      </w:pPr>
    </w:p>
    <w:p>
      <w:pPr>
        <w:spacing w:after="120" w:before="240"/>
      </w:pPr>
      <w:r>
        <w:rPr>
          <w:rFonts w:ascii="Arial" w:cs="Arial" w:eastAsia="Arial" w:hAnsi="Arial"/>
          <w:b/>
          <w:bCs/>
          <w:color w:val="1C2535"/>
          <w:sz w:val="26"/>
          <w:szCs w:val="26"/>
        </w:rPr>
        <w:t xml:space="preserve">7.2 Fotovoltaica Industrial — Niveles de Servicio O&amp;M</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1900"/>
        <w:gridCol w:w="1900"/>
        <w:gridCol w:w="1860"/>
      </w:tblGrid>
      <w:tr>
        <w:trPr>
          <w:cantSplit/>
        </w:trPr>
        <w:tc>
          <w:tcPr>
            <w:tcW w:type="dxa" w:w="18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Parámetro</w:t>
            </w:r>
          </w:p>
        </w:tc>
        <w:tc>
          <w:tcPr>
            <w:tcW w:type="dxa" w:w="19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Vigilancia</w:t>
            </w:r>
          </w:p>
        </w:tc>
        <w:tc>
          <w:tcPr>
            <w:tcW w:type="dxa" w:w="19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Preventivo</w:t>
            </w:r>
          </w:p>
        </w:tc>
        <w:tc>
          <w:tcPr>
            <w:tcW w:type="dxa" w:w="19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O&amp;M Completo</w:t>
            </w:r>
          </w:p>
        </w:tc>
        <w:tc>
          <w:tcPr>
            <w:tcW w:type="dxa" w:w="186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Full Service</w:t>
            </w:r>
          </w:p>
        </w:tc>
      </w:tr>
      <w:tr>
        <w:trPr>
          <w:cantSplit/>
        </w:trPr>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Cuota mensual (planta 100 kWp)</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€150–€200</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€250–€350</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€400–€600</w:t>
            </w:r>
          </w:p>
        </w:tc>
        <w:tc>
          <w:tcPr>
            <w:tcW w:type="dxa" w:w="18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€700–€1.200</w:t>
            </w:r>
          </w:p>
        </w:tc>
      </w:tr>
      <w:tr>
        <w:trPr>
          <w:cantSplit/>
        </w:trPr>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Cuota mensual (planta 500 kWp)</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€400–€600</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€700–€1.000</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€1.200–€1.800</w:t>
            </w:r>
          </w:p>
        </w:tc>
        <w:tc>
          <w:tcPr>
            <w:tcW w:type="dxa" w:w="18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€2.000–€3.500</w:t>
            </w:r>
          </w:p>
        </w:tc>
      </w:tr>
      <w:tr>
        <w:trPr>
          <w:cantSplit/>
        </w:trPr>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Monitorización</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Remota 24/7</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Remota 24/7 + alertas</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SCADA avanzado</w:t>
            </w:r>
          </w:p>
        </w:tc>
        <w:tc>
          <w:tcPr>
            <w:tcW w:type="dxa" w:w="18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NOC dedicado</w:t>
            </w:r>
          </w:p>
        </w:tc>
      </w:tr>
      <w:tr>
        <w:trPr>
          <w:cantSplit/>
        </w:trPr>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Preventivos / año</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 visita</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2 visitas</w:t>
            </w:r>
          </w:p>
        </w:tc>
        <w:tc>
          <w:tcPr>
            <w:tcW w:type="dxa" w:w="18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4 visitas</w:t>
            </w:r>
          </w:p>
        </w:tc>
      </w:tr>
      <w:tr>
        <w:trPr>
          <w:cantSplit/>
        </w:trPr>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Limpieza incluida</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No</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No</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 limpieza/año</w:t>
            </w:r>
          </w:p>
        </w:tc>
        <w:tc>
          <w:tcPr>
            <w:tcW w:type="dxa" w:w="18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2 limpiezas/año</w:t>
            </w:r>
          </w:p>
        </w:tc>
      </w:tr>
      <w:tr>
        <w:trPr>
          <w:cantSplit/>
        </w:trPr>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Termografía</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No</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No</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Anual</w:t>
            </w:r>
          </w:p>
        </w:tc>
        <w:tc>
          <w:tcPr>
            <w:tcW w:type="dxa" w:w="18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Anual + dron</w:t>
            </w:r>
          </w:p>
        </w:tc>
      </w:tr>
      <w:tr>
        <w:trPr>
          <w:cantSplit/>
        </w:trPr>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Tiempo respuesta incidencia</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72h</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48h</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24h</w:t>
            </w:r>
          </w:p>
        </w:tc>
        <w:tc>
          <w:tcPr>
            <w:tcW w:type="dxa" w:w="18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4h</w:t>
            </w:r>
          </w:p>
        </w:tc>
      </w:tr>
      <w:tr>
        <w:trPr>
          <w:cantSplit/>
        </w:trPr>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SLA disponibilidad planta</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No</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≥97%</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≥98,5%</w:t>
            </w:r>
          </w:p>
        </w:tc>
        <w:tc>
          <w:tcPr>
            <w:tcW w:type="dxa" w:w="18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≥99,5%</w:t>
            </w:r>
          </w:p>
        </w:tc>
      </w:tr>
      <w:tr>
        <w:trPr>
          <w:cantSplit/>
        </w:trPr>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Informe de producción</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Mensual PDF</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Mensual + análisis</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Mensual + análisis + KPIs</w:t>
            </w:r>
          </w:p>
        </w:tc>
        <w:tc>
          <w:tcPr>
            <w:tcW w:type="dxa" w:w="18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Dashboard en tiempo real</w:t>
            </w:r>
          </w:p>
        </w:tc>
      </w:tr>
      <w:tr>
        <w:trPr>
          <w:cantSplit/>
        </w:trPr>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Penalización SLA</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No</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5% factura</w:t>
            </w:r>
          </w:p>
        </w:tc>
        <w:tc>
          <w:tcPr>
            <w:tcW w:type="dxa" w:w="1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10% factura</w:t>
            </w:r>
          </w:p>
        </w:tc>
        <w:tc>
          <w:tcPr>
            <w:tcW w:type="dxa" w:w="18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20% + bonus si supera</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8922A" w:sz="4"/>
              <w:left w:val="single" w:color="C8922A" w:sz="4"/>
              <w:bottom w:val="none" w:color="FFFFFF" w:sz="0"/>
              <w:right w:val="none" w:color="FFFFFF" w:sz="0"/>
            </w:tcBorders>
            <w:shd w:fill="FDF3E3" w:val="clear"/>
            <w:tcMar>
              <w:top w:type="dxa" w:w="140"/>
              <w:left w:type="dxa" w:w="200"/>
              <w:bottom w:type="dxa" w:w="140"/>
              <w:right w:type="dxa" w:w="200"/>
            </w:tcMar>
          </w:tcPr>
          <w:p>
            <w:r>
              <w:rPr>
                <w:rFonts w:ascii="Arial" w:cs="Arial" w:eastAsia="Arial" w:hAnsi="Arial"/>
                <w:color w:val="1C2535"/>
                <w:sz w:val="21"/>
                <w:szCs w:val="21"/>
              </w:rPr>
              <w:t xml:space="preserve">Ejemplo de ingreso recurrente: cartera de 10 plantas de 200 kWp en nivel O&amp;M Completo × €900/mes/planta = €9.000/mes = €108.000/año de ingresos recurrentes para una PYME instaladora.</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none" w:color="FFFFFF" w:sz="0"/>
              <w:bottom w:val="none" w:color="FFFFFF" w:sz="0"/>
              <w:right w:val="none" w:color="FFFFFF" w:sz="0"/>
            </w:tcBorders>
            <w:shd w:fill="1C2535" w:val="clear"/>
            <w:tcMar>
              <w:top w:type="dxa" w:w="160"/>
              <w:left w:type="dxa" w:w="240"/>
              <w:bottom w:type="dxa" w:w="160"/>
              <w:right w:type="dxa" w:w="240"/>
            </w:tcMar>
          </w:tcPr>
          <w:p>
            <w:r>
              <w:rPr>
                <w:rFonts w:ascii="Arial" w:cs="Arial" w:eastAsia="Arial" w:hAnsi="Arial"/>
                <w:b/>
                <w:bCs/>
                <w:color w:val="FFFFFF"/>
                <w:sz w:val="30"/>
                <w:szCs w:val="30"/>
              </w:rPr>
              <w:t xml:space="preserve">08. Asistente Técnico Normativo — RAG</w:t>
            </w:r>
          </w:p>
          <w:p>
            <w:r>
              <w:rPr>
                <w:rFonts w:ascii="Arial" w:cs="Arial" w:eastAsia="Arial" w:hAnsi="Arial"/>
                <w:color w:val="D5E8F0"/>
                <w:sz w:val="20"/>
                <w:szCs w:val="20"/>
              </w:rPr>
              <w:t xml:space="preserve">Normativa a indexar por vertical y prioridad</w:t>
            </w:r>
          </w:p>
        </w:tc>
      </w:tr>
    </w:tbl>
    <w:p>
      <w:pPr>
        <w:spacing w:after="160" w:before="160"/>
      </w:pPr>
    </w:p>
    <w:p>
      <w:pPr>
        <w:spacing w:after="120" w:before="240"/>
      </w:pPr>
      <w:r>
        <w:rPr>
          <w:rFonts w:ascii="Arial" w:cs="Arial" w:eastAsia="Arial" w:hAnsi="Arial"/>
          <w:b/>
          <w:bCs/>
          <w:color w:val="1C2535"/>
          <w:sz w:val="26"/>
          <w:szCs w:val="26"/>
        </w:rPr>
        <w:t xml:space="preserve">8.1 Cargadores VE — Normativa RAG</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360"/>
        <w:gridCol w:w="1800"/>
      </w:tblGrid>
      <w:tr>
        <w:trPr>
          <w:cantSplit/>
        </w:trPr>
        <w:tc>
          <w:tcPr>
            <w:tcW w:type="dxa" w:w="32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Norma / Reglamento</w:t>
            </w:r>
          </w:p>
        </w:tc>
        <w:tc>
          <w:tcPr>
            <w:tcW w:type="dxa" w:w="436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Contenido relevante para el instalador</w:t>
            </w:r>
          </w:p>
        </w:tc>
        <w:tc>
          <w:tcPr>
            <w:tcW w:type="dxa" w:w="18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Prioridad</w:t>
            </w:r>
          </w:p>
        </w:tc>
      </w:tr>
      <w:tr>
        <w:trPr>
          <w:cantSplit/>
        </w:trPr>
        <w:tc>
          <w:tcPr>
            <w:tcW w:type="dxa" w:w="3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ITC-BT-52 (REBT)</w:t>
            </w:r>
          </w:p>
        </w:tc>
        <w:tc>
          <w:tcPr>
            <w:tcW w:type="dxa" w:w="43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Instalaciones con fines especiales: Infraestructura para la recarga de VE. La norma madre del instalador VE</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Crítica</w:t>
            </w:r>
          </w:p>
        </w:tc>
      </w:tr>
      <w:tr>
        <w:trPr>
          <w:cantSplit/>
        </w:trPr>
        <w:tc>
          <w:tcPr>
            <w:tcW w:type="dxa" w:w="3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REBT (RD 842/2002)</w:t>
            </w:r>
          </w:p>
        </w:tc>
        <w:tc>
          <w:tcPr>
            <w:tcW w:type="dxa" w:w="43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Reglamento Electrotécnico de Baja Tensión completo. Base de toda instalación eléctrica</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Crítica</w:t>
            </w:r>
          </w:p>
        </w:tc>
      </w:tr>
      <w:tr>
        <w:trPr>
          <w:cantSplit/>
        </w:trPr>
        <w:tc>
          <w:tcPr>
            <w:tcW w:type="dxa" w:w="3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RD 1085/2015 (MOVEA)</w:t>
            </w:r>
          </w:p>
        </w:tc>
        <w:tc>
          <w:tcPr>
            <w:tcW w:type="dxa" w:w="43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Fomento de la movilidad eléctrica. Subvenciones y condiciones de instalación en vía pública</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RD 266/2021 (MOVES III)</w:t>
            </w:r>
          </w:p>
        </w:tc>
        <w:tc>
          <w:tcPr>
            <w:tcW w:type="dxa" w:w="43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Programa de ayudas para la adquisición de VE y instalación de infraestructura de recarga</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Reglamento UE 2023/1804 (AFIR)</w:t>
            </w:r>
          </w:p>
        </w:tc>
        <w:tc>
          <w:tcPr>
            <w:tcW w:type="dxa" w:w="43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Regulación europea de infraestructura de combustibles alternativos. Objetivos 2025-2035</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61851 (modos de carga)</w:t>
            </w:r>
          </w:p>
        </w:tc>
        <w:tc>
          <w:tcPr>
            <w:tcW w:type="dxa" w:w="43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Modos 1, 2, 3 y 4 de recarga. Obligaciones técnicas según modo</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62196 (conectores)</w:t>
            </w:r>
          </w:p>
        </w:tc>
        <w:tc>
          <w:tcPr>
            <w:tcW w:type="dxa" w:w="43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Tipos de conectores: Tipo 2 (AC), CCS Combo2 (DC), CHAdeMO. Interoperabilidad</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OCPP 1.6 / 2.0 (Open Charge Point Protocol)</w:t>
            </w:r>
          </w:p>
        </w:tc>
        <w:tc>
          <w:tcPr>
            <w:tcW w:type="dxa" w:w="43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Protocolo de comunicación entre cargador y plataforma. Base de la gestión remota</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Ley 49/1960 de Propiedad Horizontal (art. 17)</w:t>
            </w:r>
          </w:p>
        </w:tc>
        <w:tc>
          <w:tcPr>
            <w:tcW w:type="dxa" w:w="43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Mayorías para instalación en comunidades de propietarios (3/5 o mayoría simple)</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RD 1514/2010 (preinstalaciones garaje)</w:t>
            </w:r>
          </w:p>
        </w:tc>
        <w:tc>
          <w:tcPr>
            <w:tcW w:type="dxa" w:w="43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Preinstalaciones obligatorias en garajes de obra nueva</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Normativas CCAA específicas</w:t>
            </w:r>
          </w:p>
        </w:tc>
        <w:tc>
          <w:tcPr>
            <w:tcW w:type="dxa" w:w="43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Cataluña, Madrid, Andalucía, País Vasco tienen regulación complementaria</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Manuales técnicos: Wallbox, ABB, Schneider, Circutor, Zaptec</w:t>
            </w:r>
          </w:p>
        </w:tc>
        <w:tc>
          <w:tcPr>
            <w:tcW w:type="dxa" w:w="43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Requisitos instalación, torques, configuración, puesta en marcha de los principales fabricantes</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bl>
    <w:p>
      <w:pPr>
        <w:spacing w:after="120" w:before="120"/>
      </w:pPr>
    </w:p>
    <w:p>
      <w:pPr>
        <w:spacing w:after="120" w:before="240"/>
      </w:pPr>
      <w:r>
        <w:rPr>
          <w:rFonts w:ascii="Arial" w:cs="Arial" w:eastAsia="Arial" w:hAnsi="Arial"/>
          <w:b/>
          <w:bCs/>
          <w:color w:val="1C2535"/>
          <w:sz w:val="26"/>
          <w:szCs w:val="26"/>
        </w:rPr>
        <w:t xml:space="preserve">8.2 Fotovoltaica Industrial — Normativa RAG</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360"/>
        <w:gridCol w:w="1800"/>
      </w:tblGrid>
      <w:tr>
        <w:trPr>
          <w:cantSplit/>
        </w:trPr>
        <w:tc>
          <w:tcPr>
            <w:tcW w:type="dxa" w:w="32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Norma / Reglamento</w:t>
            </w:r>
          </w:p>
        </w:tc>
        <w:tc>
          <w:tcPr>
            <w:tcW w:type="dxa" w:w="436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Contenido relevante para el instalador</w:t>
            </w:r>
          </w:p>
        </w:tc>
        <w:tc>
          <w:tcPr>
            <w:tcW w:type="dxa" w:w="18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Prioridad</w:t>
            </w:r>
          </w:p>
        </w:tc>
      </w:tr>
      <w:tr>
        <w:trPr>
          <w:cantSplit/>
        </w:trPr>
        <w:tc>
          <w:tcPr>
            <w:tcW w:type="dxa" w:w="3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RD 244/2019 (Autoconsumo)</w:t>
            </w:r>
          </w:p>
        </w:tc>
        <w:tc>
          <w:tcPr>
            <w:tcW w:type="dxa" w:w="43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Norma madre del autoconsumo fotovoltaico en España. Modalidades, compensación excedentes, registro</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Crítica</w:t>
            </w:r>
          </w:p>
        </w:tc>
      </w:tr>
      <w:tr>
        <w:trPr>
          <w:cantSplit/>
        </w:trPr>
        <w:tc>
          <w:tcPr>
            <w:tcW w:type="dxa" w:w="3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RD 1183/2020 (Acceso y conexión a red)</w:t>
            </w:r>
          </w:p>
        </w:tc>
        <w:tc>
          <w:tcPr>
            <w:tcW w:type="dxa" w:w="43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Procedimiento de solicitud ATR, documentación, plazos, condiciones técnicas conexión</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Crítica</w:t>
            </w:r>
          </w:p>
        </w:tc>
      </w:tr>
      <w:tr>
        <w:trPr>
          <w:cantSplit/>
        </w:trPr>
        <w:tc>
          <w:tcPr>
            <w:tcW w:type="dxa" w:w="3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REBT (RD 842/2002)</w:t>
            </w:r>
          </w:p>
        </w:tc>
        <w:tc>
          <w:tcPr>
            <w:tcW w:type="dxa" w:w="43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Base de toda instalación eléctrica BT. Obligatorio para el AC de la instalación</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Crítica</w:t>
            </w:r>
          </w:p>
        </w:tc>
      </w:tr>
      <w:tr>
        <w:trPr>
          <w:cantSplit/>
        </w:trPr>
        <w:tc>
          <w:tcPr>
            <w:tcW w:type="dxa" w:w="3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62446-1 (Documentación FV)</w:t>
            </w:r>
          </w:p>
        </w:tc>
        <w:tc>
          <w:tcPr>
            <w:tcW w:type="dxa" w:w="43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Requisitos documentación de sistemas FV conectados a red. Base del informe de comisionado</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62446-3 (Termografía FV)</w:t>
            </w:r>
          </w:p>
        </w:tc>
        <w:tc>
          <w:tcPr>
            <w:tcW w:type="dxa" w:w="43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Procedimiento de inspección termográfica de instalaciones fotovoltaicas</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61724 (Monitorización FV)</w:t>
            </w:r>
          </w:p>
        </w:tc>
        <w:tc>
          <w:tcPr>
            <w:tcW w:type="dxa" w:w="43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Sistemas de monitorización de la energía: irradiancia, temperatura, producción, PR</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62548 (Diseño DC FV)</w:t>
            </w:r>
          </w:p>
        </w:tc>
        <w:tc>
          <w:tcPr>
            <w:tcW w:type="dxa" w:w="43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Requisitos de diseño del lado DC: secciones, fusibles, protecciones, caídas de tensión</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61215 (Módulos FV cristalino)</w:t>
            </w:r>
          </w:p>
        </w:tc>
        <w:tc>
          <w:tcPr>
            <w:tcW w:type="dxa" w:w="43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Cualificación de módulos fotovoltaicos de Si cristalino. Base de garantías de producto</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IEC 62109 (Seguridad inversores)</w:t>
            </w:r>
          </w:p>
        </w:tc>
        <w:tc>
          <w:tcPr>
            <w:tcW w:type="dxa" w:w="43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Requisitos de seguridad para inversores de instalaciones FV</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UNE-EN 62561 (Protección contra rayos)</w:t>
            </w:r>
          </w:p>
        </w:tc>
        <w:tc>
          <w:tcPr>
            <w:tcW w:type="dxa" w:w="43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Sistemas de protección contra rayos y equipotencialidad en instalaciones FV</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RD 413/2014 / RIPRE</w:t>
            </w:r>
          </w:p>
        </w:tc>
        <w:tc>
          <w:tcPr>
            <w:tcW w:type="dxa" w:w="43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Régimen retributivo específico para productores de energía eléctrica de fuentes renovables</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r>
      <w:tr>
        <w:trPr>
          <w:cantSplit/>
        </w:trPr>
        <w:tc>
          <w:tcPr>
            <w:tcW w:type="dxa" w:w="3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PNIEC 2021-2030</w:t>
            </w:r>
          </w:p>
        </w:tc>
        <w:tc>
          <w:tcPr>
            <w:tcW w:type="dxa" w:w="43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Plan Nacional Integrado de Energía y Clima. Contexto regulatorio y objetivos 2030</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Informativa</w:t>
            </w:r>
          </w:p>
        </w:tc>
      </w:tr>
      <w:tr>
        <w:trPr>
          <w:cantSplit/>
        </w:trPr>
        <w:tc>
          <w:tcPr>
            <w:tcW w:type="dxa" w:w="3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Guías técnicas IDAE</w:t>
            </w:r>
          </w:p>
        </w:tc>
        <w:tc>
          <w:tcPr>
            <w:tcW w:type="dxa" w:w="43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Guías de instalación FV residencial, industrial y gran escala del IDAE</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r>
        <w:trPr>
          <w:cantSplit/>
        </w:trPr>
        <w:tc>
          <w:tcPr>
            <w:tcW w:type="dxa" w:w="3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Manuales fabricantes: Huawei, Sungrow, Fronius, SolarEdge, Enphase</w:t>
            </w:r>
          </w:p>
        </w:tc>
        <w:tc>
          <w:tcPr>
            <w:tcW w:type="dxa" w:w="43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Requisitos instalación, configuración, puesta en marcha, mantenimiento de inversores líderes</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none" w:color="FFFFFF" w:sz="0"/>
              <w:bottom w:val="none" w:color="FFFFFF" w:sz="0"/>
              <w:right w:val="none" w:color="FFFFFF" w:sz="0"/>
            </w:tcBorders>
            <w:shd w:fill="1C2535" w:val="clear"/>
            <w:tcMar>
              <w:top w:type="dxa" w:w="160"/>
              <w:left w:type="dxa" w:w="240"/>
              <w:bottom w:type="dxa" w:w="160"/>
              <w:right w:type="dxa" w:w="240"/>
            </w:tcMar>
          </w:tcPr>
          <w:p>
            <w:r>
              <w:rPr>
                <w:rFonts w:ascii="Arial" w:cs="Arial" w:eastAsia="Arial" w:hAnsi="Arial"/>
                <w:b/>
                <w:bCs/>
                <w:color w:val="FFFFFF"/>
                <w:sz w:val="30"/>
                <w:szCs w:val="30"/>
              </w:rPr>
              <w:t xml:space="preserve">09. Asociaciones Estratégicas</w:t>
            </w:r>
          </w:p>
          <w:p>
            <w:r>
              <w:rPr>
                <w:rFonts w:ascii="Arial" w:cs="Arial" w:eastAsia="Arial" w:hAnsi="Arial"/>
                <w:color w:val="D5E8F0"/>
                <w:sz w:val="20"/>
                <w:szCs w:val="20"/>
              </w:rPr>
              <w:t xml:space="preserve">Priorización de canal para TrabFlow</w:t>
            </w:r>
          </w:p>
        </w:tc>
      </w:tr>
    </w:tbl>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400"/>
        <w:gridCol w:w="2160"/>
        <w:gridCol w:w="1200"/>
        <w:gridCol w:w="1200"/>
      </w:tblGrid>
      <w:tr>
        <w:trPr>
          <w:cantSplit/>
        </w:trPr>
        <w:tc>
          <w:tcPr>
            <w:tcW w:type="dxa" w:w="12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Asociación</w:t>
            </w:r>
          </w:p>
        </w:tc>
        <w:tc>
          <w:tcPr>
            <w:tcW w:type="dxa" w:w="12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Vertical</w:t>
            </w:r>
          </w:p>
        </w:tc>
        <w:tc>
          <w:tcPr>
            <w:tcW w:type="dxa" w:w="24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Asociados / Alcance</w:t>
            </w:r>
          </w:p>
        </w:tc>
        <w:tc>
          <w:tcPr>
            <w:tcW w:type="dxa" w:w="216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Propuesta de valor TrabFlow</w:t>
            </w:r>
          </w:p>
        </w:tc>
        <w:tc>
          <w:tcPr>
            <w:tcW w:type="dxa" w:w="12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Prioridad</w:t>
            </w:r>
          </w:p>
        </w:tc>
        <w:tc>
          <w:tcPr>
            <w:tcW w:type="dxa" w:w="12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Acción</w:t>
            </w:r>
          </w:p>
        </w:tc>
      </w:tr>
      <w:tr>
        <w:trPr>
          <w:cantSplit/>
        </w:trPr>
        <w:tc>
          <w:tcPr>
            <w:tcW w:type="dxa" w:w="1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FENIE</w:t>
            </w:r>
          </w:p>
        </w:tc>
        <w:tc>
          <w:tcPr>
            <w:tcW w:type="dxa" w:w="1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Eléctrico / VE</w:t>
            </w:r>
          </w:p>
        </w:tc>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35.000+ empresas eléctricas</w:t>
            </w:r>
          </w:p>
        </w:tc>
        <w:tc>
          <w:tcPr>
            <w:tcW w:type="dxa" w:w="2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6 meses gratis para asociados + VeriFactu 2027</w:t>
            </w:r>
          </w:p>
        </w:tc>
        <w:tc>
          <w:tcPr>
            <w:tcW w:type="dxa" w:w="1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Muy Alta</w:t>
            </w:r>
          </w:p>
        </w:tc>
        <w:tc>
          <w:tcPr>
            <w:tcW w:type="dxa" w:w="1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En curso</w:t>
            </w:r>
          </w:p>
        </w:tc>
      </w:tr>
      <w:tr>
        <w:trPr>
          <w:cantSplit/>
        </w:trPr>
        <w:tc>
          <w:tcPr>
            <w:tcW w:type="dxa" w:w="1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APIEM</w:t>
            </w:r>
          </w:p>
        </w:tc>
        <w:tc>
          <w:tcPr>
            <w:tcW w:type="dxa" w:w="1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Eléctrico / VE Madrid</w:t>
            </w:r>
          </w:p>
        </w:tc>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8.000+ instaladores</w:t>
            </w:r>
          </w:p>
        </w:tc>
        <w:tc>
          <w:tcPr>
            <w:tcW w:type="dxa" w:w="2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Acceso prioritario beta + soporte normativa VE</w:t>
            </w:r>
          </w:p>
        </w:tc>
        <w:tc>
          <w:tcPr>
            <w:tcW w:type="dxa" w:w="1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Muy Alta</w:t>
            </w:r>
          </w:p>
        </w:tc>
        <w:tc>
          <w:tcPr>
            <w:tcW w:type="dxa" w:w="1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En curso</w:t>
            </w:r>
          </w:p>
        </w:tc>
      </w:tr>
      <w:tr>
        <w:trPr>
          <w:cantSplit/>
        </w:trPr>
        <w:tc>
          <w:tcPr>
            <w:tcW w:type="dxa" w:w="1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CONAIF</w:t>
            </w:r>
          </w:p>
        </w:tc>
        <w:tc>
          <w:tcPr>
            <w:tcW w:type="dxa" w:w="1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Todos los instaladores</w:t>
            </w:r>
          </w:p>
        </w:tc>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200.000+ trabajadores</w:t>
            </w:r>
          </w:p>
        </w:tc>
        <w:tc>
          <w:tcPr>
            <w:tcW w:type="dxa" w:w="2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Plataforma de referencia sectorial + VeriFactu</w:t>
            </w:r>
          </w:p>
        </w:tc>
        <w:tc>
          <w:tcPr>
            <w:tcW w:type="dxa" w:w="1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Muy Alta</w:t>
            </w:r>
          </w:p>
        </w:tc>
        <w:tc>
          <w:tcPr>
            <w:tcW w:type="dxa" w:w="1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En curso</w:t>
            </w:r>
          </w:p>
        </w:tc>
      </w:tr>
      <w:tr>
        <w:trPr>
          <w:cantSplit/>
        </w:trPr>
        <w:tc>
          <w:tcPr>
            <w:tcW w:type="dxa" w:w="1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AEDIVE</w:t>
            </w:r>
          </w:p>
        </w:tc>
        <w:tc>
          <w:tcPr>
            <w:tcW w:type="dxa" w:w="1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VE / Movilidad</w:t>
            </w:r>
          </w:p>
        </w:tc>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300+ empresas recarga</w:t>
            </w:r>
          </w:p>
        </w:tc>
        <w:tc>
          <w:tcPr>
            <w:tcW w:type="dxa" w:w="2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TrabFlow como herramienta de gestión para instaladores miembro</w:t>
            </w:r>
          </w:p>
        </w:tc>
        <w:tc>
          <w:tcPr>
            <w:tcW w:type="dxa" w:w="1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c>
          <w:tcPr>
            <w:tcW w:type="dxa" w:w="1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Q3 2026</w:t>
            </w:r>
          </w:p>
        </w:tc>
      </w:tr>
      <w:tr>
        <w:trPr>
          <w:cantSplit/>
        </w:trPr>
        <w:tc>
          <w:tcPr>
            <w:tcW w:type="dxa" w:w="1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UNEF</w:t>
            </w:r>
          </w:p>
        </w:tc>
        <w:tc>
          <w:tcPr>
            <w:tcW w:type="dxa" w:w="1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Fotovoltaica</w:t>
            </w:r>
          </w:p>
        </w:tc>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500+ empresas FV</w:t>
            </w:r>
          </w:p>
        </w:tc>
        <w:tc>
          <w:tcPr>
            <w:tcW w:type="dxa" w:w="2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O&amp;M module, contratos mantenimiento, normativa RAG FV</w:t>
            </w:r>
          </w:p>
        </w:tc>
        <w:tc>
          <w:tcPr>
            <w:tcW w:type="dxa" w:w="1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c>
          <w:tcPr>
            <w:tcW w:type="dxa" w:w="1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Q1 2027</w:t>
            </w:r>
          </w:p>
        </w:tc>
      </w:tr>
      <w:tr>
        <w:trPr>
          <w:cantSplit/>
        </w:trPr>
        <w:tc>
          <w:tcPr>
            <w:tcW w:type="dxa" w:w="1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ANES</w:t>
            </w:r>
          </w:p>
        </w:tc>
        <w:tc>
          <w:tcPr>
            <w:tcW w:type="dxa" w:w="1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Energía Solar</w:t>
            </w:r>
          </w:p>
        </w:tc>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400+ empresas</w:t>
            </w:r>
          </w:p>
        </w:tc>
        <w:tc>
          <w:tcPr>
            <w:tcW w:type="dxa" w:w="2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Foco en O&amp;M: contratos, partes, monitorización</w:t>
            </w:r>
          </w:p>
        </w:tc>
        <w:tc>
          <w:tcPr>
            <w:tcW w:type="dxa" w:w="1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Media-Alta</w:t>
            </w:r>
          </w:p>
        </w:tc>
        <w:tc>
          <w:tcPr>
            <w:tcW w:type="dxa" w:w="1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Q1 2027</w:t>
            </w:r>
          </w:p>
        </w:tc>
      </w:tr>
      <w:tr>
        <w:trPr>
          <w:cantSplit/>
        </w:trPr>
        <w:tc>
          <w:tcPr>
            <w:tcW w:type="dxa" w:w="1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AFRE</w:t>
            </w:r>
          </w:p>
        </w:tc>
        <w:tc>
          <w:tcPr>
            <w:tcW w:type="dxa" w:w="1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Recarga / Movilidad</w:t>
            </w:r>
          </w:p>
        </w:tc>
        <w:tc>
          <w:tcPr>
            <w:tcW w:type="dxa" w:w="2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150+ operadores</w:t>
            </w:r>
          </w:p>
        </w:tc>
        <w:tc>
          <w:tcPr>
            <w:tcW w:type="dxa" w:w="2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Canal para empresas de operación de redes de recarga</w:t>
            </w:r>
          </w:p>
        </w:tc>
        <w:tc>
          <w:tcPr>
            <w:tcW w:type="dxa" w:w="1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c>
          <w:tcPr>
            <w:tcW w:type="dxa" w:w="1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Q4 2026</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none" w:color="FFFFFF" w:sz="0"/>
              <w:bottom w:val="none" w:color="FFFFFF" w:sz="0"/>
              <w:right w:val="none" w:color="FFFFFF" w:sz="0"/>
            </w:tcBorders>
            <w:shd w:fill="1C2535" w:val="clear"/>
            <w:tcMar>
              <w:top w:type="dxa" w:w="160"/>
              <w:left w:type="dxa" w:w="240"/>
              <w:bottom w:type="dxa" w:w="160"/>
              <w:right w:type="dxa" w:w="240"/>
            </w:tcMar>
          </w:tcPr>
          <w:p>
            <w:r>
              <w:rPr>
                <w:rFonts w:ascii="Arial" w:cs="Arial" w:eastAsia="Arial" w:hAnsi="Arial"/>
                <w:b/>
                <w:bCs/>
                <w:color w:val="FFFFFF"/>
                <w:sz w:val="30"/>
                <w:szCs w:val="30"/>
              </w:rPr>
              <w:t xml:space="preserve">10. Distribuidores y Partners Industriales</w:t>
            </w:r>
          </w:p>
          <w:p>
            <w:r>
              <w:rPr>
                <w:rFonts w:ascii="Arial" w:cs="Arial" w:eastAsia="Arial" w:hAnsi="Arial"/>
                <w:color w:val="D5E8F0"/>
                <w:sz w:val="20"/>
                <w:szCs w:val="20"/>
              </w:rPr>
              <w:t xml:space="preserve">Sinergias de catálogo y canal</w:t>
            </w:r>
          </w:p>
        </w:tc>
      </w:tr>
    </w:tbl>
    <w:p>
      <w:pPr>
        <w:spacing w:after="160" w:before="160"/>
      </w:pPr>
    </w:p>
    <w:p>
      <w:pPr>
        <w:spacing w:after="120" w:before="240"/>
      </w:pPr>
      <w:r>
        <w:rPr>
          <w:rFonts w:ascii="Arial" w:cs="Arial" w:eastAsia="Arial" w:hAnsi="Arial"/>
          <w:b/>
          <w:bCs/>
          <w:color w:val="1C2535"/>
          <w:sz w:val="26"/>
          <w:szCs w:val="26"/>
        </w:rPr>
        <w:t xml:space="preserve">10.1 Cargadores VE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160"/>
        <w:gridCol w:w="1400"/>
        <w:gridCol w:w="1400"/>
      </w:tblGrid>
      <w:tr>
        <w:trPr>
          <w:cantSplit/>
        </w:trPr>
        <w:tc>
          <w:tcPr>
            <w:tcW w:type="dxa" w:w="16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Partner</w:t>
            </w:r>
          </w:p>
        </w:tc>
        <w:tc>
          <w:tcPr>
            <w:tcW w:type="dxa" w:w="18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Tipo</w:t>
            </w:r>
          </w:p>
        </w:tc>
        <w:tc>
          <w:tcPr>
            <w:tcW w:type="dxa" w:w="316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Sinergia con TrabFlow</w:t>
            </w:r>
          </w:p>
        </w:tc>
        <w:tc>
          <w:tcPr>
            <w:tcW w:type="dxa" w:w="14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Prioridad catálogo</w:t>
            </w:r>
          </w:p>
        </w:tc>
        <w:tc>
          <w:tcPr>
            <w:tcW w:type="dxa" w:w="14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Acción</w:t>
            </w:r>
          </w:p>
        </w:tc>
      </w:tr>
      <w:tr>
        <w:trPr>
          <w:cantSplit/>
        </w:trPr>
        <w:tc>
          <w:tcPr>
            <w:tcW w:type="dxa" w:w="1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Wallbox</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Fabricante wallboxes</w:t>
            </w:r>
          </w:p>
        </w:tc>
        <w:tc>
          <w:tcPr>
            <w:tcW w:type="dxa" w:w="3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Integración catálogo Wallbox en TrabFlow. Installer partner program</w:t>
            </w:r>
          </w:p>
        </w:tc>
        <w:tc>
          <w:tcPr>
            <w:tcW w:type="dxa" w:w="1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Muy Alta</w:t>
            </w:r>
          </w:p>
        </w:tc>
        <w:tc>
          <w:tcPr>
            <w:tcW w:type="dxa" w:w="1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Q3 2026</w:t>
            </w:r>
          </w:p>
        </w:tc>
      </w:tr>
      <w:tr>
        <w:trPr>
          <w:cantSplit/>
        </w:trPr>
        <w:tc>
          <w:tcPr>
            <w:tcW w:type="dxa" w:w="1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ABB E-Mobility</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Fabricante / Distribuidor</w:t>
            </w:r>
          </w:p>
        </w:tc>
        <w:tc>
          <w:tcPr>
            <w:tcW w:type="dxa" w:w="3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Referencias ABB Terra en catálogo. Canal B2B instaladores</w:t>
            </w:r>
          </w:p>
        </w:tc>
        <w:tc>
          <w:tcPr>
            <w:tcW w:type="dxa" w:w="1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c>
          <w:tcPr>
            <w:tcW w:type="dxa" w:w="1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Q4 2026</w:t>
            </w:r>
          </w:p>
        </w:tc>
      </w:tr>
      <w:tr>
        <w:trPr>
          <w:cantSplit/>
        </w:trPr>
        <w:tc>
          <w:tcPr>
            <w:tcW w:type="dxa" w:w="1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Schneider Electric</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Fabricante</w:t>
            </w:r>
          </w:p>
        </w:tc>
        <w:tc>
          <w:tcPr>
            <w:tcW w:type="dxa" w:w="3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EVlink Pro series. Integración con EcoStruxure para gestión energía</w:t>
            </w:r>
          </w:p>
        </w:tc>
        <w:tc>
          <w:tcPr>
            <w:tcW w:type="dxa" w:w="1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c>
          <w:tcPr>
            <w:tcW w:type="dxa" w:w="1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Q4 2026</w:t>
            </w:r>
          </w:p>
        </w:tc>
      </w:tr>
      <w:tr>
        <w:trPr>
          <w:cantSplit/>
        </w:trPr>
        <w:tc>
          <w:tcPr>
            <w:tcW w:type="dxa" w:w="1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Circutor</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Fabricante español</w:t>
            </w:r>
          </w:p>
        </w:tc>
        <w:tc>
          <w:tcPr>
            <w:tcW w:type="dxa" w:w="3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Cargadores AC/DC. Fuerte red de instaladores en España</w:t>
            </w:r>
          </w:p>
        </w:tc>
        <w:tc>
          <w:tcPr>
            <w:tcW w:type="dxa" w:w="1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c>
          <w:tcPr>
            <w:tcW w:type="dxa" w:w="1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Q3 2026</w:t>
            </w:r>
          </w:p>
        </w:tc>
      </w:tr>
      <w:tr>
        <w:trPr>
          <w:cantSplit/>
        </w:trPr>
        <w:tc>
          <w:tcPr>
            <w:tcW w:type="dxa" w:w="1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Zaptec</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Fabricante</w:t>
            </w:r>
          </w:p>
        </w:tc>
        <w:tc>
          <w:tcPr>
            <w:tcW w:type="dxa" w:w="3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Zaptec Go/Pro. Creciente en residencial y comunidades</w:t>
            </w:r>
          </w:p>
        </w:tc>
        <w:tc>
          <w:tcPr>
            <w:tcW w:type="dxa" w:w="1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c>
          <w:tcPr>
            <w:tcW w:type="dxa" w:w="1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Q1 2027</w:t>
            </w:r>
          </w:p>
        </w:tc>
      </w:tr>
      <w:tr>
        <w:trPr>
          <w:cantSplit/>
        </w:trPr>
        <w:tc>
          <w:tcPr>
            <w:tcW w:type="dxa" w:w="1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Sonepar</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Distribuidor eléctrico</w:t>
            </w:r>
          </w:p>
        </w:tc>
        <w:tc>
          <w:tcPr>
            <w:tcW w:type="dxa" w:w="3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Canal de distribución de wallboxes + protecciones. Ya en outreach</w:t>
            </w:r>
          </w:p>
        </w:tc>
        <w:tc>
          <w:tcPr>
            <w:tcW w:type="dxa" w:w="1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c>
          <w:tcPr>
            <w:tcW w:type="dxa" w:w="1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Q3 2026</w:t>
            </w:r>
          </w:p>
        </w:tc>
      </w:tr>
      <w:tr>
        <w:trPr>
          <w:cantSplit/>
        </w:trPr>
        <w:tc>
          <w:tcPr>
            <w:tcW w:type="dxa" w:w="1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Rexel</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Distribuidor eléctrico</w:t>
            </w:r>
          </w:p>
        </w:tc>
        <w:tc>
          <w:tcPr>
            <w:tcW w:type="dxa" w:w="3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Catálogo VE amplio. Programa de instaladores certificados VE</w:t>
            </w:r>
          </w:p>
        </w:tc>
        <w:tc>
          <w:tcPr>
            <w:tcW w:type="dxa" w:w="1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Media-Alta</w:t>
            </w:r>
          </w:p>
        </w:tc>
        <w:tc>
          <w:tcPr>
            <w:tcW w:type="dxa" w:w="1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Q4 2026</w:t>
            </w:r>
          </w:p>
        </w:tc>
      </w:tr>
      <w:tr>
        <w:trPr>
          <w:cantSplit/>
        </w:trPr>
        <w:tc>
          <w:tcPr>
            <w:tcW w:type="dxa" w:w="1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Saltoki</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Distribuidor</w:t>
            </w:r>
          </w:p>
        </w:tc>
        <w:tc>
          <w:tcPr>
            <w:tcW w:type="dxa" w:w="3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Material VE en expansión. Canal fontanería + climatización + VE</w:t>
            </w:r>
          </w:p>
        </w:tc>
        <w:tc>
          <w:tcPr>
            <w:tcW w:type="dxa" w:w="1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c>
          <w:tcPr>
            <w:tcW w:type="dxa" w:w="1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Q4 2026</w:t>
            </w:r>
          </w:p>
        </w:tc>
      </w:tr>
    </w:tbl>
    <w:p>
      <w:pPr>
        <w:spacing w:after="120" w:before="120"/>
      </w:pPr>
    </w:p>
    <w:p>
      <w:pPr>
        <w:spacing w:after="120" w:before="240"/>
      </w:pPr>
      <w:r>
        <w:rPr>
          <w:rFonts w:ascii="Arial" w:cs="Arial" w:eastAsia="Arial" w:hAnsi="Arial"/>
          <w:b/>
          <w:bCs/>
          <w:color w:val="1C2535"/>
          <w:sz w:val="26"/>
          <w:szCs w:val="26"/>
        </w:rPr>
        <w:t xml:space="preserve">10.2 Fotovoltaica Industrial</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160"/>
        <w:gridCol w:w="1400"/>
        <w:gridCol w:w="1400"/>
      </w:tblGrid>
      <w:tr>
        <w:trPr>
          <w:cantSplit/>
        </w:trPr>
        <w:tc>
          <w:tcPr>
            <w:tcW w:type="dxa" w:w="16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Partner</w:t>
            </w:r>
          </w:p>
        </w:tc>
        <w:tc>
          <w:tcPr>
            <w:tcW w:type="dxa" w:w="18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Tipo</w:t>
            </w:r>
          </w:p>
        </w:tc>
        <w:tc>
          <w:tcPr>
            <w:tcW w:type="dxa" w:w="316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Sinergia con TrabFlow</w:t>
            </w:r>
          </w:p>
        </w:tc>
        <w:tc>
          <w:tcPr>
            <w:tcW w:type="dxa" w:w="14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Prioridad catálogo</w:t>
            </w:r>
          </w:p>
        </w:tc>
        <w:tc>
          <w:tcPr>
            <w:tcW w:type="dxa" w:w="14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Acción</w:t>
            </w:r>
          </w:p>
        </w:tc>
      </w:tr>
      <w:tr>
        <w:trPr>
          <w:cantSplit/>
        </w:trPr>
        <w:tc>
          <w:tcPr>
            <w:tcW w:type="dxa" w:w="1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Huawei FusionSolar</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Fabricante inversor</w:t>
            </w:r>
          </w:p>
        </w:tc>
        <w:tc>
          <w:tcPr>
            <w:tcW w:type="dxa" w:w="3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Líder mundial. Integración MODBUS/RS485 con monitorización TrabFlow</w:t>
            </w:r>
          </w:p>
        </w:tc>
        <w:tc>
          <w:tcPr>
            <w:tcW w:type="dxa" w:w="1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Muy Alta</w:t>
            </w:r>
          </w:p>
        </w:tc>
        <w:tc>
          <w:tcPr>
            <w:tcW w:type="dxa" w:w="1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Q1 2027</w:t>
            </w:r>
          </w:p>
        </w:tc>
      </w:tr>
      <w:tr>
        <w:trPr>
          <w:cantSplit/>
        </w:trPr>
        <w:tc>
          <w:tcPr>
            <w:tcW w:type="dxa" w:w="1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Sungrow</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Fabricante inversor</w:t>
            </w:r>
          </w:p>
        </w:tc>
        <w:tc>
          <w:tcPr>
            <w:tcW w:type="dxa" w:w="3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2º fabricante global. API abierta para monitorización</w:t>
            </w:r>
          </w:p>
        </w:tc>
        <w:tc>
          <w:tcPr>
            <w:tcW w:type="dxa" w:w="1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Muy Alta</w:t>
            </w:r>
          </w:p>
        </w:tc>
        <w:tc>
          <w:tcPr>
            <w:tcW w:type="dxa" w:w="1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Q1 2027</w:t>
            </w:r>
          </w:p>
        </w:tc>
      </w:tr>
      <w:tr>
        <w:trPr>
          <w:cantSplit/>
        </w:trPr>
        <w:tc>
          <w:tcPr>
            <w:tcW w:type="dxa" w:w="1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SolarEdge</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Fabricante optimizadores</w:t>
            </w:r>
          </w:p>
        </w:tc>
        <w:tc>
          <w:tcPr>
            <w:tcW w:type="dxa" w:w="3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Gestión panel a panel. API mySolarEdge para integración</w:t>
            </w:r>
          </w:p>
        </w:tc>
        <w:tc>
          <w:tcPr>
            <w:tcW w:type="dxa" w:w="1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c>
          <w:tcPr>
            <w:tcW w:type="dxa" w:w="1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Q1 2027</w:t>
            </w:r>
          </w:p>
        </w:tc>
      </w:tr>
      <w:tr>
        <w:trPr>
          <w:cantSplit/>
        </w:trPr>
        <w:tc>
          <w:tcPr>
            <w:tcW w:type="dxa" w:w="1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Fronius</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Fabricante inversor</w:t>
            </w:r>
          </w:p>
        </w:tc>
        <w:tc>
          <w:tcPr>
            <w:tcW w:type="dxa" w:w="3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Premium europeo. Solar.web API para monitorización</w:t>
            </w:r>
          </w:p>
        </w:tc>
        <w:tc>
          <w:tcPr>
            <w:tcW w:type="dxa" w:w="1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c>
          <w:tcPr>
            <w:tcW w:type="dxa" w:w="1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Q2 2027</w:t>
            </w:r>
          </w:p>
        </w:tc>
      </w:tr>
      <w:tr>
        <w:trPr>
          <w:cantSplit/>
        </w:trPr>
        <w:tc>
          <w:tcPr>
            <w:tcW w:type="dxa" w:w="1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Enphase</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Fabricante microinversor</w:t>
            </w:r>
          </w:p>
        </w:tc>
        <w:tc>
          <w:tcPr>
            <w:tcW w:type="dxa" w:w="3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Enlighten API. Microinversores en industrial pequeño</w:t>
            </w:r>
          </w:p>
        </w:tc>
        <w:tc>
          <w:tcPr>
            <w:tcW w:type="dxa" w:w="1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Media</w:t>
            </w:r>
          </w:p>
        </w:tc>
        <w:tc>
          <w:tcPr>
            <w:tcW w:type="dxa" w:w="1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Q2 2027</w:t>
            </w:r>
          </w:p>
        </w:tc>
      </w:tr>
      <w:tr>
        <w:trPr>
          <w:cantSplit/>
        </w:trPr>
        <w:tc>
          <w:tcPr>
            <w:tcW w:type="dxa" w:w="1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Grupo Noria</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Distribuidor FV España</w:t>
            </w:r>
          </w:p>
        </w:tc>
        <w:tc>
          <w:tcPr>
            <w:tcW w:type="dxa" w:w="3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Distribuidor especializado FV. Canal a instaladores medianos</w:t>
            </w:r>
          </w:p>
        </w:tc>
        <w:tc>
          <w:tcPr>
            <w:tcW w:type="dxa" w:w="1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c>
          <w:tcPr>
            <w:tcW w:type="dxa" w:w="1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Q1 2027</w:t>
            </w:r>
          </w:p>
        </w:tc>
      </w:tr>
      <w:tr>
        <w:trPr>
          <w:cantSplit/>
        </w:trPr>
        <w:tc>
          <w:tcPr>
            <w:tcW w:type="dxa" w:w="1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ElectroStocks</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Distribuidor FV</w:t>
            </w:r>
          </w:p>
        </w:tc>
        <w:tc>
          <w:tcPr>
            <w:tcW w:type="dxa" w:w="3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Amplio catálogo FV. Plataforma B2B para instaladores</w:t>
            </w:r>
          </w:p>
        </w:tc>
        <w:tc>
          <w:tcPr>
            <w:tcW w:type="dxa" w:w="1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c>
          <w:tcPr>
            <w:tcW w:type="dxa" w:w="1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Q1 2027</w:t>
            </w:r>
          </w:p>
        </w:tc>
      </w:tr>
      <w:tr>
        <w:trPr>
          <w:cantSplit/>
        </w:trPr>
        <w:tc>
          <w:tcPr>
            <w:tcW w:type="dxa" w:w="1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Sonepar FV</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Distribuidor eléctrico</w:t>
            </w:r>
          </w:p>
        </w:tc>
        <w:tc>
          <w:tcPr>
            <w:tcW w:type="dxa" w:w="3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División FV en crecimiento. Canal existente ya en outreach TrabFlow</w:t>
            </w:r>
          </w:p>
        </w:tc>
        <w:tc>
          <w:tcPr>
            <w:tcW w:type="dxa" w:w="1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Alta</w:t>
            </w:r>
          </w:p>
        </w:tc>
        <w:tc>
          <w:tcPr>
            <w:tcW w:type="dxa" w:w="14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Q3 2026</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none" w:color="FFFFFF" w:sz="0"/>
              <w:bottom w:val="none" w:color="FFFFFF" w:sz="0"/>
              <w:right w:val="none" w:color="FFFFFF" w:sz="0"/>
            </w:tcBorders>
            <w:shd w:fill="1C2535" w:val="clear"/>
            <w:tcMar>
              <w:top w:type="dxa" w:w="160"/>
              <w:left w:type="dxa" w:w="240"/>
              <w:bottom w:type="dxa" w:w="160"/>
              <w:right w:type="dxa" w:w="240"/>
            </w:tcMar>
          </w:tcPr>
          <w:p>
            <w:r>
              <w:rPr>
                <w:rFonts w:ascii="Arial" w:cs="Arial" w:eastAsia="Arial" w:hAnsi="Arial"/>
                <w:b/>
                <w:bCs/>
                <w:color w:val="FFFFFF"/>
                <w:sz w:val="30"/>
                <w:szCs w:val="30"/>
              </w:rPr>
              <w:t xml:space="preserve">11. Potencial SaaS para TrabFlow</w:t>
            </w:r>
          </w:p>
          <w:p>
            <w:r>
              <w:rPr>
                <w:rFonts w:ascii="Arial" w:cs="Arial" w:eastAsia="Arial" w:hAnsi="Arial"/>
                <w:color w:val="D5E8F0"/>
                <w:sz w:val="20"/>
                <w:szCs w:val="20"/>
              </w:rPr>
              <w:t xml:space="preserve">CAC · Ticket · Recurrencia · Adquisición</w:t>
            </w:r>
          </w:p>
        </w:tc>
      </w:tr>
    </w:tbl>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200"/>
        <w:gridCol w:w="1200"/>
        <w:gridCol w:w="1200"/>
        <w:gridCol w:w="800"/>
        <w:gridCol w:w="960"/>
      </w:tblGrid>
      <w:tr>
        <w:trPr>
          <w:cantSplit/>
        </w:trPr>
        <w:tc>
          <w:tcPr>
            <w:tcW w:type="dxa" w:w="24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Vertical</w:t>
            </w:r>
          </w:p>
        </w:tc>
        <w:tc>
          <w:tcPr>
            <w:tcW w:type="dxa" w:w="12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CAC est.</w:t>
            </w:r>
          </w:p>
        </w:tc>
        <w:tc>
          <w:tcPr>
            <w:tcW w:type="dxa" w:w="12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Ticket plan</w:t>
            </w:r>
          </w:p>
        </w:tc>
        <w:tc>
          <w:tcPr>
            <w:tcW w:type="dxa" w:w="12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LTV 3a</w:t>
            </w:r>
          </w:p>
        </w:tc>
        <w:tc>
          <w:tcPr>
            <w:tcW w:type="dxa" w:w="12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Recurrencia</w:t>
            </w:r>
          </w:p>
        </w:tc>
        <w:tc>
          <w:tcPr>
            <w:tcW w:type="dxa" w:w="12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Adq. canal</w:t>
            </w:r>
          </w:p>
        </w:tc>
        <w:tc>
          <w:tcPr>
            <w:tcW w:type="dxa" w:w="8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Acuerdo sector.</w:t>
            </w:r>
          </w:p>
        </w:tc>
        <w:tc>
          <w:tcPr>
            <w:tcW w:type="dxa" w:w="96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Score</w:t>
            </w:r>
          </w:p>
        </w:tc>
      </w:tr>
      <w:tr>
        <w:trPr>
          <w:cantSplit/>
        </w:trP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Cargadores VE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€80–€150</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€49–€89/mes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€1.764–€3.204</w:t>
            </w:r>
          </w:p>
        </w:tc>
        <w:tc>
          <w:tcPr>
            <w:tcW w:type="dxa" w:w="1200"/>
            <w:tcBorders>
              <w:top w:val="single" w:color="CCCCCC" w:sz="1"/>
              <w:left w:val="single" w:color="CCCCCC" w:sz="1"/>
              <w:bottom w:val="single" w:color="CCCCCC" w:sz="1"/>
              <w:right w:val="single" w:color="CCCCCC" w:sz="1"/>
            </w:tcBorders>
            <w:shd w:fill="D8F3DC" w:val="clear"/>
            <w:tcMar>
              <w:top w:type="dxa" w:w="70"/>
              <w:left w:type="dxa" w:w="110"/>
              <w:bottom w:type="dxa" w:w="70"/>
              <w:right w:type="dxa" w:w="110"/>
            </w:tcMar>
          </w:tcPr>
          <w:p>
            <w:pPr>
              <w:jc w:val="center"/>
            </w:pPr>
            <w:r>
              <w:rPr>
                <w:rFonts w:ascii="Arial" w:cs="Arial" w:eastAsia="Arial" w:hAnsi="Arial"/>
                <w:color w:val="1C2535"/>
                <w:sz w:val="20"/>
                <w:szCs w:val="20"/>
              </w:rPr>
              <w:t xml:space="preserve">Alta</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Media</w:t>
            </w:r>
          </w:p>
        </w:tc>
        <w:tc>
          <w:tcPr>
            <w:tcW w:type="dxa" w:w="800"/>
            <w:tcBorders>
              <w:top w:val="single" w:color="CCCCCC" w:sz="1"/>
              <w:left w:val="single" w:color="CCCCCC" w:sz="1"/>
              <w:bottom w:val="single" w:color="CCCCCC" w:sz="1"/>
              <w:right w:val="single" w:color="CCCCCC" w:sz="1"/>
            </w:tcBorders>
            <w:shd w:fill="D8F3DC" w:val="clear"/>
            <w:tcMar>
              <w:top w:type="dxa" w:w="70"/>
              <w:left w:type="dxa" w:w="110"/>
              <w:bottom w:type="dxa" w:w="70"/>
              <w:right w:type="dxa" w:w="110"/>
            </w:tcMar>
          </w:tcPr>
          <w:p>
            <w:pPr>
              <w:jc w:val="center"/>
            </w:pPr>
            <w:r>
              <w:rPr>
                <w:rFonts w:ascii="Arial" w:cs="Arial" w:eastAsia="Arial" w:hAnsi="Arial"/>
                <w:color w:val="1C2535"/>
                <w:sz w:val="20"/>
                <w:szCs w:val="20"/>
              </w:rPr>
              <w:t xml:space="preserve">Alta (FENIE/AEDIVE)</w:t>
            </w:r>
          </w:p>
        </w:tc>
        <w:tc>
          <w:tcPr>
            <w:tcW w:type="dxa" w:w="960"/>
            <w:tcBorders>
              <w:top w:val="single" w:color="CCCCCC" w:sz="1"/>
              <w:left w:val="single" w:color="CCCCCC" w:sz="1"/>
              <w:bottom w:val="single" w:color="CCCCCC" w:sz="1"/>
              <w:right w:val="single" w:color="CCCCCC" w:sz="1"/>
            </w:tcBorders>
            <w:shd w:fill="D8F3DC" w:val="clear"/>
            <w:tcMar>
              <w:top w:type="dxa" w:w="70"/>
              <w:left w:type="dxa" w:w="110"/>
              <w:bottom w:type="dxa" w:w="70"/>
              <w:right w:type="dxa" w:w="110"/>
            </w:tcMar>
          </w:tcPr>
          <w:p>
            <w:pPr>
              <w:jc w:val="center"/>
            </w:pPr>
            <w:r>
              <w:rPr>
                <w:rFonts w:ascii="Arial" w:cs="Arial" w:eastAsia="Arial" w:hAnsi="Arial"/>
                <w:color w:val="1C2535"/>
                <w:sz w:val="20"/>
                <w:szCs w:val="20"/>
              </w:rPr>
              <w:t xml:space="preserve">9/10</w:t>
            </w:r>
          </w:p>
        </w:tc>
      </w:tr>
      <w:tr>
        <w:trPr>
          <w:cantSplit/>
        </w:trP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Fotovoltaica Industrial</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€120–€220</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€89–€179/mes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€3.204–€6.444</w:t>
            </w:r>
          </w:p>
        </w:tc>
        <w:tc>
          <w:tcPr>
            <w:tcW w:type="dxa" w:w="1200"/>
            <w:tcBorders>
              <w:top w:val="single" w:color="CCCCCC" w:sz="1"/>
              <w:left w:val="single" w:color="CCCCCC" w:sz="1"/>
              <w:bottom w:val="single" w:color="CCCCCC" w:sz="1"/>
              <w:right w:val="single" w:color="CCCCCC" w:sz="1"/>
            </w:tcBorders>
            <w:shd w:fill="D8F3DC" w:val="clear"/>
            <w:tcMar>
              <w:top w:type="dxa" w:w="70"/>
              <w:left w:type="dxa" w:w="110"/>
              <w:bottom w:type="dxa" w:w="70"/>
              <w:right w:type="dxa" w:w="110"/>
            </w:tcMar>
          </w:tcPr>
          <w:p>
            <w:pPr>
              <w:jc w:val="center"/>
            </w:pPr>
            <w:r>
              <w:rPr>
                <w:rFonts w:ascii="Arial" w:cs="Arial" w:eastAsia="Arial" w:hAnsi="Arial"/>
                <w:color w:val="1C2535"/>
                <w:sz w:val="20"/>
                <w:szCs w:val="20"/>
              </w:rPr>
              <w:t xml:space="preserve">Muy Alta</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Media</w:t>
            </w:r>
          </w:p>
        </w:tc>
        <w:tc>
          <w:tcPr>
            <w:tcW w:type="dxa" w:w="800"/>
            <w:tcBorders>
              <w:top w:val="single" w:color="CCCCCC" w:sz="1"/>
              <w:left w:val="single" w:color="CCCCCC" w:sz="1"/>
              <w:bottom w:val="single" w:color="CCCCCC" w:sz="1"/>
              <w:right w:val="single" w:color="CCCCCC" w:sz="1"/>
            </w:tcBorders>
            <w:shd w:fill="D8F3DC" w:val="clear"/>
            <w:tcMar>
              <w:top w:type="dxa" w:w="70"/>
              <w:left w:type="dxa" w:w="110"/>
              <w:bottom w:type="dxa" w:w="70"/>
              <w:right w:type="dxa" w:w="110"/>
            </w:tcMar>
          </w:tcPr>
          <w:p>
            <w:pPr>
              <w:jc w:val="center"/>
            </w:pPr>
            <w:r>
              <w:rPr>
                <w:rFonts w:ascii="Arial" w:cs="Arial" w:eastAsia="Arial" w:hAnsi="Arial"/>
                <w:color w:val="1C2535"/>
                <w:sz w:val="20"/>
                <w:szCs w:val="20"/>
              </w:rPr>
              <w:t xml:space="preserve">Alta (UNEF)</w:t>
            </w:r>
          </w:p>
        </w:tc>
        <w:tc>
          <w:tcPr>
            <w:tcW w:type="dxa" w:w="96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pPr>
              <w:jc w:val="center"/>
            </w:pPr>
            <w:r>
              <w:rPr>
                <w:rFonts w:ascii="Arial" w:cs="Arial" w:eastAsia="Arial" w:hAnsi="Arial"/>
                <w:color w:val="1C2535"/>
                <w:sz w:val="20"/>
                <w:szCs w:val="20"/>
              </w:rPr>
              <w:t xml:space="preserve">8/10</w:t>
            </w:r>
          </w:p>
        </w:tc>
      </w:tr>
      <w:tr>
        <w:trPr>
          <w:cantSplit/>
        </w:trP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Electricidad (ref.)</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€60–€100</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€49/mes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€1.764</w:t>
            </w:r>
          </w:p>
        </w:tc>
        <w:tc>
          <w:tcPr>
            <w:tcW w:type="dxa" w:w="1200"/>
            <w:tcBorders>
              <w:top w:val="single" w:color="CCCCCC" w:sz="1"/>
              <w:left w:val="single" w:color="CCCCCC" w:sz="1"/>
              <w:bottom w:val="single" w:color="CCCCCC" w:sz="1"/>
              <w:right w:val="single" w:color="CCCCCC" w:sz="1"/>
            </w:tcBorders>
            <w:shd w:fill="E2E8F0" w:val="clear"/>
            <w:tcMar>
              <w:top w:type="dxa" w:w="70"/>
              <w:left w:type="dxa" w:w="110"/>
              <w:bottom w:type="dxa" w:w="70"/>
              <w:right w:type="dxa" w:w="110"/>
            </w:tcMar>
          </w:tcPr>
          <w:p>
            <w:pPr>
              <w:jc w:val="center"/>
            </w:pPr>
            <w:r>
              <w:rPr>
                <w:rFonts w:ascii="Arial" w:cs="Arial" w:eastAsia="Arial" w:hAnsi="Arial"/>
                <w:color w:val="1C2535"/>
                <w:sz w:val="20"/>
                <w:szCs w:val="20"/>
              </w:rPr>
              <w:t xml:space="preserve">Media</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Alta</w:t>
            </w:r>
          </w:p>
        </w:tc>
        <w:tc>
          <w:tcPr>
            <w:tcW w:type="dxa" w:w="800"/>
            <w:tcBorders>
              <w:top w:val="single" w:color="CCCCCC" w:sz="1"/>
              <w:left w:val="single" w:color="CCCCCC" w:sz="1"/>
              <w:bottom w:val="single" w:color="CCCCCC" w:sz="1"/>
              <w:right w:val="single" w:color="CCCCCC" w:sz="1"/>
            </w:tcBorders>
            <w:shd w:fill="E2E8F0" w:val="clear"/>
            <w:tcMar>
              <w:top w:type="dxa" w:w="70"/>
              <w:left w:type="dxa" w:w="110"/>
              <w:bottom w:type="dxa" w:w="70"/>
              <w:right w:type="dxa" w:w="110"/>
            </w:tcMar>
          </w:tcPr>
          <w:p>
            <w:pPr>
              <w:jc w:val="center"/>
            </w:pPr>
            <w:r>
              <w:rPr>
                <w:rFonts w:ascii="Arial" w:cs="Arial" w:eastAsia="Arial" w:hAnsi="Arial"/>
                <w:color w:val="1C2535"/>
                <w:sz w:val="20"/>
                <w:szCs w:val="20"/>
              </w:rPr>
              <w:t xml:space="preserve">Muy Alta</w:t>
            </w:r>
          </w:p>
        </w:tc>
        <w:tc>
          <w:tcPr>
            <w:tcW w:type="dxa" w:w="960"/>
            <w:tcBorders>
              <w:top w:val="single" w:color="CCCCCC" w:sz="1"/>
              <w:left w:val="single" w:color="CCCCCC" w:sz="1"/>
              <w:bottom w:val="single" w:color="CCCCCC" w:sz="1"/>
              <w:right w:val="single" w:color="CCCCCC" w:sz="1"/>
            </w:tcBorders>
            <w:shd w:fill="E2E8F0" w:val="clear"/>
            <w:tcMar>
              <w:top w:type="dxa" w:w="70"/>
              <w:left w:type="dxa" w:w="110"/>
              <w:bottom w:type="dxa" w:w="70"/>
              <w:right w:type="dxa" w:w="110"/>
            </w:tcMar>
          </w:tcPr>
          <w:p>
            <w:pPr>
              <w:jc w:val="center"/>
            </w:pPr>
            <w:r>
              <w:rPr>
                <w:rFonts w:ascii="Arial" w:cs="Arial" w:eastAsia="Arial" w:hAnsi="Arial"/>
                <w:color w:val="1C2535"/>
                <w:sz w:val="20"/>
                <w:szCs w:val="20"/>
              </w:rPr>
              <w:t xml:space="preserve">—</w:t>
            </w:r>
          </w:p>
        </w:tc>
      </w:tr>
      <w:tr>
        <w:trPr>
          <w:cantSplit/>
        </w:trP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Fontanería (ref.)</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€60–€100</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€49/mes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€1.764</w:t>
            </w:r>
          </w:p>
        </w:tc>
        <w:tc>
          <w:tcPr>
            <w:tcW w:type="dxa" w:w="1200"/>
            <w:tcBorders>
              <w:top w:val="single" w:color="CCCCCC" w:sz="1"/>
              <w:left w:val="single" w:color="CCCCCC" w:sz="1"/>
              <w:bottom w:val="single" w:color="CCCCCC" w:sz="1"/>
              <w:right w:val="single" w:color="CCCCCC" w:sz="1"/>
            </w:tcBorders>
            <w:shd w:fill="E2E8F0" w:val="clear"/>
            <w:tcMar>
              <w:top w:type="dxa" w:w="70"/>
              <w:left w:type="dxa" w:w="110"/>
              <w:bottom w:type="dxa" w:w="70"/>
              <w:right w:type="dxa" w:w="110"/>
            </w:tcMar>
          </w:tcPr>
          <w:p>
            <w:pPr>
              <w:jc w:val="center"/>
            </w:pPr>
            <w:r>
              <w:rPr>
                <w:rFonts w:ascii="Arial" w:cs="Arial" w:eastAsia="Arial" w:hAnsi="Arial"/>
                <w:color w:val="1C2535"/>
                <w:sz w:val="20"/>
                <w:szCs w:val="20"/>
              </w:rPr>
              <w:t xml:space="preserve">Media</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Alta</w:t>
            </w:r>
          </w:p>
        </w:tc>
        <w:tc>
          <w:tcPr>
            <w:tcW w:type="dxa" w:w="800"/>
            <w:tcBorders>
              <w:top w:val="single" w:color="CCCCCC" w:sz="1"/>
              <w:left w:val="single" w:color="CCCCCC" w:sz="1"/>
              <w:bottom w:val="single" w:color="CCCCCC" w:sz="1"/>
              <w:right w:val="single" w:color="CCCCCC" w:sz="1"/>
            </w:tcBorders>
            <w:shd w:fill="E2E8F0" w:val="clear"/>
            <w:tcMar>
              <w:top w:type="dxa" w:w="70"/>
              <w:left w:type="dxa" w:w="110"/>
              <w:bottom w:type="dxa" w:w="70"/>
              <w:right w:type="dxa" w:w="110"/>
            </w:tcMar>
          </w:tcPr>
          <w:p>
            <w:pPr>
              <w:jc w:val="center"/>
            </w:pPr>
            <w:r>
              <w:rPr>
                <w:rFonts w:ascii="Arial" w:cs="Arial" w:eastAsia="Arial" w:hAnsi="Arial"/>
                <w:color w:val="1C2535"/>
                <w:sz w:val="20"/>
                <w:szCs w:val="20"/>
              </w:rPr>
              <w:t xml:space="preserve">Alta</w:t>
            </w:r>
          </w:p>
        </w:tc>
        <w:tc>
          <w:tcPr>
            <w:tcW w:type="dxa" w:w="960"/>
            <w:tcBorders>
              <w:top w:val="single" w:color="CCCCCC" w:sz="1"/>
              <w:left w:val="single" w:color="CCCCCC" w:sz="1"/>
              <w:bottom w:val="single" w:color="CCCCCC" w:sz="1"/>
              <w:right w:val="single" w:color="CCCCCC" w:sz="1"/>
            </w:tcBorders>
            <w:shd w:fill="E2E8F0" w:val="clear"/>
            <w:tcMar>
              <w:top w:type="dxa" w:w="70"/>
              <w:left w:type="dxa" w:w="110"/>
              <w:bottom w:type="dxa" w:w="70"/>
              <w:right w:type="dxa" w:w="110"/>
            </w:tcMar>
          </w:tcPr>
          <w:p>
            <w:pPr>
              <w:jc w:val="center"/>
            </w:pPr>
            <w:r>
              <w:rPr>
                <w:rFonts w:ascii="Arial" w:cs="Arial" w:eastAsia="Arial" w:hAnsi="Arial"/>
                <w:color w:val="1C2535"/>
                <w:sz w:val="20"/>
                <w:szCs w:val="20"/>
              </w:rPr>
              <w:t xml:space="preserve">—</w:t>
            </w:r>
          </w:p>
        </w:tc>
      </w:tr>
    </w:tbl>
    <w:p>
      <w:pPr>
        <w:spacing w:after="120" w:before="120"/>
      </w:pPr>
    </w:p>
    <w:p>
      <w:pPr>
        <w:spacing w:after="120" w:before="240"/>
      </w:pPr>
      <w:r>
        <w:rPr>
          <w:rFonts w:ascii="Arial" w:cs="Arial" w:eastAsia="Arial" w:hAnsi="Arial"/>
          <w:b/>
          <w:bCs/>
          <w:color w:val="1C2535"/>
          <w:sz w:val="26"/>
          <w:szCs w:val="26"/>
        </w:rPr>
        <w:t xml:space="preserve">Palancas de adquisición para cada vertical</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cantSplit/>
        </w:trPr>
        <w:tc>
          <w:tcPr>
            <w:tcW w:type="dxa" w:w="32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Palanca</w:t>
            </w:r>
          </w:p>
        </w:tc>
        <w:tc>
          <w:tcPr>
            <w:tcW w:type="dxa" w:w="308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Cargadores VE</w:t>
            </w:r>
          </w:p>
        </w:tc>
        <w:tc>
          <w:tcPr>
            <w:tcW w:type="dxa" w:w="308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Fotovoltaica Industrial</w:t>
            </w:r>
          </w:p>
        </w:tc>
      </w:tr>
      <w:tr>
        <w:trPr>
          <w:cantSplit/>
        </w:trPr>
        <w:tc>
          <w:tcPr>
            <w:tcW w:type="dxa" w:w="3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Acuerdos sectoriales</w:t>
            </w:r>
          </w:p>
        </w:tc>
        <w:tc>
          <w:tcPr>
            <w:tcW w:type="dxa" w:w="308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FENIE, APIEM, AEDIVE → 6 meses gratis</w:t>
            </w:r>
          </w:p>
        </w:tc>
        <w:tc>
          <w:tcPr>
            <w:tcW w:type="dxa" w:w="308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UNEF, ANES → prueba gratuita O&amp;M</w:t>
            </w:r>
          </w:p>
        </w:tc>
      </w:tr>
      <w:tr>
        <w:trPr>
          <w:cantSplit/>
        </w:trPr>
        <w:tc>
          <w:tcPr>
            <w:tcW w:type="dxa" w:w="3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Acuerdos con fabricantes</w:t>
            </w:r>
          </w:p>
        </w:tc>
        <w:tc>
          <w:tcPr>
            <w:tcW w:type="dxa" w:w="308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Wallbox, Circutor → referencia a instaladores certificados</w:t>
            </w:r>
          </w:p>
        </w:tc>
        <w:tc>
          <w:tcPr>
            <w:tcW w:type="dxa" w:w="308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Huawei, Sungrow → canal instaladores especializados</w:t>
            </w:r>
          </w:p>
        </w:tc>
      </w:tr>
      <w:tr>
        <w:trPr>
          <w:cantSplit/>
        </w:trPr>
        <w:tc>
          <w:tcPr>
            <w:tcW w:type="dxa" w:w="3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Acuerdos con distribuidores</w:t>
            </w:r>
          </w:p>
        </w:tc>
        <w:tc>
          <w:tcPr>
            <w:tcW w:type="dxa" w:w="308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Sonepar, Rexel → bundle con compra de material VE</w:t>
            </w:r>
          </w:p>
        </w:tc>
        <w:tc>
          <w:tcPr>
            <w:tcW w:type="dxa" w:w="308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Grupo Noria, ElectroStocks → herramienta de gestión para compradores</w:t>
            </w:r>
          </w:p>
        </w:tc>
      </w:tr>
      <w:tr>
        <w:trPr>
          <w:cantSplit/>
        </w:trPr>
        <w:tc>
          <w:tcPr>
            <w:tcW w:type="dxa" w:w="3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Marketing de contenidos</w:t>
            </w:r>
          </w:p>
        </w:tc>
        <w:tc>
          <w:tcPr>
            <w:tcW w:type="dxa" w:w="308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ITC-BT-52 en lenguaje llano, calculadora MOVES III</w:t>
            </w:r>
          </w:p>
        </w:tc>
        <w:tc>
          <w:tcPr>
            <w:tcW w:type="dxa" w:w="308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Normativa RD 244/2019, calculadora retorno O&amp;M</w:t>
            </w:r>
          </w:p>
        </w:tc>
      </w:tr>
      <w:tr>
        <w:trPr>
          <w:cantSplit/>
        </w:trPr>
        <w:tc>
          <w:tcPr>
            <w:tcW w:type="dxa" w:w="3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Driver regulatorio</w:t>
            </w:r>
          </w:p>
        </w:tc>
        <w:tc>
          <w:tcPr>
            <w:tcW w:type="dxa" w:w="308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VeriFactu 2027 + AFIR 2025 como urgencia</w:t>
            </w:r>
          </w:p>
        </w:tc>
        <w:tc>
          <w:tcPr>
            <w:tcW w:type="dxa" w:w="308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VeriFactu 2027 + RD 244/2019 tramitación compleja</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none" w:color="FFFFFF" w:sz="0"/>
              <w:bottom w:val="none" w:color="FFFFFF" w:sz="0"/>
              <w:right w:val="none" w:color="FFFFFF" w:sz="0"/>
            </w:tcBorders>
            <w:shd w:fill="1C2535" w:val="clear"/>
            <w:tcMar>
              <w:top w:type="dxa" w:w="160"/>
              <w:left w:type="dxa" w:w="240"/>
              <w:bottom w:type="dxa" w:w="160"/>
              <w:right w:type="dxa" w:w="240"/>
            </w:tcMar>
          </w:tcPr>
          <w:p>
            <w:r>
              <w:rPr>
                <w:rFonts w:ascii="Arial" w:cs="Arial" w:eastAsia="Arial" w:hAnsi="Arial"/>
                <w:b/>
                <w:bCs/>
                <w:color w:val="FFFFFF"/>
                <w:sz w:val="30"/>
                <w:szCs w:val="30"/>
              </w:rPr>
              <w:t xml:space="preserve">12. Roadmap de Implementación</w:t>
            </w:r>
          </w:p>
          <w:p>
            <w:r>
              <w:rPr>
                <w:rFonts w:ascii="Arial" w:cs="Arial" w:eastAsia="Arial" w:hAnsi="Arial"/>
                <w:color w:val="D5E8F0"/>
                <w:sz w:val="20"/>
                <w:szCs w:val="20"/>
              </w:rPr>
              <w:t xml:space="preserve">5 fases por vertical</w:t>
            </w:r>
          </w:p>
        </w:tc>
      </w:tr>
    </w:tbl>
    <w:p>
      <w:pPr>
        <w:spacing w:after="160" w:before="160"/>
      </w:pPr>
    </w:p>
    <w:p>
      <w:pPr>
        <w:spacing w:after="120" w:before="240"/>
      </w:pPr>
      <w:r>
        <w:rPr>
          <w:rFonts w:ascii="Arial" w:cs="Arial" w:eastAsia="Arial" w:hAnsi="Arial"/>
          <w:b/>
          <w:bCs/>
          <w:color w:val="1C2535"/>
          <w:sz w:val="26"/>
          <w:szCs w:val="26"/>
        </w:rPr>
        <w:t xml:space="preserve">12.1 Cargadores VE — Roadmap</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000"/>
        <w:gridCol w:w="2160"/>
        <w:gridCol w:w="1500"/>
      </w:tblGrid>
      <w:tr>
        <w:trPr>
          <w:cantSplit/>
        </w:trPr>
        <w:tc>
          <w:tcPr>
            <w:tcW w:type="dxa" w:w="9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Fase</w:t>
            </w:r>
          </w:p>
        </w:tc>
        <w:tc>
          <w:tcPr>
            <w:tcW w:type="dxa" w:w="18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Nombre</w:t>
            </w:r>
          </w:p>
        </w:tc>
        <w:tc>
          <w:tcPr>
            <w:tcW w:type="dxa" w:w="30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Contenido</w:t>
            </w:r>
          </w:p>
        </w:tc>
        <w:tc>
          <w:tcPr>
            <w:tcW w:type="dxa" w:w="216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Entregable</w:t>
            </w:r>
          </w:p>
        </w:tc>
        <w:tc>
          <w:tcPr>
            <w:tcW w:type="dxa" w:w="15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Timeline</w:t>
            </w:r>
          </w:p>
        </w:tc>
      </w:tr>
      <w:tr>
        <w:trPr>
          <w:cantSplit/>
        </w:trPr>
        <w:tc>
          <w:tcPr>
            <w:tcW w:type="dxa" w:w="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F1</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MVP VE</w:t>
            </w:r>
          </w:p>
        </w:tc>
        <w:tc>
          <w:tcPr>
            <w:tcW w:type="dxa" w:w="3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Activar 'Electricidad VE' como sub-oficio en TrabFlow. Adaptar formularios ITC-BT-52. Primeras 10 actuaciones Base Maestra VE</w:t>
            </w:r>
          </w:p>
        </w:tc>
        <w:tc>
          <w:tcPr>
            <w:tcW w:type="dxa" w:w="2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Presupuesto VE básico desde voz</w:t>
            </w:r>
          </w:p>
        </w:tc>
        <w:tc>
          <w:tcPr>
            <w:tcW w:type="dxa" w:w="15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Q3 2026 (8 sem.)</w:t>
            </w:r>
          </w:p>
        </w:tc>
      </w:tr>
      <w:tr>
        <w:trPr>
          <w:cantSplit/>
        </w:trPr>
        <w:tc>
          <w:tcPr>
            <w:tcW w:type="dxa" w:w="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F2</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Base Maestra VE</w:t>
            </w:r>
          </w:p>
        </w:tc>
        <w:tc>
          <w:tcPr>
            <w:tcW w:type="dxa" w:w="3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Implementar las 50 actuaciones VE en Base Maestra. Materiales, reglas de cálculo, palabras clave</w:t>
            </w:r>
          </w:p>
        </w:tc>
        <w:tc>
          <w:tcPr>
            <w:tcW w:type="dxa" w:w="2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50 actuaciones productivas, presupuestos precisos</w:t>
            </w:r>
          </w:p>
        </w:tc>
        <w:tc>
          <w:tcPr>
            <w:tcW w:type="dxa" w:w="15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Q4 2026 (6 sem.)</w:t>
            </w:r>
          </w:p>
        </w:tc>
      </w:tr>
      <w:tr>
        <w:trPr>
          <w:cantSplit/>
        </w:trPr>
        <w:tc>
          <w:tcPr>
            <w:tcW w:type="dxa" w:w="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F3</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Contratos O&amp;M VE</w:t>
            </w:r>
          </w:p>
        </w:tc>
        <w:tc>
          <w:tcPr>
            <w:tcW w:type="dxa" w:w="3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Módulo de contratos de mantenimiento VE con SLA, niveles de servicio, facturación recurrente, preventivos programados</w:t>
            </w:r>
          </w:p>
        </w:tc>
        <w:tc>
          <w:tcPr>
            <w:tcW w:type="dxa" w:w="2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Contrato O&amp;M completo con avisos automáticos</w:t>
            </w:r>
          </w:p>
        </w:tc>
        <w:tc>
          <w:tcPr>
            <w:tcW w:type="dxa" w:w="15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Q4 2026 (4 sem.)</w:t>
            </w:r>
          </w:p>
        </w:tc>
      </w:tr>
      <w:tr>
        <w:trPr>
          <w:cantSplit/>
        </w:trPr>
        <w:tc>
          <w:tcPr>
            <w:tcW w:type="dxa" w:w="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F4</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Normativa RAG VE</w:t>
            </w:r>
          </w:p>
        </w:tc>
        <w:tc>
          <w:tcPr>
            <w:tcW w:type="dxa" w:w="3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Indexar ITC-BT-52, REBT, MOVES III, AFIR, Ley Propiedad Horizontal en asistente RAG. Preguntas frecuentes instalador VE</w:t>
            </w:r>
          </w:p>
        </w:tc>
        <w:tc>
          <w:tcPr>
            <w:tcW w:type="dxa" w:w="2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Asistente que responde dudas ITC-BT-52 desde la obra</w:t>
            </w:r>
          </w:p>
        </w:tc>
        <w:tc>
          <w:tcPr>
            <w:tcW w:type="dxa" w:w="15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Q1 2027 (4 sem.)</w:t>
            </w:r>
          </w:p>
        </w:tc>
      </w:tr>
      <w:tr>
        <w:trPr>
          <w:cantSplit/>
        </w:trPr>
        <w:tc>
          <w:tcPr>
            <w:tcW w:type="dxa" w:w="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F5</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Catálogo e Integraciones</w:t>
            </w:r>
          </w:p>
        </w:tc>
        <w:tc>
          <w:tcPr>
            <w:tcW w:type="dxa" w:w="3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Integrar catálogo Wallbox, ABB, Circutor. Acuerdos con distribuidores. Partner program AEDIVE</w:t>
            </w:r>
          </w:p>
        </w:tc>
        <w:tc>
          <w:tcPr>
            <w:tcW w:type="dxa" w:w="2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Canal de adquisición VE activo</w:t>
            </w:r>
          </w:p>
        </w:tc>
        <w:tc>
          <w:tcPr>
            <w:tcW w:type="dxa" w:w="15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Q1-Q2 2027</w:t>
            </w:r>
          </w:p>
        </w:tc>
      </w:tr>
    </w:tbl>
    <w:p>
      <w:pPr>
        <w:spacing w:after="120" w:before="120"/>
      </w:pPr>
    </w:p>
    <w:p>
      <w:pPr>
        <w:spacing w:after="120" w:before="240"/>
      </w:pPr>
      <w:r>
        <w:rPr>
          <w:rFonts w:ascii="Arial" w:cs="Arial" w:eastAsia="Arial" w:hAnsi="Arial"/>
          <w:b/>
          <w:bCs/>
          <w:color w:val="1C2535"/>
          <w:sz w:val="26"/>
          <w:szCs w:val="26"/>
        </w:rPr>
        <w:t xml:space="preserve">12.2 Fotovoltaica Industrial — Roadmap</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000"/>
        <w:gridCol w:w="2160"/>
        <w:gridCol w:w="1500"/>
      </w:tblGrid>
      <w:tr>
        <w:trPr>
          <w:cantSplit/>
        </w:trPr>
        <w:tc>
          <w:tcPr>
            <w:tcW w:type="dxa" w:w="9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Fase</w:t>
            </w:r>
          </w:p>
        </w:tc>
        <w:tc>
          <w:tcPr>
            <w:tcW w:type="dxa" w:w="18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Nombre</w:t>
            </w:r>
          </w:p>
        </w:tc>
        <w:tc>
          <w:tcPr>
            <w:tcW w:type="dxa" w:w="30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Contenido</w:t>
            </w:r>
          </w:p>
        </w:tc>
        <w:tc>
          <w:tcPr>
            <w:tcW w:type="dxa" w:w="216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Entregable</w:t>
            </w:r>
          </w:p>
        </w:tc>
        <w:tc>
          <w:tcPr>
            <w:tcW w:type="dxa" w:w="15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Timeline</w:t>
            </w:r>
          </w:p>
        </w:tc>
      </w:tr>
      <w:tr>
        <w:trPr>
          <w:cantSplit/>
        </w:trPr>
        <w:tc>
          <w:tcPr>
            <w:tcW w:type="dxa" w:w="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F1</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MVP FV Industrial</w:t>
            </w:r>
          </w:p>
        </w:tc>
        <w:tc>
          <w:tcPr>
            <w:tcW w:type="dxa" w:w="3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Activar 'Fotovoltaica Industrial' como sub-oficio. Primeras 20 actuaciones (instalación, mantenimiento básico, incidencias)</w:t>
            </w:r>
          </w:p>
        </w:tc>
        <w:tc>
          <w:tcPr>
            <w:tcW w:type="dxa" w:w="2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Presupuesto FV básico y parte de trabajo</w:t>
            </w:r>
          </w:p>
        </w:tc>
        <w:tc>
          <w:tcPr>
            <w:tcW w:type="dxa" w:w="15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Q1 2027 (10 sem.)</w:t>
            </w:r>
          </w:p>
        </w:tc>
      </w:tr>
      <w:tr>
        <w:trPr>
          <w:cantSplit/>
        </w:trPr>
        <w:tc>
          <w:tcPr>
            <w:tcW w:type="dxa" w:w="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F2</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Base Maestra FV</w:t>
            </w:r>
          </w:p>
        </w:tc>
        <w:tc>
          <w:tcPr>
            <w:tcW w:type="dxa" w:w="3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100 actuaciones FV completas. Termografía, monitorización, limpiezas, legalizaciones, incidencias por tipo de inversor</w:t>
            </w:r>
          </w:p>
        </w:tc>
        <w:tc>
          <w:tcPr>
            <w:tcW w:type="dxa" w:w="2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100 actuaciones productivas en Base Maestra</w:t>
            </w:r>
          </w:p>
        </w:tc>
        <w:tc>
          <w:tcPr>
            <w:tcW w:type="dxa" w:w="15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Q2 2027 (8 sem.)</w:t>
            </w:r>
          </w:p>
        </w:tc>
      </w:tr>
      <w:tr>
        <w:trPr>
          <w:cantSplit/>
        </w:trPr>
        <w:tc>
          <w:tcPr>
            <w:tcW w:type="dxa" w:w="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F3</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Contratos O&amp;M FV</w:t>
            </w:r>
          </w:p>
        </w:tc>
        <w:tc>
          <w:tcPr>
            <w:tcW w:type="dxa" w:w="3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Contratos de mantenimiento FV con múltiples niveles (Vigilancia/Preventivo/O&amp;M/Full Service), SLA, informes automáticos, facturación recurrente</w:t>
            </w:r>
          </w:p>
        </w:tc>
        <w:tc>
          <w:tcPr>
            <w:tcW w:type="dxa" w:w="2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Contratos O&amp;M profesionales con dashboard cliente</w:t>
            </w:r>
          </w:p>
        </w:tc>
        <w:tc>
          <w:tcPr>
            <w:tcW w:type="dxa" w:w="15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Q2 2027 (5 sem.)</w:t>
            </w:r>
          </w:p>
        </w:tc>
      </w:tr>
      <w:tr>
        <w:trPr>
          <w:cantSplit/>
        </w:trPr>
        <w:tc>
          <w:tcPr>
            <w:tcW w:type="dxa" w:w="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F4</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Normativa RAG FV</w:t>
            </w:r>
          </w:p>
        </w:tc>
        <w:tc>
          <w:tcPr>
            <w:tcW w:type="dxa" w:w="3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Indexar RD 244/2019, RD 1183/2020, IEC 62446, IEC 61724, guías IDAE. Asistente que responde dudas de tramitación autoconsumo</w:t>
            </w:r>
          </w:p>
        </w:tc>
        <w:tc>
          <w:tcPr>
            <w:tcW w:type="dxa" w:w="2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Asistente RAG FV completo con normativa indexada</w:t>
            </w:r>
          </w:p>
        </w:tc>
        <w:tc>
          <w:tcPr>
            <w:tcW w:type="dxa" w:w="15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Q3 2027 (4 sem.)</w:t>
            </w:r>
          </w:p>
        </w:tc>
      </w:tr>
      <w:tr>
        <w:trPr>
          <w:cantSplit/>
        </w:trPr>
        <w:tc>
          <w:tcPr>
            <w:tcW w:type="dxa" w:w="9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F5</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Catálogo e Integraciones</w:t>
            </w:r>
          </w:p>
        </w:tc>
        <w:tc>
          <w:tcPr>
            <w:tcW w:type="dxa" w:w="3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APIs inversores (Huawei, Sungrow, SolarEdge). Catálogo materiales FV. Acuerdos UNEF, distribuidores especializados</w:t>
            </w:r>
          </w:p>
        </w:tc>
        <w:tc>
          <w:tcPr>
            <w:tcW w:type="dxa" w:w="2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Canal FV activo, integración monitorización básica</w:t>
            </w:r>
          </w:p>
        </w:tc>
        <w:tc>
          <w:tcPr>
            <w:tcW w:type="dxa" w:w="15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Q3-Q4 2027</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none" w:color="FFFFFF" w:sz="0"/>
              <w:bottom w:val="none" w:color="FFFFFF" w:sz="0"/>
              <w:right w:val="none" w:color="FFFFFF" w:sz="0"/>
            </w:tcBorders>
            <w:shd w:fill="1C2535" w:val="clear"/>
            <w:tcMar>
              <w:top w:type="dxa" w:w="160"/>
              <w:left w:type="dxa" w:w="240"/>
              <w:bottom w:type="dxa" w:w="160"/>
              <w:right w:type="dxa" w:w="240"/>
            </w:tcMar>
          </w:tcPr>
          <w:p>
            <w:r>
              <w:rPr>
                <w:rFonts w:ascii="Arial" w:cs="Arial" w:eastAsia="Arial" w:hAnsi="Arial"/>
                <w:b/>
                <w:bCs/>
                <w:color w:val="FFFFFF"/>
                <w:sz w:val="30"/>
                <w:szCs w:val="30"/>
              </w:rPr>
              <w:t xml:space="preserve">13. Comparativa Estratégica</w:t>
            </w:r>
          </w:p>
          <w:p>
            <w:r>
              <w:rPr>
                <w:rFonts w:ascii="Arial" w:cs="Arial" w:eastAsia="Arial" w:hAnsi="Arial"/>
                <w:color w:val="D5E8F0"/>
                <w:sz w:val="20"/>
                <w:szCs w:val="20"/>
              </w:rPr>
              <w:t xml:space="preserve">5 verticales · 7 variables</w:t>
            </w:r>
          </w:p>
        </w:tc>
      </w:tr>
    </w:tbl>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200"/>
        <w:gridCol w:w="1200"/>
        <w:gridCol w:w="1200"/>
        <w:gridCol w:w="1200"/>
        <w:gridCol w:w="960"/>
      </w:tblGrid>
      <w:tr>
        <w:trPr>
          <w:cantSplit/>
        </w:trPr>
        <w:tc>
          <w:tcPr>
            <w:tcW w:type="dxa" w:w="18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Vertical</w:t>
            </w:r>
          </w:p>
        </w:tc>
        <w:tc>
          <w:tcPr>
            <w:tcW w:type="dxa" w:w="12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Mercado ESP</w:t>
            </w:r>
          </w:p>
        </w:tc>
        <w:tc>
          <w:tcPr>
            <w:tcW w:type="dxa" w:w="12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Ticket medio</w:t>
            </w:r>
          </w:p>
        </w:tc>
        <w:tc>
          <w:tcPr>
            <w:tcW w:type="dxa" w:w="12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Recurrencia</w:t>
            </w:r>
          </w:p>
        </w:tc>
        <w:tc>
          <w:tcPr>
            <w:tcW w:type="dxa" w:w="12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Complejidad BM</w:t>
            </w:r>
          </w:p>
        </w:tc>
        <w:tc>
          <w:tcPr>
            <w:tcW w:type="dxa" w:w="12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Pot. SaaS</w:t>
            </w:r>
          </w:p>
        </w:tc>
        <w:tc>
          <w:tcPr>
            <w:tcW w:type="dxa" w:w="12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Canal asoc.</w:t>
            </w:r>
          </w:p>
        </w:tc>
        <w:tc>
          <w:tcPr>
            <w:tcW w:type="dxa" w:w="96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Total</w:t>
            </w:r>
          </w:p>
        </w:tc>
      </w:tr>
      <w:tr>
        <w:trPr>
          <w:cantSplit/>
        </w:trPr>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Electricidad</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w:t>
            </w:r>
          </w:p>
        </w:tc>
        <w:tc>
          <w:tcPr>
            <w:tcW w:type="dxa" w:w="960"/>
            <w:tcBorders>
              <w:top w:val="single" w:color="CCCCCC" w:sz="1"/>
              <w:left w:val="single" w:color="CCCCCC" w:sz="1"/>
              <w:bottom w:val="single" w:color="CCCCCC" w:sz="1"/>
              <w:right w:val="single" w:color="CCCCCC" w:sz="1"/>
            </w:tcBorders>
            <w:shd w:fill="E2E8F0" w:val="clear"/>
            <w:tcMar>
              <w:top w:type="dxa" w:w="70"/>
              <w:left w:type="dxa" w:w="110"/>
              <w:bottom w:type="dxa" w:w="70"/>
              <w:right w:type="dxa" w:w="110"/>
            </w:tcMar>
          </w:tcPr>
          <w:p>
            <w:pPr>
              <w:jc w:val="center"/>
            </w:pPr>
            <w:r>
              <w:rPr>
                <w:rFonts w:ascii="Arial" w:cs="Arial" w:eastAsia="Arial" w:hAnsi="Arial"/>
                <w:color w:val="1C2535"/>
                <w:sz w:val="20"/>
                <w:szCs w:val="20"/>
              </w:rPr>
              <w:t xml:space="preserve">23/30</w:t>
            </w:r>
          </w:p>
        </w:tc>
      </w:tr>
      <w:tr>
        <w:trPr>
          <w:cantSplit/>
        </w:trPr>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Fontanería</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w:t>
            </w:r>
          </w:p>
        </w:tc>
        <w:tc>
          <w:tcPr>
            <w:tcW w:type="dxa" w:w="960"/>
            <w:tcBorders>
              <w:top w:val="single" w:color="CCCCCC" w:sz="1"/>
              <w:left w:val="single" w:color="CCCCCC" w:sz="1"/>
              <w:bottom w:val="single" w:color="CCCCCC" w:sz="1"/>
              <w:right w:val="single" w:color="CCCCCC" w:sz="1"/>
            </w:tcBorders>
            <w:shd w:fill="E2E8F0" w:val="clear"/>
            <w:tcMar>
              <w:top w:type="dxa" w:w="70"/>
              <w:left w:type="dxa" w:w="110"/>
              <w:bottom w:type="dxa" w:w="70"/>
              <w:right w:type="dxa" w:w="110"/>
            </w:tcMar>
          </w:tcPr>
          <w:p>
            <w:pPr>
              <w:jc w:val="center"/>
            </w:pPr>
            <w:r>
              <w:rPr>
                <w:rFonts w:ascii="Arial" w:cs="Arial" w:eastAsia="Arial" w:hAnsi="Arial"/>
                <w:color w:val="1C2535"/>
                <w:sz w:val="20"/>
                <w:szCs w:val="20"/>
              </w:rPr>
              <w:t xml:space="preserve">21/30</w:t>
            </w:r>
          </w:p>
        </w:tc>
      </w:tr>
      <w:tr>
        <w:trPr>
          <w:cantSplit/>
        </w:trPr>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Climatización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w:t>
            </w:r>
          </w:p>
        </w:tc>
        <w:tc>
          <w:tcPr>
            <w:tcW w:type="dxa" w:w="960"/>
            <w:tcBorders>
              <w:top w:val="single" w:color="CCCCCC" w:sz="1"/>
              <w:left w:val="single" w:color="CCCCCC" w:sz="1"/>
              <w:bottom w:val="single" w:color="CCCCCC" w:sz="1"/>
              <w:right w:val="single" w:color="CCCCCC" w:sz="1"/>
            </w:tcBorders>
            <w:shd w:fill="E2E8F0" w:val="clear"/>
            <w:tcMar>
              <w:top w:type="dxa" w:w="70"/>
              <w:left w:type="dxa" w:w="110"/>
              <w:bottom w:type="dxa" w:w="70"/>
              <w:right w:type="dxa" w:w="110"/>
            </w:tcMar>
          </w:tcPr>
          <w:p>
            <w:pPr>
              <w:jc w:val="center"/>
            </w:pPr>
            <w:r>
              <w:rPr>
                <w:rFonts w:ascii="Arial" w:cs="Arial" w:eastAsia="Arial" w:hAnsi="Arial"/>
                <w:color w:val="1C2535"/>
                <w:sz w:val="20"/>
                <w:szCs w:val="20"/>
              </w:rPr>
              <w:t xml:space="preserve">23/30</w:t>
            </w:r>
          </w:p>
        </w:tc>
      </w:tr>
      <w:tr>
        <w:trPr>
          <w:cantSplit/>
        </w:trPr>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Cargadores VE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w:t>
            </w:r>
          </w:p>
        </w:tc>
        <w:tc>
          <w:tcPr>
            <w:tcW w:type="dxa" w:w="1200"/>
            <w:tcBorders>
              <w:top w:val="single" w:color="CCCCCC" w:sz="1"/>
              <w:left w:val="single" w:color="CCCCCC" w:sz="1"/>
              <w:bottom w:val="single" w:color="CCCCCC" w:sz="1"/>
              <w:right w:val="single" w:color="CCCCCC" w:sz="1"/>
            </w:tcBorders>
            <w:shd w:fill="D8F3DC" w:val="clear"/>
            <w:tcMar>
              <w:top w:type="dxa" w:w="70"/>
              <w:left w:type="dxa" w:w="110"/>
              <w:bottom w:type="dxa" w:w="70"/>
              <w:right w:type="dxa" w:w="110"/>
            </w:tcMar>
          </w:tcPr>
          <w:p>
            <w:pPr>
              <w:jc w:val="center"/>
            </w:pPr>
            <w:r>
              <w:rPr>
                <w:rFonts w:ascii="Arial" w:cs="Arial" w:eastAsia="Arial" w:hAnsi="Arial"/>
                <w:color w:val="1C2535"/>
                <w:sz w:val="20"/>
                <w:szCs w:val="20"/>
              </w:rPr>
              <w:t xml:space="preserve">★★★★</w:t>
            </w:r>
          </w:p>
        </w:tc>
        <w:tc>
          <w:tcPr>
            <w:tcW w:type="dxa" w:w="1200"/>
            <w:tcBorders>
              <w:top w:val="single" w:color="CCCCCC" w:sz="1"/>
              <w:left w:val="single" w:color="CCCCCC" w:sz="1"/>
              <w:bottom w:val="single" w:color="CCCCCC" w:sz="1"/>
              <w:right w:val="single" w:color="CCCCCC" w:sz="1"/>
            </w:tcBorders>
            <w:shd w:fill="D8F3DC" w:val="clear"/>
            <w:tcMar>
              <w:top w:type="dxa" w:w="70"/>
              <w:left w:type="dxa" w:w="110"/>
              <w:bottom w:type="dxa" w:w="70"/>
              <w:right w:type="dxa" w:w="110"/>
            </w:tcMar>
          </w:tcPr>
          <w:p>
            <w:pPr>
              <w:jc w:val="center"/>
            </w:pPr>
            <w:r>
              <w:rPr>
                <w:rFonts w:ascii="Arial" w:cs="Arial" w:eastAsia="Arial" w:hAnsi="Arial"/>
                <w:color w:val="1C2535"/>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w:t>
            </w:r>
          </w:p>
        </w:tc>
        <w:tc>
          <w:tcPr>
            <w:tcW w:type="dxa" w:w="1200"/>
            <w:tcBorders>
              <w:top w:val="single" w:color="CCCCCC" w:sz="1"/>
              <w:left w:val="single" w:color="CCCCCC" w:sz="1"/>
              <w:bottom w:val="single" w:color="CCCCCC" w:sz="1"/>
              <w:right w:val="single" w:color="CCCCCC" w:sz="1"/>
            </w:tcBorders>
            <w:shd w:fill="D8F3DC" w:val="clear"/>
            <w:tcMar>
              <w:top w:type="dxa" w:w="70"/>
              <w:left w:type="dxa" w:w="110"/>
              <w:bottom w:type="dxa" w:w="70"/>
              <w:right w:type="dxa" w:w="110"/>
            </w:tcMar>
          </w:tcPr>
          <w:p>
            <w:pPr>
              <w:jc w:val="center"/>
            </w:pPr>
            <w:r>
              <w:rPr>
                <w:rFonts w:ascii="Arial" w:cs="Arial" w:eastAsia="Arial" w:hAnsi="Arial"/>
                <w:color w:val="1C2535"/>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w:t>
            </w:r>
          </w:p>
        </w:tc>
        <w:tc>
          <w:tcPr>
            <w:tcW w:type="dxa" w:w="960"/>
            <w:tcBorders>
              <w:top w:val="single" w:color="CCCCCC" w:sz="1"/>
              <w:left w:val="single" w:color="CCCCCC" w:sz="1"/>
              <w:bottom w:val="single" w:color="CCCCCC" w:sz="1"/>
              <w:right w:val="single" w:color="CCCCCC" w:sz="1"/>
            </w:tcBorders>
            <w:shd w:fill="D8F3DC" w:val="clear"/>
            <w:tcMar>
              <w:top w:type="dxa" w:w="70"/>
              <w:left w:type="dxa" w:w="110"/>
              <w:bottom w:type="dxa" w:w="70"/>
              <w:right w:type="dxa" w:w="110"/>
            </w:tcMar>
          </w:tcPr>
          <w:p>
            <w:pPr>
              <w:jc w:val="center"/>
            </w:pPr>
            <w:r>
              <w:rPr>
                <w:rFonts w:ascii="Arial" w:cs="Arial" w:eastAsia="Arial" w:hAnsi="Arial"/>
                <w:color w:val="1C2535"/>
                <w:sz w:val="20"/>
                <w:szCs w:val="20"/>
              </w:rPr>
              <w:t xml:space="preserve">23/30</w:t>
            </w:r>
          </w:p>
        </w:tc>
      </w:tr>
      <w:tr>
        <w:trPr>
          <w:cantSplit/>
        </w:trPr>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Fotovoltaica Industrial</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w:t>
            </w:r>
          </w:p>
        </w:tc>
        <w:tc>
          <w:tcPr>
            <w:tcW w:type="dxa" w:w="1200"/>
            <w:tcBorders>
              <w:top w:val="single" w:color="CCCCCC" w:sz="1"/>
              <w:left w:val="single" w:color="CCCCCC" w:sz="1"/>
              <w:bottom w:val="single" w:color="CCCCCC" w:sz="1"/>
              <w:right w:val="single" w:color="CCCCCC" w:sz="1"/>
            </w:tcBorders>
            <w:shd w:fill="D8F3DC" w:val="clear"/>
            <w:tcMar>
              <w:top w:type="dxa" w:w="70"/>
              <w:left w:type="dxa" w:w="110"/>
              <w:bottom w:type="dxa" w:w="70"/>
              <w:right w:type="dxa" w:w="110"/>
            </w:tcMar>
          </w:tcPr>
          <w:p>
            <w:pPr>
              <w:jc w:val="center"/>
            </w:pPr>
            <w:r>
              <w:rPr>
                <w:rFonts w:ascii="Arial" w:cs="Arial" w:eastAsia="Arial" w:hAnsi="Arial"/>
                <w:color w:val="1C2535"/>
                <w:sz w:val="20"/>
                <w:szCs w:val="20"/>
              </w:rPr>
              <w:t xml:space="preserve">★★★★★</w:t>
            </w:r>
          </w:p>
        </w:tc>
        <w:tc>
          <w:tcPr>
            <w:tcW w:type="dxa" w:w="1200"/>
            <w:tcBorders>
              <w:top w:val="single" w:color="CCCCCC" w:sz="1"/>
              <w:left w:val="single" w:color="CCCCCC" w:sz="1"/>
              <w:bottom w:val="single" w:color="CCCCCC" w:sz="1"/>
              <w:right w:val="single" w:color="CCCCCC" w:sz="1"/>
            </w:tcBorders>
            <w:shd w:fill="D8F3DC" w:val="clear"/>
            <w:tcMar>
              <w:top w:type="dxa" w:w="70"/>
              <w:left w:type="dxa" w:w="110"/>
              <w:bottom w:type="dxa" w:w="70"/>
              <w:right w:type="dxa" w:w="110"/>
            </w:tcMar>
          </w:tcPr>
          <w:p>
            <w:pPr>
              <w:jc w:val="center"/>
            </w:pPr>
            <w:r>
              <w:rPr>
                <w:rFonts w:ascii="Arial" w:cs="Arial" w:eastAsia="Arial" w:hAnsi="Arial"/>
                <w:color w:val="1C2535"/>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w:t>
            </w:r>
          </w:p>
        </w:tc>
        <w:tc>
          <w:tcPr>
            <w:tcW w:type="dxa" w:w="1200"/>
            <w:tcBorders>
              <w:top w:val="single" w:color="CCCCCC" w:sz="1"/>
              <w:left w:val="single" w:color="CCCCCC" w:sz="1"/>
              <w:bottom w:val="single" w:color="CCCCCC" w:sz="1"/>
              <w:right w:val="single" w:color="CCCCCC" w:sz="1"/>
            </w:tcBorders>
            <w:shd w:fill="D8F3DC" w:val="clear"/>
            <w:tcMar>
              <w:top w:type="dxa" w:w="70"/>
              <w:left w:type="dxa" w:w="110"/>
              <w:bottom w:type="dxa" w:w="70"/>
              <w:right w:type="dxa" w:w="110"/>
            </w:tcMar>
          </w:tcPr>
          <w:p>
            <w:pPr>
              <w:jc w:val="center"/>
            </w:pPr>
            <w:r>
              <w:rPr>
                <w:rFonts w:ascii="Arial" w:cs="Arial" w:eastAsia="Arial" w:hAnsi="Arial"/>
                <w:color w:val="1C2535"/>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color w:val="1C2535"/>
                <w:sz w:val="20"/>
                <w:szCs w:val="20"/>
              </w:rPr>
              <w:t xml:space="preserve">★★★★</w:t>
            </w:r>
          </w:p>
        </w:tc>
        <w:tc>
          <w:tcPr>
            <w:tcW w:type="dxa" w:w="960"/>
            <w:tcBorders>
              <w:top w:val="single" w:color="CCCCCC" w:sz="1"/>
              <w:left w:val="single" w:color="CCCCCC" w:sz="1"/>
              <w:bottom w:val="single" w:color="CCCCCC" w:sz="1"/>
              <w:right w:val="single" w:color="CCCCCC" w:sz="1"/>
            </w:tcBorders>
            <w:shd w:fill="D8F3DC" w:val="clear"/>
            <w:tcMar>
              <w:top w:type="dxa" w:w="70"/>
              <w:left w:type="dxa" w:w="110"/>
              <w:bottom w:type="dxa" w:w="70"/>
              <w:right w:type="dxa" w:w="110"/>
            </w:tcMar>
          </w:tcPr>
          <w:p>
            <w:pPr>
              <w:jc w:val="center"/>
            </w:pPr>
            <w:r>
              <w:rPr>
                <w:rFonts w:ascii="Arial" w:cs="Arial" w:eastAsia="Arial" w:hAnsi="Arial"/>
                <w:color w:val="1C2535"/>
                <w:sz w:val="20"/>
                <w:szCs w:val="20"/>
              </w:rPr>
              <w:t xml:space="preserve">27/30</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A5A96" w:sz="4"/>
              <w:left w:val="single" w:color="1A5A96" w:sz="4"/>
              <w:bottom w:val="none" w:color="FFFFFF" w:sz="0"/>
              <w:right w:val="none" w:color="FFFFFF" w:sz="0"/>
            </w:tcBorders>
            <w:shd w:fill="D5E8F0" w:val="clear"/>
            <w:tcMar>
              <w:top w:type="dxa" w:w="140"/>
              <w:left w:type="dxa" w:w="200"/>
              <w:bottom w:type="dxa" w:w="140"/>
              <w:right w:type="dxa" w:w="200"/>
            </w:tcMar>
          </w:tcPr>
          <w:p>
            <w:r>
              <w:rPr>
                <w:rFonts w:ascii="Arial" w:cs="Arial" w:eastAsia="Arial" w:hAnsi="Arial"/>
                <w:color w:val="1C2535"/>
                <w:sz w:val="21"/>
                <w:szCs w:val="21"/>
              </w:rPr>
              <w:t xml:space="preserve">La fotovoltaica industrial obtiene la puntuación total más alta (27/30) por su excepcional potencial de ticket y recurrencia vía contratos O&amp;M. Los cargadores VE empatan con electricidad y climatización (23/30) pero con mayor velocidad de crecimiento y menor madurez de la competencia en herramientas digitales.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none" w:color="FFFFFF" w:sz="0"/>
              <w:bottom w:val="none" w:color="FFFFFF" w:sz="0"/>
              <w:right w:val="none" w:color="FFFFFF" w:sz="0"/>
            </w:tcBorders>
            <w:shd w:fill="1C2535" w:val="clear"/>
            <w:tcMar>
              <w:top w:type="dxa" w:w="160"/>
              <w:left w:type="dxa" w:w="240"/>
              <w:bottom w:type="dxa" w:w="160"/>
              <w:right w:type="dxa" w:w="240"/>
            </w:tcMar>
          </w:tcPr>
          <w:p>
            <w:r>
              <w:rPr>
                <w:rFonts w:ascii="Arial" w:cs="Arial" w:eastAsia="Arial" w:hAnsi="Arial"/>
                <w:b/>
                <w:bCs/>
                <w:color w:val="FFFFFF"/>
                <w:sz w:val="30"/>
                <w:szCs w:val="30"/>
              </w:rPr>
              <w:t xml:space="preserve">14. Recomendación Final</w:t>
            </w:r>
          </w:p>
          <w:p>
            <w:r>
              <w:rPr>
                <w:rFonts w:ascii="Arial" w:cs="Arial" w:eastAsia="Arial" w:hAnsi="Arial"/>
                <w:color w:val="D5E8F0"/>
                <w:sz w:val="20"/>
                <w:szCs w:val="20"/>
              </w:rPr>
              <w:t xml:space="preserve">Decisiones estratégicas · ROI · Priorización</w:t>
            </w:r>
          </w:p>
        </w:tc>
      </w:tr>
    </w:tbl>
    <w:p>
      <w:pPr>
        <w:spacing w:after="160" w:before="160"/>
      </w:pPr>
    </w:p>
    <w:p>
      <w:pPr>
        <w:spacing w:after="120" w:before="240"/>
      </w:pPr>
      <w:r>
        <w:rPr>
          <w:rFonts w:ascii="Arial" w:cs="Arial" w:eastAsia="Arial" w:hAnsi="Arial"/>
          <w:b/>
          <w:bCs/>
          <w:color w:val="1C2535"/>
          <w:sz w:val="26"/>
          <w:szCs w:val="26"/>
        </w:rPr>
        <w:t xml:space="preserve">14.1 ¿Debe TrabFlow entrar en estos verticales?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cantSplit/>
        </w:trPr>
        <w:tc>
          <w:tcPr>
            <w:tcW w:type="dxa" w:w="32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Pregunta</w:t>
            </w:r>
          </w:p>
        </w:tc>
        <w:tc>
          <w:tcPr>
            <w:tcW w:type="dxa" w:w="308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Cargadores VE</w:t>
            </w:r>
          </w:p>
        </w:tc>
        <w:tc>
          <w:tcPr>
            <w:tcW w:type="dxa" w:w="308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Fotovoltaica Industrial</w:t>
            </w:r>
          </w:p>
        </w:tc>
      </w:tr>
      <w:tr>
        <w:trPr>
          <w:cantSplit/>
        </w:trPr>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¿Debe TrabFlow entrar?</w:t>
            </w:r>
          </w:p>
        </w:tc>
        <w:tc>
          <w:tcPr>
            <w:tcW w:type="dxa" w:w="3080"/>
            <w:tcBorders>
              <w:top w:val="single" w:color="CCCCCC" w:sz="1"/>
              <w:left w:val="single" w:color="CCCCCC" w:sz="1"/>
              <w:bottom w:val="single" w:color="CCCCCC" w:sz="1"/>
              <w:right w:val="single" w:color="CCCCCC" w:sz="1"/>
            </w:tcBorders>
            <w:shd w:fill="D8F3DC" w:val="clear"/>
            <w:tcMar>
              <w:top w:type="dxa" w:w="70"/>
              <w:left w:type="dxa" w:w="110"/>
              <w:bottom w:type="dxa" w:w="70"/>
              <w:right w:type="dxa" w:w="110"/>
            </w:tcMar>
          </w:tcPr>
          <w:p>
            <w:r>
              <w:rPr>
                <w:rFonts w:ascii="Arial" w:cs="Arial" w:eastAsia="Arial" w:hAnsi="Arial"/>
                <w:color w:val="1C2535"/>
                <w:sz w:val="20"/>
                <w:szCs w:val="20"/>
              </w:rPr>
              <w:t xml:space="preserve">Sí, con alta prioridad</w:t>
            </w:r>
          </w:p>
        </w:tc>
        <w:tc>
          <w:tcPr>
            <w:tcW w:type="dxa" w:w="3080"/>
            <w:tcBorders>
              <w:top w:val="single" w:color="CCCCCC" w:sz="1"/>
              <w:left w:val="single" w:color="CCCCCC" w:sz="1"/>
              <w:bottom w:val="single" w:color="CCCCCC" w:sz="1"/>
              <w:right w:val="single" w:color="CCCCCC" w:sz="1"/>
            </w:tcBorders>
            <w:shd w:fill="D8F3DC" w:val="clear"/>
            <w:tcMar>
              <w:top w:type="dxa" w:w="70"/>
              <w:left w:type="dxa" w:w="110"/>
              <w:bottom w:type="dxa" w:w="70"/>
              <w:right w:type="dxa" w:w="110"/>
            </w:tcMar>
          </w:tcPr>
          <w:p>
            <w:r>
              <w:rPr>
                <w:rFonts w:ascii="Arial" w:cs="Arial" w:eastAsia="Arial" w:hAnsi="Arial"/>
                <w:color w:val="1C2535"/>
                <w:sz w:val="20"/>
                <w:szCs w:val="20"/>
              </w:rPr>
              <w:t xml:space="preserve">Sí, con alta prioridad</w:t>
            </w:r>
          </w:p>
        </w:tc>
      </w:tr>
      <w:tr>
        <w:trPr>
          <w:cantSplit/>
        </w:trPr>
        <w:tc>
          <w:tcPr>
            <w:tcW w:type="dxa" w:w="3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¿Cuándo entrar?</w:t>
            </w:r>
          </w:p>
        </w:tc>
        <w:tc>
          <w:tcPr>
            <w:tcW w:type="dxa" w:w="308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Q3 2026 (MVP en 8-10 semanas)</w:t>
            </w:r>
          </w:p>
        </w:tc>
        <w:tc>
          <w:tcPr>
            <w:tcW w:type="dxa" w:w="308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Q1 2027 (tras consolidar VE)</w:t>
            </w:r>
          </w:p>
        </w:tc>
      </w:tr>
      <w:tr>
        <w:trPr>
          <w:cantSplit/>
        </w:trPr>
        <w:tc>
          <w:tcPr>
            <w:tcW w:type="dxa" w:w="3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¿Cuánto esfuerzo requiere?</w:t>
            </w:r>
          </w:p>
        </w:tc>
        <w:tc>
          <w:tcPr>
            <w:tcW w:type="dxa" w:w="308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Medio. 50 actuaciones + normativa ITC-BT-52. Reutiliza electricidad</w:t>
            </w:r>
          </w:p>
        </w:tc>
        <w:tc>
          <w:tcPr>
            <w:tcW w:type="dxa" w:w="308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Alto. 100 actuaciones + normativa FV + contratos O&amp;M complejos</w:t>
            </w:r>
          </w:p>
        </w:tc>
      </w:tr>
      <w:tr>
        <w:trPr>
          <w:cantSplit/>
        </w:trPr>
        <w:tc>
          <w:tcPr>
            <w:tcW w:type="dxa" w:w="3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¿Qué ingresos potenciales?</w:t>
            </w:r>
          </w:p>
        </w:tc>
        <w:tc>
          <w:tcPr>
            <w:tcW w:type="dxa" w:w="308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€120.000–€200.000 ARR en Año 3 (hipótesis conservadora)</w:t>
            </w:r>
          </w:p>
        </w:tc>
        <w:tc>
          <w:tcPr>
            <w:tcW w:type="dxa" w:w="308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€150.000–€280.000 ARR en Año 3 (hipótesis conservadora)</w:t>
            </w:r>
          </w:p>
        </w:tc>
      </w:tr>
      <w:tr>
        <w:trPr>
          <w:cantSplit/>
        </w:trPr>
        <w:tc>
          <w:tcPr>
            <w:tcW w:type="dxa" w:w="3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¿Qué asociaciones primero?</w:t>
            </w:r>
          </w:p>
        </w:tc>
        <w:tc>
          <w:tcPr>
            <w:tcW w:type="dxa" w:w="308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FENIE + APIEM (ya activas) + AEDIVE (Q3 2026)</w:t>
            </w:r>
          </w:p>
        </w:tc>
        <w:tc>
          <w:tcPr>
            <w:tcW w:type="dxa" w:w="308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UNEF + ANES (Q1 2027)</w:t>
            </w:r>
          </w:p>
        </w:tc>
      </w:tr>
      <w:tr>
        <w:trPr>
          <w:cantSplit/>
        </w:trPr>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C2535"/>
                <w:sz w:val="20"/>
                <w:szCs w:val="20"/>
              </w:rPr>
              <w:t xml:space="preserve">ROI esperado para TrabFlow</w:t>
            </w:r>
          </w:p>
        </w:tc>
        <w:tc>
          <w:tcPr>
            <w:tcW w:type="dxa" w:w="308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r>
              <w:rPr>
                <w:rFonts w:ascii="Arial" w:cs="Arial" w:eastAsia="Arial" w:hAnsi="Arial"/>
                <w:color w:val="1C2535"/>
                <w:sz w:val="20"/>
                <w:szCs w:val="20"/>
              </w:rPr>
              <w:t xml:space="preserve">Alto. CAC bajo por canal asociaciones. LTV alto por O&amp;M recurrente</w:t>
            </w:r>
          </w:p>
        </w:tc>
        <w:tc>
          <w:tcPr>
            <w:tcW w:type="dxa" w:w="3080"/>
            <w:tcBorders>
              <w:top w:val="single" w:color="CCCCCC" w:sz="1"/>
              <w:left w:val="single" w:color="CCCCCC" w:sz="1"/>
              <w:bottom w:val="single" w:color="CCCCCC" w:sz="1"/>
              <w:right w:val="single" w:color="CCCCCC" w:sz="1"/>
            </w:tcBorders>
            <w:shd w:fill="D8F3DC" w:val="clear"/>
            <w:tcMar>
              <w:top w:type="dxa" w:w="70"/>
              <w:left w:type="dxa" w:w="110"/>
              <w:bottom w:type="dxa" w:w="70"/>
              <w:right w:type="dxa" w:w="110"/>
            </w:tcMar>
          </w:tcPr>
          <w:p>
            <w:r>
              <w:rPr>
                <w:rFonts w:ascii="Arial" w:cs="Arial" w:eastAsia="Arial" w:hAnsi="Arial"/>
                <w:color w:val="1C2535"/>
                <w:sz w:val="20"/>
                <w:szCs w:val="20"/>
              </w:rPr>
              <w:t xml:space="preserve">Muy alto. Ticket más elevado, O&amp;M plurianual. Canal UNEF clave</w:t>
            </w:r>
          </w:p>
        </w:tc>
      </w:tr>
    </w:tbl>
    <w:p>
      <w:pPr>
        <w:spacing w:after="120" w:before="120"/>
      </w:pPr>
    </w:p>
    <w:p>
      <w:pPr>
        <w:spacing w:after="120" w:before="240"/>
      </w:pPr>
      <w:r>
        <w:rPr>
          <w:rFonts w:ascii="Arial" w:cs="Arial" w:eastAsia="Arial" w:hAnsi="Arial"/>
          <w:b/>
          <w:bCs/>
          <w:color w:val="1C2535"/>
          <w:sz w:val="26"/>
          <w:szCs w:val="26"/>
        </w:rPr>
        <w:t xml:space="preserve">14.2 Priorización recomendada</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800"/>
        <w:gridCol w:w="2160"/>
        <w:gridCol w:w="2600"/>
      </w:tblGrid>
      <w:tr>
        <w:trPr>
          <w:cantSplit/>
        </w:trPr>
        <w:tc>
          <w:tcPr>
            <w:tcW w:type="dxa" w:w="8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Prioridad</w:t>
            </w:r>
          </w:p>
        </w:tc>
        <w:tc>
          <w:tcPr>
            <w:tcW w:type="dxa" w:w="20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Acción</w:t>
            </w:r>
          </w:p>
        </w:tc>
        <w:tc>
          <w:tcPr>
            <w:tcW w:type="dxa" w:w="18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Timeline</w:t>
            </w:r>
          </w:p>
        </w:tc>
        <w:tc>
          <w:tcPr>
            <w:tcW w:type="dxa" w:w="216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Recursos TrabFlow</w:t>
            </w:r>
          </w:p>
        </w:tc>
        <w:tc>
          <w:tcPr>
            <w:tcW w:type="dxa" w:w="26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Impacto esperado</w:t>
            </w:r>
          </w:p>
        </w:tc>
      </w:tr>
      <w:tr>
        <w:trPr>
          <w:cantSplit/>
        </w:trPr>
        <w:tc>
          <w:tcPr>
            <w:tcW w:type="dxa" w:w="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Activar VE en Base Maestra (50 actuaciones)</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Q3 2026</w:t>
            </w:r>
          </w:p>
        </w:tc>
        <w:tc>
          <w:tcPr>
            <w:tcW w:type="dxa" w:w="2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Equipo de contenido + IA testing</w:t>
            </w:r>
          </w:p>
        </w:tc>
        <w:tc>
          <w:tcPr>
            <w:tcW w:type="dxa" w:w="2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Diferenciación inmediata frente a competidores genéricos</w:t>
            </w:r>
          </w:p>
        </w:tc>
      </w:tr>
      <w:tr>
        <w:trPr>
          <w:cantSplit/>
        </w:trPr>
        <w:tc>
          <w:tcPr>
            <w:tcW w:type="dxa" w:w="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#2</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Acuerdo con AEDIVE (canal VE)</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Q3 2026</w:t>
            </w:r>
          </w:p>
        </w:tc>
        <w:tc>
          <w:tcPr>
            <w:tcW w:type="dxa" w:w="2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Comercial (Fernando)</w:t>
            </w:r>
          </w:p>
        </w:tc>
        <w:tc>
          <w:tcPr>
            <w:tcW w:type="dxa" w:w="2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Acceso directo a 300+ instaladores VE</w:t>
            </w:r>
          </w:p>
        </w:tc>
      </w:tr>
      <w:tr>
        <w:trPr>
          <w:cantSplit/>
        </w:trPr>
        <w:tc>
          <w:tcPr>
            <w:tcW w:type="dxa" w:w="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#3</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Normativa ITC-BT-52 en RAG</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Q4 2026</w:t>
            </w:r>
          </w:p>
        </w:tc>
        <w:tc>
          <w:tcPr>
            <w:tcW w:type="dxa" w:w="2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Técnico (indexación)</w:t>
            </w:r>
          </w:p>
        </w:tc>
        <w:tc>
          <w:tcPr>
            <w:tcW w:type="dxa" w:w="2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Propuesta de valor diferencial para el instalador VE en obra</w:t>
            </w:r>
          </w:p>
        </w:tc>
      </w:tr>
      <w:tr>
        <w:trPr>
          <w:cantSplit/>
        </w:trPr>
        <w:tc>
          <w:tcPr>
            <w:tcW w:type="dxa" w:w="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#4</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Contratos O&amp;M VE en plataforma</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Q4 2026</w:t>
            </w:r>
          </w:p>
        </w:tc>
        <w:tc>
          <w:tcPr>
            <w:tcW w:type="dxa" w:w="2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Producto</w:t>
            </w:r>
          </w:p>
        </w:tc>
        <w:tc>
          <w:tcPr>
            <w:tcW w:type="dxa" w:w="2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Ingresos recurrentes via O&amp;M desde primer contrato</w:t>
            </w:r>
          </w:p>
        </w:tc>
      </w:tr>
      <w:tr>
        <w:trPr>
          <w:cantSplit/>
        </w:trPr>
        <w:tc>
          <w:tcPr>
            <w:tcW w:type="dxa" w:w="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#5</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MVP Fotovoltaica Industrial</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Q1 2027</w:t>
            </w:r>
          </w:p>
        </w:tc>
        <w:tc>
          <w:tcPr>
            <w:tcW w:type="dxa" w:w="2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Equipo contenido + producto</w:t>
            </w:r>
          </w:p>
        </w:tc>
        <w:tc>
          <w:tcPr>
            <w:tcW w:type="dxa" w:w="2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Primer vertical de ticket alto + O&amp;M plurianual</w:t>
            </w:r>
          </w:p>
        </w:tc>
      </w:tr>
      <w:tr>
        <w:trPr>
          <w:cantSplit/>
        </w:trPr>
        <w:tc>
          <w:tcPr>
            <w:tcW w:type="dxa" w:w="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#6</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Acuerdo con UNEF</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Q1 2027</w:t>
            </w:r>
          </w:p>
        </w:tc>
        <w:tc>
          <w:tcPr>
            <w:tcW w:type="dxa" w:w="2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Comercial</w:t>
            </w:r>
          </w:p>
        </w:tc>
        <w:tc>
          <w:tcPr>
            <w:tcW w:type="dxa" w:w="2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Canal a 500+ empresas instaladoras FV</w:t>
            </w:r>
          </w:p>
        </w:tc>
      </w:tr>
      <w:tr>
        <w:trPr>
          <w:cantSplit/>
        </w:trPr>
        <w:tc>
          <w:tcPr>
            <w:tcW w:type="dxa" w:w="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#7</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100 actuaciones FV en Base Maestra</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Q2 2027</w:t>
            </w:r>
          </w:p>
        </w:tc>
        <w:tc>
          <w:tcPr>
            <w:tcW w:type="dxa" w:w="2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Equipo contenido</w:t>
            </w:r>
          </w:p>
        </w:tc>
        <w:tc>
          <w:tcPr>
            <w:tcW w:type="dxa" w:w="2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Base Maestra FV más completa del mercado</w:t>
            </w:r>
          </w:p>
        </w:tc>
      </w:tr>
      <w:tr>
        <w:trPr>
          <w:cantSplit/>
        </w:trPr>
        <w:tc>
          <w:tcPr>
            <w:tcW w:type="dxa" w:w="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#8</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Contratos O&amp;M FV + dashboard cliente</w:t>
            </w:r>
          </w:p>
        </w:tc>
        <w:tc>
          <w:tcPr>
            <w:tcW w:type="dxa" w:w="18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Q2 2027</w:t>
            </w:r>
          </w:p>
        </w:tc>
        <w:tc>
          <w:tcPr>
            <w:tcW w:type="dxa" w:w="216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Producto</w:t>
            </w:r>
          </w:p>
        </w:tc>
        <w:tc>
          <w:tcPr>
            <w:tcW w:type="dxa" w:w="26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Producto premium para O&amp;M providers industriales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8922A" w:sz="4"/>
              <w:left w:val="single" w:color="C8922A" w:sz="4"/>
              <w:bottom w:val="none" w:color="FFFFFF" w:sz="0"/>
              <w:right w:val="none" w:color="FFFFFF" w:sz="0"/>
            </w:tcBorders>
            <w:shd w:fill="FDF3E3" w:val="clear"/>
            <w:tcMar>
              <w:top w:type="dxa" w:w="140"/>
              <w:left w:type="dxa" w:w="200"/>
              <w:bottom w:type="dxa" w:w="140"/>
              <w:right w:type="dxa" w:w="200"/>
            </w:tcMar>
          </w:tcPr>
          <w:p>
            <w:r>
              <w:rPr>
                <w:rFonts w:ascii="Arial" w:cs="Arial" w:eastAsia="Arial" w:hAnsi="Arial"/>
                <w:color w:val="1C2535"/>
                <w:sz w:val="21"/>
                <w:szCs w:val="21"/>
              </w:rPr>
              <w:t xml:space="preserve">Conclusión del documento: TrabFlow tiene una ventana de oportunidad única en ambos verticales. La competencia directa (ERP generalistas, software de obra, gestores de mantenimiento industriales) no tiene la filosofía 'IA no inventa, detecta y ejecuta plantilla técnica' ni la Base Maestra especializada. El instalador VE y el O&amp;M provider de fotovoltaica son exactamente el perfil de cliente que TrabFlow está construyendo. La recomendación es entrar en ambos, en el orden propuesto, con la Base Maestra como palanca de diferenciación principal.</w:t>
            </w:r>
          </w:p>
        </w:tc>
      </w:tr>
    </w:tbl>
    <w:p>
      <w:pPr>
        <w:spacing w:after="120" w:before="120"/>
      </w:pPr>
    </w:p>
    <w:p>
      <w:pPr>
        <w:spacing w:after="120" w:before="240"/>
      </w:pPr>
      <w:r>
        <w:rPr>
          <w:rFonts w:ascii="Arial" w:cs="Arial" w:eastAsia="Arial" w:hAnsi="Arial"/>
          <w:b/>
          <w:bCs/>
          <w:color w:val="1C2535"/>
          <w:sz w:val="26"/>
          <w:szCs w:val="26"/>
        </w:rPr>
        <w:t xml:space="preserve">14.3 Métricas de éxito a 18 meses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2080"/>
        <w:gridCol w:w="2000"/>
      </w:tblGrid>
      <w:tr>
        <w:trPr>
          <w:cantSplit/>
        </w:trPr>
        <w:tc>
          <w:tcPr>
            <w:tcW w:type="dxa" w:w="32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KPI</w:t>
            </w:r>
          </w:p>
        </w:tc>
        <w:tc>
          <w:tcPr>
            <w:tcW w:type="dxa" w:w="208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Objetivo 6 meses</w:t>
            </w:r>
          </w:p>
        </w:tc>
        <w:tc>
          <w:tcPr>
            <w:tcW w:type="dxa" w:w="208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Objetivo 12 meses</w:t>
            </w:r>
          </w:p>
        </w:tc>
        <w:tc>
          <w:tcPr>
            <w:tcW w:type="dxa" w:w="2000"/>
            <w:tcBorders>
              <w:top w:val="single" w:color="999999" w:sz="1"/>
              <w:left w:val="single" w:color="999999" w:sz="1"/>
              <w:bottom w:val="single" w:color="999999" w:sz="1"/>
              <w:right w:val="single" w:color="999999" w:sz="1"/>
            </w:tcBorders>
            <w:shd w:fill="1A5A9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Objetivo 18 meses</w:t>
            </w:r>
          </w:p>
        </w:tc>
      </w:tr>
      <w:tr>
        <w:trPr>
          <w:cantSplit/>
        </w:trPr>
        <w:tc>
          <w:tcPr>
            <w:tcW w:type="dxa" w:w="3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Usuarios activos VE</w:t>
            </w:r>
          </w:p>
        </w:tc>
        <w:tc>
          <w:tcPr>
            <w:tcW w:type="dxa" w:w="208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50</w:t>
            </w:r>
          </w:p>
        </w:tc>
        <w:tc>
          <w:tcPr>
            <w:tcW w:type="dxa" w:w="208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200</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500</w:t>
            </w:r>
          </w:p>
        </w:tc>
      </w:tr>
      <w:tr>
        <w:trPr>
          <w:cantSplit/>
        </w:trPr>
        <w:tc>
          <w:tcPr>
            <w:tcW w:type="dxa" w:w="3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Usuarios activos FV Industrial</w:t>
            </w:r>
          </w:p>
        </w:tc>
        <w:tc>
          <w:tcPr>
            <w:tcW w:type="dxa" w:w="208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w:t>
            </w:r>
          </w:p>
        </w:tc>
        <w:tc>
          <w:tcPr>
            <w:tcW w:type="dxa" w:w="208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50</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200</w:t>
            </w:r>
          </w:p>
        </w:tc>
      </w:tr>
      <w:tr>
        <w:trPr>
          <w:cantSplit/>
        </w:trPr>
        <w:tc>
          <w:tcPr>
            <w:tcW w:type="dxa" w:w="3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ARR combinado VE + FV</w:t>
            </w:r>
          </w:p>
        </w:tc>
        <w:tc>
          <w:tcPr>
            <w:tcW w:type="dxa" w:w="208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€15.000</w:t>
            </w:r>
          </w:p>
        </w:tc>
        <w:tc>
          <w:tcPr>
            <w:tcW w:type="dxa" w:w="208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€60.000</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€180.000</w:t>
            </w:r>
          </w:p>
        </w:tc>
      </w:tr>
      <w:tr>
        <w:trPr>
          <w:cantSplit/>
        </w:trPr>
        <w:tc>
          <w:tcPr>
            <w:tcW w:type="dxa" w:w="3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Contratos O&amp;M activos en plataforma</w:t>
            </w:r>
          </w:p>
        </w:tc>
        <w:tc>
          <w:tcPr>
            <w:tcW w:type="dxa" w:w="208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10</w:t>
            </w:r>
          </w:p>
        </w:tc>
        <w:tc>
          <w:tcPr>
            <w:tcW w:type="dxa" w:w="208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80</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300</w:t>
            </w:r>
          </w:p>
        </w:tc>
      </w:tr>
      <w:tr>
        <w:trPr>
          <w:cantSplit/>
        </w:trPr>
        <w:tc>
          <w:tcPr>
            <w:tcW w:type="dxa" w:w="3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Acuerdos sectoriales cerrados</w:t>
            </w:r>
          </w:p>
        </w:tc>
        <w:tc>
          <w:tcPr>
            <w:tcW w:type="dxa" w:w="208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AEDIVE</w:t>
            </w:r>
          </w:p>
        </w:tc>
        <w:tc>
          <w:tcPr>
            <w:tcW w:type="dxa" w:w="208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AEDIVE + UNEF</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AEDIVE + UNEF + ANES</w:t>
            </w:r>
          </w:p>
        </w:tc>
      </w:tr>
      <w:tr>
        <w:trPr>
          <w:cantSplit/>
        </w:trPr>
        <w:tc>
          <w:tcPr>
            <w:tcW w:type="dxa" w:w="32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NPS usuarios VE y FV</w:t>
            </w:r>
          </w:p>
        </w:tc>
        <w:tc>
          <w:tcPr>
            <w:tcW w:type="dxa" w:w="208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&gt;40</w:t>
            </w:r>
          </w:p>
        </w:tc>
        <w:tc>
          <w:tcPr>
            <w:tcW w:type="dxa" w:w="208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&gt;50</w:t>
            </w:r>
          </w:p>
        </w:tc>
        <w:tc>
          <w:tcPr>
            <w:tcW w:type="dxa" w:w="2000"/>
            <w:tcBorders>
              <w:top w:val="single" w:color="CCCCCC" w:sz="1"/>
              <w:left w:val="single" w:color="CCCCCC" w:sz="1"/>
              <w:bottom w:val="single" w:color="CCCCCC" w:sz="1"/>
              <w:right w:val="single" w:color="CCCCCC" w:sz="1"/>
            </w:tcBorders>
            <w:shd w:fill="F5F6F8" w:val="clear"/>
            <w:tcMar>
              <w:top w:type="dxa" w:w="70"/>
              <w:left w:type="dxa" w:w="110"/>
              <w:bottom w:type="dxa" w:w="70"/>
              <w:right w:type="dxa" w:w="110"/>
            </w:tcMar>
          </w:tcPr>
          <w:p>
            <w:r>
              <w:rPr>
                <w:rFonts w:ascii="Arial" w:cs="Arial" w:eastAsia="Arial" w:hAnsi="Arial"/>
                <w:color w:val="1C2535"/>
                <w:sz w:val="20"/>
                <w:szCs w:val="20"/>
              </w:rPr>
              <w:t xml:space="preserve">&gt;60</w:t>
            </w:r>
          </w:p>
        </w:tc>
      </w:tr>
    </w:tbl>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none" w:color="FFFFFF" w:sz="0"/>
              <w:bottom w:val="none" w:color="FFFFFF" w:sz="0"/>
              <w:right w:val="none" w:color="FFFFFF" w:sz="0"/>
            </w:tcBorders>
            <w:shd w:fill="1C2535" w:val="clear"/>
            <w:tcMar>
              <w:top w:type="dxa" w:w="160"/>
              <w:left w:type="dxa" w:w="240"/>
              <w:bottom w:type="dxa" w:w="160"/>
              <w:right w:type="dxa" w:w="240"/>
            </w:tcMar>
          </w:tcPr>
          <w:p>
            <w:pPr>
              <w:jc w:val="center"/>
            </w:pPr>
            <w:r>
              <w:rPr>
                <w:rFonts w:ascii="Arial" w:cs="Arial" w:eastAsia="Arial" w:hAnsi="Arial"/>
                <w:color w:val="A0B8D0"/>
                <w:sz w:val="18"/>
                <w:szCs w:val="18"/>
              </w:rPr>
              <w:t xml:space="preserve">TrabFlow Technologies, S.L.  ·  Documento interno estratégico  ·  Junio 2026</w:t>
            </w:r>
          </w:p>
          <w:p>
            <w:pPr>
              <w:jc w:val="center"/>
            </w:pPr>
            <w:r>
              <w:rPr>
                <w:rFonts w:ascii="Arial" w:cs="Arial" w:eastAsia="Arial" w:hAnsi="Arial"/>
                <w:color w:val="D5E8F0"/>
                <w:sz w:val="17"/>
                <w:szCs w:val="17"/>
              </w:rPr>
              <w:t xml:space="preserve">Confidencial · No distribuir sin autorización</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e205a14d963661731d2482ab351fc4206b08aeb.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2026-06-25T06:34:29.810Z</dcterms:created>
  <dcterms:modified xsi:type="dcterms:W3CDTF">2026-06-25T06:34:29.811Z</dcterms:modified>
</cp:coreProperties>
</file>

<file path=docProps/custom.xml><?xml version="1.0" encoding="utf-8"?>
<Properties xmlns="http://schemas.openxmlformats.org/officeDocument/2006/custom-properties" xmlns:vt="http://schemas.openxmlformats.org/officeDocument/2006/docPropsVTypes"/>
</file>