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B4332"/>
          <w:sz w:val="56"/>
          <w:szCs w:val="56"/>
        </w:rPr>
        <w:t xml:space="preserve">CASPETE.COM</w:t>
      </w:r>
    </w:p>
    <w:p>
      <w:pPr>
        <w:pBdr>
          <w:bottom w:val="single" w:color="2D6A4F" w:sz="6" w:space="8"/>
        </w:pBdr>
        <w:spacing w:after="80"/>
        <w:jc w:val="center"/>
      </w:pPr>
      <w:r>
        <w:rPr>
          <w:rFonts w:ascii="Calibri" w:cs="Calibri" w:eastAsia="Calibri" w:hAnsi="Calibri"/>
          <w:color w:val="2D6A4F"/>
          <w:sz w:val="36"/>
          <w:szCs w:val="36"/>
        </w:rPr>
        <w:t xml:space="preserve">Documentación Técnica de Implementación</w:t>
      </w:r>
    </w:p>
    <w:p>
      <w:pPr>
        <w:spacing w:after="100" w:before="300"/>
        <w:jc w:val="center"/>
      </w:pPr>
      <w:r>
        <w:rPr>
          <w:rFonts w:ascii="Calibri" w:cs="Calibri" w:eastAsia="Calibri" w:hAnsi="Calibri"/>
          <w:color w:val="212529"/>
          <w:sz w:val="28"/>
          <w:szCs w:val="28"/>
        </w:rPr>
        <w:t xml:space="preserve">Adaptación a la Ley 2120 de 2021</w:t>
      </w:r>
    </w:p>
    <w:p>
      <w:pPr>
        <w:spacing w:after="100"/>
        <w:jc w:val="center"/>
      </w:pPr>
      <w:r>
        <w:rPr>
          <w:rFonts w:ascii="Calibri" w:cs="Calibri" w:eastAsia="Calibri" w:hAnsi="Calibri"/>
          <w:color w:val="6C757D"/>
          <w:sz w:val="24"/>
          <w:szCs w:val="24"/>
        </w:rPr>
        <w:t xml:space="preserve">Resolución 2492 de 2022 – Etiquetado Frontal de Advertencia</w:t>
      </w:r>
    </w:p>
    <w:p>
      <w:pPr>
        <w:spacing w:before="2400"/>
      </w:pPr>
    </w:p>
    <w:p>
      <w:pPr>
        <w:jc w:val="center"/>
      </w:pPr>
      <w:r>
        <w:rPr>
          <w:rFonts w:ascii="Calibri" w:cs="Calibri" w:eastAsia="Calibri" w:hAnsi="Calibri"/>
          <w:color w:val="6C757D"/>
          <w:sz w:val="22"/>
          <w:szCs w:val="22"/>
        </w:rPr>
        <w:t xml:space="preserve">Versión 1.0 – Mayo 2026</w:t>
      </w:r>
    </w:p>
    <w:p>
      <w:pPr>
        <w:spacing w:after="100"/>
        <w:jc w:val="center"/>
      </w:pPr>
      <w:r>
        <w:rPr>
          <w:rFonts w:ascii="Calibri" w:cs="Calibri" w:eastAsia="Calibri" w:hAnsi="Calibri"/>
          <w:i/>
          <w:iCs/>
          <w:color w:val="6C757D"/>
          <w:sz w:val="20"/>
          <w:szCs w:val="20"/>
        </w:rPr>
        <w:t xml:space="preserve">Documento confidencial – Uso interno del equipo de desarrollo y operaciones</w:t>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1. Introducción y Alcance</w:t>
      </w:r>
    </w:p>
    <w:p>
      <w:pPr>
        <w:spacing w:after="160"/>
      </w:pPr>
      <w:r>
        <w:rPr>
          <w:rFonts w:ascii="Calibri" w:cs="Calibri" w:eastAsia="Calibri" w:hAnsi="Calibri"/>
          <w:b w:val="false"/>
          <w:bCs w:val="false"/>
          <w:i w:val="false"/>
          <w:iCs w:val="false"/>
          <w:color w:val="212529"/>
          <w:sz w:val="22"/>
          <w:szCs w:val="22"/>
        </w:rPr>
        <w:t xml:space="preserve">Este documento describe los requerimientos técnicos, funcionales y operativos necesarios para adaptar la plataforma caspete.com a la Ley 2120 de 2021 (Ley de Entornos Alimentarios Saludables) y su reglamentación mediante la Resolución 2492 de 2022.</w:t>
      </w:r>
    </w:p>
    <w:p>
      <w:pPr>
        <w:spacing w:after="160"/>
      </w:pPr>
      <w:r>
        <w:rPr>
          <w:rFonts w:ascii="Calibri" w:cs="Calibri" w:eastAsia="Calibri" w:hAnsi="Calibri"/>
          <w:b w:val="false"/>
          <w:bCs w:val="false"/>
          <w:i w:val="false"/>
          <w:iCs w:val="false"/>
          <w:color w:val="212529"/>
          <w:sz w:val="22"/>
          <w:szCs w:val="22"/>
        </w:rPr>
        <w:t xml:space="preserve">Al ser un servicio de loncheras escolares dirigido a menores de edad, caspete.com se encuentra en el centro de la regulación sobre protección alimentaria infantil. Esta adaptación no es solo un cumplimiento legal, sino una oportunidad competitiva para posicionar la plataforma como líder en alimentación escolar responsable en Colombia.</w:t>
      </w:r>
    </w:p>
    <w:p>
      <w:pPr>
        <w:pStyle w:val="Heading2"/>
      </w:pPr>
      <w:r>
        <w:rPr>
          <w:rFonts w:ascii="Calibri" w:cs="Calibri" w:eastAsia="Calibri" w:hAnsi="Calibri"/>
        </w:rPr>
        <w:t xml:space="preserve">1.1 Objetivos del Proyecto</w:t>
      </w:r>
    </w:p>
    <w:p>
      <w:pPr>
        <w:pStyle w:val="ListParagraph"/>
        <w:numPr>
          <w:ilvl w:val="0"/>
          <w:numId w:val="2"/>
        </w:numPr>
      </w:pPr>
      <w:r>
        <w:rPr>
          <w:rFonts w:ascii="Calibri" w:cs="Calibri" w:eastAsia="Calibri" w:hAnsi="Calibri"/>
          <w:color w:val="212529"/>
          <w:sz w:val="22"/>
          <w:szCs w:val="22"/>
        </w:rPr>
        <w:t xml:space="preserve">Garantizar el cumplimiento normativo de la Ley 2120 de 2021 y Resolución 2492 de 2022.</w:t>
      </w:r>
    </w:p>
    <w:p>
      <w:pPr>
        <w:pStyle w:val="ListParagraph"/>
        <w:numPr>
          <w:ilvl w:val="0"/>
          <w:numId w:val="2"/>
        </w:numPr>
      </w:pPr>
      <w:r>
        <w:rPr>
          <w:rFonts w:ascii="Calibri" w:cs="Calibri" w:eastAsia="Calibri" w:hAnsi="Calibri"/>
          <w:color w:val="212529"/>
          <w:sz w:val="22"/>
          <w:szCs w:val="22"/>
        </w:rPr>
        <w:t xml:space="preserve">Implementar el sistema de clasificación nutricional en la base de datos de productos.</w:t>
      </w:r>
    </w:p>
    <w:p>
      <w:pPr>
        <w:pStyle w:val="ListParagraph"/>
        <w:numPr>
          <w:ilvl w:val="0"/>
          <w:numId w:val="2"/>
        </w:numPr>
      </w:pPr>
      <w:r>
        <w:rPr>
          <w:rFonts w:ascii="Calibri" w:cs="Calibri" w:eastAsia="Calibri" w:hAnsi="Calibri"/>
          <w:color w:val="212529"/>
          <w:sz w:val="22"/>
          <w:szCs w:val="22"/>
        </w:rPr>
        <w:t xml:space="preserve">Adaptar la interfaz de usuario para mostrar sellos de advertencia de forma clara y oportuna.</w:t>
      </w:r>
    </w:p>
    <w:p>
      <w:pPr>
        <w:pStyle w:val="ListParagraph"/>
        <w:numPr>
          <w:ilvl w:val="0"/>
          <w:numId w:val="2"/>
        </w:numPr>
      </w:pPr>
      <w:r>
        <w:rPr>
          <w:rFonts w:ascii="Calibri" w:cs="Calibri" w:eastAsia="Calibri" w:hAnsi="Calibri"/>
          <w:color w:val="212529"/>
          <w:sz w:val="22"/>
          <w:szCs w:val="22"/>
        </w:rPr>
        <w:t xml:space="preserve">Restringir prácticas de marketing prohibidas por la ley dirigidas a menores.</w:t>
      </w:r>
    </w:p>
    <w:p>
      <w:pPr>
        <w:pStyle w:val="ListParagraph"/>
        <w:numPr>
          <w:ilvl w:val="0"/>
          <w:numId w:val="2"/>
        </w:numPr>
      </w:pPr>
      <w:r>
        <w:rPr>
          <w:rFonts w:ascii="Calibri" w:cs="Calibri" w:eastAsia="Calibri" w:hAnsi="Calibri"/>
          <w:color w:val="212529"/>
          <w:sz w:val="22"/>
          <w:szCs w:val="22"/>
        </w:rPr>
        <w:t xml:space="preserve">Generar herramientas de certificación y trazabilidad para colegios y padres de familia.</w:t>
      </w:r>
    </w:p>
    <w:p>
      <w:pPr>
        <w:pStyle w:val="ListParagraph"/>
        <w:numPr>
          <w:ilvl w:val="0"/>
          <w:numId w:val="2"/>
        </w:numPr>
      </w:pPr>
      <w:r>
        <w:rPr>
          <w:rFonts w:ascii="Calibri" w:cs="Calibri" w:eastAsia="Calibri" w:hAnsi="Calibri"/>
          <w:color w:val="212529"/>
          <w:sz w:val="22"/>
          <w:szCs w:val="22"/>
        </w:rPr>
        <w:t xml:space="preserve">Convertir el cumplimiento legal en una ventaja competitiva medible.</w:t>
      </w:r>
    </w:p>
    <w:p>
      <w:pPr>
        <w:pStyle w:val="Heading2"/>
      </w:pPr>
      <w:r>
        <w:rPr>
          <w:rFonts w:ascii="Calibri" w:cs="Calibri" w:eastAsia="Calibri" w:hAnsi="Calibri"/>
        </w:rPr>
        <w:t xml:space="preserve">1.2 Partes Interesadas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w:t>
            </w:r>
          </w:p>
        </w:tc>
        <w:tc>
          <w:tcPr>
            <w:tcW w:type="dxa" w:w="624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Responsabilidad</w:t>
            </w:r>
          </w:p>
        </w:tc>
      </w:tr>
      <w:tr>
        <w:tc>
          <w:tcPr>
            <w:tcW w:type="dxa" w:w="312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Equipo de Desarrollo (Back-End)</w:t>
            </w:r>
          </w:p>
        </w:tc>
        <w:tc>
          <w:tcPr>
            <w:tcW w:type="dxa" w:w="62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Modelo de datos, API de clasificación, motor de reglas nutricionales</w:t>
            </w:r>
          </w:p>
        </w:tc>
      </w:tr>
      <w:tr>
        <w:tc>
          <w:tcPr>
            <w:tcW w:type="dxa" w:w="312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Equipo de Desarrollo (Front-End)</w:t>
            </w:r>
          </w:p>
        </w:tc>
        <w:tc>
          <w:tcPr>
            <w:tcW w:type="dxa" w:w="62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Componentes de sellos, filtros, alertas visuales, UX adaptada</w:t>
            </w:r>
          </w:p>
        </w:tc>
      </w:tr>
      <w:tr>
        <w:tc>
          <w:tcPr>
            <w:tcW w:type="dxa" w:w="312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Equipo de Operaciones / Compras</w:t>
            </w:r>
          </w:p>
        </w:tc>
        <w:tc>
          <w:tcPr>
            <w:tcW w:type="dxa" w:w="62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Auditoría de proveedores, fichas técnicas, trazabilidad de ingredientes</w:t>
            </w:r>
          </w:p>
        </w:tc>
      </w:tr>
      <w:tr>
        <w:tc>
          <w:tcPr>
            <w:tcW w:type="dxa" w:w="312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Equipo de Cocina / Nutrición</w:t>
            </w:r>
          </w:p>
        </w:tc>
        <w:tc>
          <w:tcPr>
            <w:tcW w:type="dxa" w:w="62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Estandarización de recetas, cálculo de valores nutricionales propios</w:t>
            </w:r>
          </w:p>
        </w:tc>
      </w:tr>
      <w:tr>
        <w:tc>
          <w:tcPr>
            <w:tcW w:type="dxa" w:w="312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Equipo Legal</w:t>
            </w:r>
          </w:p>
        </w:tc>
        <w:tc>
          <w:tcPr>
            <w:tcW w:type="dxa" w:w="62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Validación de cumplimiento, contratos con proveedores, certificaciones</w:t>
            </w:r>
          </w:p>
        </w:tc>
      </w:tr>
      <w:tr>
        <w:tc>
          <w:tcPr>
            <w:tcW w:type="dxa" w:w="312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Equipo de Marketing</w:t>
            </w:r>
          </w:p>
        </w:tc>
        <w:tc>
          <w:tcPr>
            <w:tcW w:type="dxa" w:w="62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Adaptación de contenido publicitario, eliminación de prácticas prohibidas</w:t>
            </w:r>
          </w:p>
        </w:tc>
      </w:tr>
    </w:tbl>
    <w:p>
      <w:pPr>
        <w:spacing w:after="160"/>
      </w:pPr>
    </w:p>
    <w:p>
      <w:pPr>
        <w:pStyle w:val="Heading1"/>
      </w:pPr>
      <w:r>
        <w:rPr>
          <w:rFonts w:ascii="Calibri" w:cs="Calibri" w:eastAsia="Calibri" w:hAnsi="Calibri"/>
        </w:rPr>
        <w:t xml:space="preserve">2. Módulo Back-End: Modelo de Datos y Clasificación Nutricional</w:t>
      </w:r>
    </w:p>
    <w:p>
      <w:pPr>
        <w:spacing w:after="160"/>
      </w:pPr>
      <w:r>
        <w:rPr>
          <w:rFonts w:ascii="Calibri" w:cs="Calibri" w:eastAsia="Calibri" w:hAnsi="Calibri"/>
          <w:b w:val="false"/>
          <w:bCs w:val="false"/>
          <w:i w:val="false"/>
          <w:iCs w:val="false"/>
          <w:color w:val="212529"/>
          <w:sz w:val="22"/>
          <w:szCs w:val="22"/>
        </w:rPr>
        <w:t xml:space="preserve">El núcleo de la adaptación reside en el modelo de datos. Cada producto empacado debe ser auditado y clasificado según los umbrales establecidos en la Resolución 2492 de 2022.</w:t>
      </w:r>
    </w:p>
    <w:p>
      <w:pPr>
        <w:pStyle w:val="Heading2"/>
      </w:pPr>
      <w:r>
        <w:rPr>
          <w:rFonts w:ascii="Calibri" w:cs="Calibri" w:eastAsia="Calibri" w:hAnsi="Calibri"/>
        </w:rPr>
        <w:t xml:space="preserve">2.1 Entidad: Producto (product)</w:t>
      </w:r>
    </w:p>
    <w:p>
      <w:pPr>
        <w:spacing w:after="160"/>
      </w:pPr>
      <w:r>
        <w:rPr>
          <w:rFonts w:ascii="Calibri" w:cs="Calibri" w:eastAsia="Calibri" w:hAnsi="Calibri"/>
          <w:b w:val="false"/>
          <w:bCs w:val="false"/>
          <w:i w:val="false"/>
          <w:iCs w:val="false"/>
          <w:color w:val="212529"/>
          <w:sz w:val="22"/>
          <w:szCs w:val="22"/>
        </w:rPr>
        <w:t xml:space="preserve">Agregar los siguientes campos obligatorios a la tabla/colección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760"/>
        <w:gridCol w:w="1600"/>
      </w:tblGrid>
      <w:tr>
        <w:tc>
          <w:tcPr>
            <w:tcW w:type="dxa" w:w="22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18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376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c>
          <w:tcPr>
            <w:tcW w:type="dxa" w:w="16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Obligatorio</w:t>
            </w:r>
          </w:p>
        </w:tc>
      </w:tr>
      <w:tr>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nutritional_level</w:t>
            </w:r>
          </w:p>
        </w:tc>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ENUM('level_1','level_2')</w:t>
            </w:r>
          </w:p>
        </w:tc>
        <w:tc>
          <w:tcPr>
            <w:tcW w:type="dxa" w:w="37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Nivel 1 = sin sellos (ideal). Nivel 2 = con advertencias.</w:t>
            </w:r>
          </w:p>
        </w:tc>
        <w:tc>
          <w:tcPr>
            <w:tcW w:type="dxa" w:w="1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Sí</w:t>
            </w:r>
          </w:p>
        </w:tc>
      </w:tr>
      <w:tr>
        <w:tc>
          <w:tcPr>
            <w:tcW w:type="dxa" w:w="22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sodium_per_100</w:t>
            </w:r>
          </w:p>
        </w:tc>
        <w:tc>
          <w:tcPr>
            <w:tcW w:type="dxa" w:w="18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DECIMAL(8,2)</w:t>
            </w:r>
          </w:p>
        </w:tc>
        <w:tc>
          <w:tcPr>
            <w:tcW w:type="dxa" w:w="37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Sodio en mg por cada 100g o 100ml del producto.</w:t>
            </w:r>
          </w:p>
        </w:tc>
        <w:tc>
          <w:tcPr>
            <w:tcW w:type="dxa" w:w="1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Sí*</w:t>
            </w:r>
          </w:p>
        </w:tc>
      </w:tr>
      <w:tr>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added_sugars_pct</w:t>
            </w:r>
          </w:p>
        </w:tc>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DECIMAL(5,2)</w:t>
            </w:r>
          </w:p>
        </w:tc>
        <w:tc>
          <w:tcPr>
            <w:tcW w:type="dxa" w:w="37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Porcentaje de energía proveniente de azúcares añadidos.</w:t>
            </w:r>
          </w:p>
        </w:tc>
        <w:tc>
          <w:tcPr>
            <w:tcW w:type="dxa" w:w="1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Sí*</w:t>
            </w:r>
          </w:p>
        </w:tc>
      </w:tr>
      <w:tr>
        <w:tc>
          <w:tcPr>
            <w:tcW w:type="dxa" w:w="22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saturated_fat_pct</w:t>
            </w:r>
          </w:p>
        </w:tc>
        <w:tc>
          <w:tcPr>
            <w:tcW w:type="dxa" w:w="18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DECIMAL(5,2)</w:t>
            </w:r>
          </w:p>
        </w:tc>
        <w:tc>
          <w:tcPr>
            <w:tcW w:type="dxa" w:w="37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Porcentaje de energía proveniente de grasas saturadas.</w:t>
            </w:r>
          </w:p>
        </w:tc>
        <w:tc>
          <w:tcPr>
            <w:tcW w:type="dxa" w:w="1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Sí*</w:t>
            </w:r>
          </w:p>
        </w:tc>
      </w:tr>
      <w:tr>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trans_fat_pct</w:t>
            </w:r>
          </w:p>
        </w:tc>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DECIMAL(5,2)</w:t>
            </w:r>
          </w:p>
        </w:tc>
        <w:tc>
          <w:tcPr>
            <w:tcW w:type="dxa" w:w="37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Porcentaje de energía proveniente de grasas trans.</w:t>
            </w:r>
          </w:p>
        </w:tc>
        <w:tc>
          <w:tcPr>
            <w:tcW w:type="dxa" w:w="1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Sí*</w:t>
            </w:r>
          </w:p>
        </w:tc>
      </w:tr>
      <w:tr>
        <w:tc>
          <w:tcPr>
            <w:tcW w:type="dxa" w:w="22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has_sweeteners</w:t>
            </w:r>
          </w:p>
        </w:tc>
        <w:tc>
          <w:tcPr>
            <w:tcW w:type="dxa" w:w="18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BOOLEAN</w:t>
            </w:r>
          </w:p>
        </w:tc>
        <w:tc>
          <w:tcPr>
            <w:tcW w:type="dxa" w:w="37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Indica si contiene edulcorantes artificiales o naturales no calorícos.</w:t>
            </w:r>
          </w:p>
        </w:tc>
        <w:tc>
          <w:tcPr>
            <w:tcW w:type="dxa" w:w="1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Sí</w:t>
            </w:r>
          </w:p>
        </w:tc>
      </w:tr>
      <w:tr>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seal_sodium</w:t>
            </w:r>
          </w:p>
        </w:tc>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BOOLEAN (computed)</w:t>
            </w:r>
          </w:p>
        </w:tc>
        <w:tc>
          <w:tcPr>
            <w:tcW w:type="dxa" w:w="37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TRUE si sodium_per_100 &gt;= 300 (sólidos) o &gt;= 40 (líquidos).</w:t>
            </w:r>
          </w:p>
        </w:tc>
        <w:tc>
          <w:tcPr>
            <w:tcW w:type="dxa" w:w="1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Auto</w:t>
            </w:r>
          </w:p>
        </w:tc>
      </w:tr>
      <w:tr>
        <w:tc>
          <w:tcPr>
            <w:tcW w:type="dxa" w:w="22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seal_sugars</w:t>
            </w:r>
          </w:p>
        </w:tc>
        <w:tc>
          <w:tcPr>
            <w:tcW w:type="dxa" w:w="18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BOOLEAN (computed)</w:t>
            </w:r>
          </w:p>
        </w:tc>
        <w:tc>
          <w:tcPr>
            <w:tcW w:type="dxa" w:w="37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TRUE si added_sugars_pct &gt;= 10.</w:t>
            </w:r>
          </w:p>
        </w:tc>
        <w:tc>
          <w:tcPr>
            <w:tcW w:type="dxa" w:w="1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Auto</w:t>
            </w:r>
          </w:p>
        </w:tc>
      </w:tr>
      <w:tr>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seal_saturated_fat</w:t>
            </w:r>
          </w:p>
        </w:tc>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BOOLEAN (computed)</w:t>
            </w:r>
          </w:p>
        </w:tc>
        <w:tc>
          <w:tcPr>
            <w:tcW w:type="dxa" w:w="37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TRUE si saturated_fat_pct &gt;= 10.</w:t>
            </w:r>
          </w:p>
        </w:tc>
        <w:tc>
          <w:tcPr>
            <w:tcW w:type="dxa" w:w="1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Auto</w:t>
            </w:r>
          </w:p>
        </w:tc>
      </w:tr>
      <w:tr>
        <w:tc>
          <w:tcPr>
            <w:tcW w:type="dxa" w:w="22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seal_trans_fat</w:t>
            </w:r>
          </w:p>
        </w:tc>
        <w:tc>
          <w:tcPr>
            <w:tcW w:type="dxa" w:w="18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BOOLEAN (computed)</w:t>
            </w:r>
          </w:p>
        </w:tc>
        <w:tc>
          <w:tcPr>
            <w:tcW w:type="dxa" w:w="37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TRUE si trans_fat_pct &gt; 0 (cualquier presencia).</w:t>
            </w:r>
          </w:p>
        </w:tc>
        <w:tc>
          <w:tcPr>
            <w:tcW w:type="dxa" w:w="1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Auto</w:t>
            </w:r>
          </w:p>
        </w:tc>
      </w:tr>
      <w:tr>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seal_sweeteners</w:t>
            </w:r>
          </w:p>
        </w:tc>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BOOLEAN (computed)</w:t>
            </w:r>
          </w:p>
        </w:tc>
        <w:tc>
          <w:tcPr>
            <w:tcW w:type="dxa" w:w="37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TRUE si has_sweeteners = TRUE.</w:t>
            </w:r>
          </w:p>
        </w:tc>
        <w:tc>
          <w:tcPr>
            <w:tcW w:type="dxa" w:w="1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Auto</w:t>
            </w:r>
          </w:p>
        </w:tc>
      </w:tr>
      <w:tr>
        <w:tc>
          <w:tcPr>
            <w:tcW w:type="dxa" w:w="22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product_form</w:t>
            </w:r>
          </w:p>
        </w:tc>
        <w:tc>
          <w:tcPr>
            <w:tcW w:type="dxa" w:w="18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ENUM('solid','liquid')</w:t>
            </w:r>
          </w:p>
        </w:tc>
        <w:tc>
          <w:tcPr>
            <w:tcW w:type="dxa" w:w="37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Forma del producto para aplicar umbrales correctos de sodio.</w:t>
            </w:r>
          </w:p>
        </w:tc>
        <w:tc>
          <w:tcPr>
            <w:tcW w:type="dxa" w:w="1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Sí</w:t>
            </w:r>
          </w:p>
        </w:tc>
      </w:tr>
      <w:tr>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supplier_tech_sheet_url</w:t>
            </w:r>
          </w:p>
        </w:tc>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VARCHAR(500)</w:t>
            </w:r>
          </w:p>
        </w:tc>
        <w:tc>
          <w:tcPr>
            <w:tcW w:type="dxa" w:w="37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URL de la ficha técnica del proveedor (trazabilidad).</w:t>
            </w:r>
          </w:p>
        </w:tc>
        <w:tc>
          <w:tcPr>
            <w:tcW w:type="dxa" w:w="1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Sí*</w:t>
            </w:r>
          </w:p>
        </w:tc>
      </w:tr>
      <w:tr>
        <w:tc>
          <w:tcPr>
            <w:tcW w:type="dxa" w:w="22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last_nutritional_audit</w:t>
            </w:r>
          </w:p>
        </w:tc>
        <w:tc>
          <w:tcPr>
            <w:tcW w:type="dxa" w:w="18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DATETIME</w:t>
            </w:r>
          </w:p>
        </w:tc>
        <w:tc>
          <w:tcPr>
            <w:tcW w:type="dxa" w:w="37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Fecha de última auditoría nutricional del producto.</w:t>
            </w:r>
          </w:p>
        </w:tc>
        <w:tc>
          <w:tcPr>
            <w:tcW w:type="dxa" w:w="1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Sí</w:t>
            </w:r>
          </w:p>
        </w:tc>
      </w:tr>
    </w:tbl>
    <w:p>
      <w:pPr>
        <w:spacing w:after="80"/>
      </w:pPr>
    </w:p>
    <w:p>
      <w:pPr>
        <w:spacing w:after="160"/>
      </w:pPr>
      <w:r>
        <w:rPr>
          <w:rFonts w:ascii="Calibri" w:cs="Calibri" w:eastAsia="Calibri" w:hAnsi="Calibri"/>
          <w:b w:val="false"/>
          <w:bCs w:val="false"/>
          <w:i/>
          <w:iCs/>
          <w:color w:val="6C757D"/>
          <w:sz w:val="20"/>
          <w:szCs w:val="20"/>
        </w:rPr>
        <w:t xml:space="preserve">* Obligatorio para productos empacados. Las preparaciones propias (sánduches, wraps) no llevan sello obligatorio pero deben tener trazabilidad interna.</w:t>
      </w:r>
    </w:p>
    <w:p>
      <w:pPr>
        <w:pStyle w:val="Heading2"/>
      </w:pPr>
      <w:r>
        <w:rPr>
          <w:rFonts w:ascii="Calibri" w:cs="Calibri" w:eastAsia="Calibri" w:hAnsi="Calibri"/>
        </w:rPr>
        <w:t xml:space="preserve">2.2 Umbrales de Clasificación (Resolución 2492 de 2022)</w:t>
      </w:r>
    </w:p>
    <w:p>
      <w:pPr>
        <w:spacing w:after="160"/>
      </w:pPr>
      <w:r>
        <w:rPr>
          <w:rFonts w:ascii="Calibri" w:cs="Calibri" w:eastAsia="Calibri" w:hAnsi="Calibri"/>
          <w:b w:val="false"/>
          <w:bCs w:val="false"/>
          <w:i w:val="false"/>
          <w:iCs w:val="false"/>
          <w:color w:val="212529"/>
          <w:sz w:val="22"/>
          <w:szCs w:val="22"/>
        </w:rPr>
        <w:t xml:space="preserve">El motor de reglas debe aplicar los siguientes umbrales por cada 100g (sólidos) o 100ml (líquidos):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Nutriente Crítico</w:t>
            </w:r>
          </w:p>
        </w:tc>
        <w:tc>
          <w:tcPr>
            <w:tcW w:type="dxa" w:w="234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Umbral Sólidos</w:t>
            </w:r>
          </w:p>
        </w:tc>
        <w:tc>
          <w:tcPr>
            <w:tcW w:type="dxa" w:w="234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Umbral Líquidos</w:t>
            </w:r>
          </w:p>
        </w:tc>
        <w:tc>
          <w:tcPr>
            <w:tcW w:type="dxa" w:w="234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Sello Generado</w:t>
            </w:r>
          </w:p>
        </w:tc>
      </w:tr>
      <w:tr>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Sodio</w:t>
            </w:r>
          </w:p>
        </w:tc>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 300 mg / 100g</w:t>
            </w:r>
          </w:p>
        </w:tc>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 40 mg / 100ml</w:t>
            </w:r>
          </w:p>
        </w:tc>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ALTO EN SODIO</w:t>
            </w:r>
          </w:p>
        </w:tc>
      </w:tr>
      <w:tr>
        <w:tc>
          <w:tcPr>
            <w:tcW w:type="dxa" w:w="23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Azúcares añadidos</w:t>
            </w:r>
          </w:p>
        </w:tc>
        <w:tc>
          <w:tcPr>
            <w:tcW w:type="dxa" w:w="23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 10% energía total</w:t>
            </w:r>
          </w:p>
        </w:tc>
        <w:tc>
          <w:tcPr>
            <w:tcW w:type="dxa" w:w="23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 10% energía total</w:t>
            </w:r>
          </w:p>
        </w:tc>
        <w:tc>
          <w:tcPr>
            <w:tcW w:type="dxa" w:w="23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ALTO EN AZÚCARES</w:t>
            </w:r>
          </w:p>
        </w:tc>
      </w:tr>
      <w:tr>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Grasas saturadas</w:t>
            </w:r>
          </w:p>
        </w:tc>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 10% energía total</w:t>
            </w:r>
          </w:p>
        </w:tc>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 10% energía total</w:t>
            </w:r>
          </w:p>
        </w:tc>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ALTO EN GRASAS SATURADAS</w:t>
            </w:r>
          </w:p>
        </w:tc>
      </w:tr>
      <w:tr>
        <w:tc>
          <w:tcPr>
            <w:tcW w:type="dxa" w:w="23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Grasas trans</w:t>
            </w:r>
          </w:p>
        </w:tc>
        <w:tc>
          <w:tcPr>
            <w:tcW w:type="dxa" w:w="23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Cualquier presencia</w:t>
            </w:r>
          </w:p>
        </w:tc>
        <w:tc>
          <w:tcPr>
            <w:tcW w:type="dxa" w:w="23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Cualquier presencia</w:t>
            </w:r>
          </w:p>
        </w:tc>
        <w:tc>
          <w:tcPr>
            <w:tcW w:type="dxa" w:w="23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ALTO EN GRASAS TRANS</w:t>
            </w:r>
          </w:p>
        </w:tc>
      </w:tr>
      <w:tr>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Edulcorantes</w:t>
            </w:r>
          </w:p>
        </w:tc>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Presencia confirmada</w:t>
            </w:r>
          </w:p>
        </w:tc>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Presencia confirmada</w:t>
            </w:r>
          </w:p>
        </w:tc>
        <w:tc>
          <w:tcPr>
            <w:tcW w:type="dxa" w:w="23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CONTIENE EDULCORANTES</w:t>
            </w:r>
          </w:p>
        </w:tc>
      </w:tr>
    </w:tbl>
    <w:p>
      <w:pPr>
        <w:spacing w:after="160"/>
      </w:pPr>
    </w:p>
    <w:p>
      <w:pPr>
        <w:pStyle w:val="Heading2"/>
      </w:pPr>
      <w:r>
        <w:rPr>
          <w:rFonts w:ascii="Calibri" w:cs="Calibri" w:eastAsia="Calibri" w:hAnsi="Calibri"/>
        </w:rPr>
        <w:t xml:space="preserve">2.3 Lógica de Clasificación Automática</w:t>
      </w:r>
    </w:p>
    <w:p>
      <w:pPr>
        <w:spacing w:after="160"/>
      </w:pPr>
      <w:r>
        <w:rPr>
          <w:rFonts w:ascii="Calibri" w:cs="Calibri" w:eastAsia="Calibri" w:hAnsi="Calibri"/>
          <w:b w:val="false"/>
          <w:bCs w:val="false"/>
          <w:i w:val="false"/>
          <w:iCs w:val="false"/>
          <w:color w:val="212529"/>
          <w:sz w:val="22"/>
          <w:szCs w:val="22"/>
        </w:rPr>
        <w:t xml:space="preserve">Implementar un servicio (NutritionalClassifier) que se ejecute automáticamente al crear o actualizar un producto. La lógica en pseudocódigo:</w:t>
      </w:r>
    </w:p>
    <w:p>
      <w:pPr>
        <w:spacing w:after="160"/>
      </w:pPr>
      <w:r>
        <w:rPr>
          <w:rFonts w:ascii="Calibri" w:cs="Calibri" w:eastAsia="Calibri" w:hAnsi="Calibri"/>
          <w:b/>
          <w:bCs/>
          <w:i w:val="false"/>
          <w:iCs w:val="false"/>
          <w:color w:val="212529"/>
          <w:sz w:val="20"/>
          <w:szCs w:val="20"/>
        </w:rPr>
        <w:t xml:space="preserve">function classifyProduct(product):</w:t>
      </w:r>
    </w:p>
    <w:p>
      <w:pPr>
        <w:pStyle w:val="ListParagraph"/>
        <w:numPr>
          <w:ilvl w:val="0"/>
          <w:numId w:val="3"/>
        </w:numPr>
      </w:pPr>
      <w:r>
        <w:rPr>
          <w:rFonts w:ascii="Calibri" w:cs="Calibri" w:eastAsia="Calibri" w:hAnsi="Calibri"/>
          <w:color w:val="212529"/>
          <w:sz w:val="22"/>
          <w:szCs w:val="22"/>
        </w:rPr>
        <w:t xml:space="preserve">Si product.product_form == 'solid' y product.sodium_per_100 &gt;= 300, entonces seal_sodium = TRUE.</w:t>
      </w:r>
    </w:p>
    <w:p>
      <w:pPr>
        <w:pStyle w:val="ListParagraph"/>
        <w:numPr>
          <w:ilvl w:val="0"/>
          <w:numId w:val="3"/>
        </w:numPr>
      </w:pPr>
      <w:r>
        <w:rPr>
          <w:rFonts w:ascii="Calibri" w:cs="Calibri" w:eastAsia="Calibri" w:hAnsi="Calibri"/>
          <w:color w:val="212529"/>
          <w:sz w:val="22"/>
          <w:szCs w:val="22"/>
        </w:rPr>
        <w:t xml:space="preserve">Si product.product_form == 'liquid' y product.sodium_per_100 &gt;= 40, entonces seal_sodium = TRUE.</w:t>
      </w:r>
    </w:p>
    <w:p>
      <w:pPr>
        <w:pStyle w:val="ListParagraph"/>
        <w:numPr>
          <w:ilvl w:val="0"/>
          <w:numId w:val="3"/>
        </w:numPr>
      </w:pPr>
      <w:r>
        <w:rPr>
          <w:rFonts w:ascii="Calibri" w:cs="Calibri" w:eastAsia="Calibri" w:hAnsi="Calibri"/>
          <w:color w:val="212529"/>
          <w:sz w:val="22"/>
          <w:szCs w:val="22"/>
        </w:rPr>
        <w:t xml:space="preserve">Si product.added_sugars_pct &gt;= 10, entonces seal_sugars = TRUE.</w:t>
      </w:r>
    </w:p>
    <w:p>
      <w:pPr>
        <w:pStyle w:val="ListParagraph"/>
        <w:numPr>
          <w:ilvl w:val="0"/>
          <w:numId w:val="3"/>
        </w:numPr>
      </w:pPr>
      <w:r>
        <w:rPr>
          <w:rFonts w:ascii="Calibri" w:cs="Calibri" w:eastAsia="Calibri" w:hAnsi="Calibri"/>
          <w:color w:val="212529"/>
          <w:sz w:val="22"/>
          <w:szCs w:val="22"/>
        </w:rPr>
        <w:t xml:space="preserve">Si product.saturated_fat_pct &gt;= 10, entonces seal_saturated_fat = TRUE.</w:t>
      </w:r>
    </w:p>
    <w:p>
      <w:pPr>
        <w:pStyle w:val="ListParagraph"/>
        <w:numPr>
          <w:ilvl w:val="0"/>
          <w:numId w:val="3"/>
        </w:numPr>
      </w:pPr>
      <w:r>
        <w:rPr>
          <w:rFonts w:ascii="Calibri" w:cs="Calibri" w:eastAsia="Calibri" w:hAnsi="Calibri"/>
          <w:color w:val="212529"/>
          <w:sz w:val="22"/>
          <w:szCs w:val="22"/>
        </w:rPr>
        <w:t xml:space="preserve">Si product.trans_fat_pct &gt; 0, entonces seal_trans_fat = TRUE.</w:t>
      </w:r>
    </w:p>
    <w:p>
      <w:pPr>
        <w:pStyle w:val="ListParagraph"/>
        <w:numPr>
          <w:ilvl w:val="0"/>
          <w:numId w:val="3"/>
        </w:numPr>
      </w:pPr>
      <w:r>
        <w:rPr>
          <w:rFonts w:ascii="Calibri" w:cs="Calibri" w:eastAsia="Calibri" w:hAnsi="Calibri"/>
          <w:color w:val="212529"/>
          <w:sz w:val="22"/>
          <w:szCs w:val="22"/>
        </w:rPr>
        <w:t xml:space="preserve">Si product.has_sweeteners == TRUE, entonces seal_sweeteners = TRUE.</w:t>
      </w:r>
    </w:p>
    <w:p>
      <w:pPr>
        <w:pStyle w:val="ListParagraph"/>
        <w:numPr>
          <w:ilvl w:val="0"/>
          <w:numId w:val="3"/>
        </w:numPr>
      </w:pPr>
      <w:r>
        <w:rPr>
          <w:rFonts w:ascii="Calibri" w:cs="Calibri" w:eastAsia="Calibri" w:hAnsi="Calibri"/>
          <w:color w:val="212529"/>
          <w:sz w:val="22"/>
          <w:szCs w:val="22"/>
        </w:rPr>
        <w:t xml:space="preserve">Si ningún sello es TRUE, entonces nutritional_level = 'level_1'. De lo contrario, nutritional_level = 'level_2'.</w:t>
      </w:r>
    </w:p>
    <w:p>
      <w:pPr>
        <w:pBdr>
          <w:left w:val="single" w:color="E63946" w:sz="12" w:space="8"/>
        </w:pBdr>
        <w:spacing w:after="120" w:before="120"/>
        <w:ind w:left="240"/>
      </w:pPr>
      <w:r>
        <w:rPr>
          <w:rFonts w:ascii="Calibri" w:cs="Calibri" w:eastAsia="Calibri" w:hAnsi="Calibri"/>
          <w:b/>
          <w:bCs/>
          <w:color w:val="E63946"/>
          <w:sz w:val="22"/>
          <w:szCs w:val="22"/>
        </w:rPr>
        <w:t xml:space="preserve">⚠ </w:t>
      </w:r>
      <w:r>
        <w:rPr>
          <w:rFonts w:ascii="Calibri" w:cs="Calibri" w:eastAsia="Calibri" w:hAnsi="Calibri"/>
          <w:color w:val="E63946"/>
          <w:sz w:val="22"/>
          <w:szCs w:val="22"/>
        </w:rPr>
        <w:t xml:space="preserve">CRÍTICO: Los campos de sello (seal_*) deben ser computados y no editables manualmente para evitar manipulación. Siempre deben derivarse de los valores nutricionales cargados.</w:t>
      </w:r>
    </w:p>
    <w:p>
      <w:pPr>
        <w:pStyle w:val="Heading2"/>
      </w:pPr>
      <w:r>
        <w:rPr>
          <w:rFonts w:ascii="Calibri" w:cs="Calibri" w:eastAsia="Calibri" w:hAnsi="Calibri"/>
        </w:rPr>
        <w:t xml:space="preserve">2.4 Entidad: Lonchera (lunchbox)</w:t>
      </w:r>
    </w:p>
    <w:p>
      <w:pPr>
        <w:spacing w:after="160"/>
      </w:pPr>
      <w:r>
        <w:rPr>
          <w:rFonts w:ascii="Calibri" w:cs="Calibri" w:eastAsia="Calibri" w:hAnsi="Calibri"/>
          <w:b w:val="false"/>
          <w:bCs w:val="false"/>
          <w:i w:val="false"/>
          <w:iCs w:val="false"/>
          <w:color w:val="212529"/>
          <w:sz w:val="22"/>
          <w:szCs w:val="22"/>
        </w:rPr>
        <w:t xml:space="preserve">Cada lonchera es una composición de productos. Agregar los siguientes campos calculados: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22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456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2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is_seal_free</w:t>
            </w:r>
          </w:p>
        </w:tc>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BOOLEAN (computed)</w:t>
            </w:r>
          </w:p>
        </w:tc>
        <w:tc>
          <w:tcPr>
            <w:tcW w:type="dxa" w:w="45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TRUE solo si TODOS los productos de la lonchera tienen nutritional_level = 'level_1'.</w:t>
            </w:r>
          </w:p>
        </w:tc>
      </w:tr>
      <w:tr>
        <w:tc>
          <w:tcPr>
            <w:tcW w:type="dxa" w:w="2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has_sweetener_alert</w:t>
            </w:r>
          </w:p>
        </w:tc>
        <w:tc>
          <w:tcPr>
            <w:tcW w:type="dxa" w:w="22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BOOLEAN (computed)</w:t>
            </w:r>
          </w:p>
        </w:tc>
        <w:tc>
          <w:tcPr>
            <w:tcW w:type="dxa" w:w="45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TRUE si ALGUN producto contiene edulcorantes (crítico para menores).</w:t>
            </w:r>
          </w:p>
        </w:tc>
      </w:tr>
      <w:tr>
        <w:tc>
          <w:tcPr>
            <w:tcW w:type="dxa" w:w="2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seal_summary</w:t>
            </w:r>
          </w:p>
        </w:tc>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JSON</w:t>
            </w:r>
          </w:p>
        </w:tc>
        <w:tc>
          <w:tcPr>
            <w:tcW w:type="dxa" w:w="45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Resumen de sellos presentes: { sodium: 0, sugars: 1, saturated_fat: 0, ... }.</w:t>
            </w:r>
          </w:p>
        </w:tc>
      </w:tr>
      <w:tr>
        <w:tc>
          <w:tcPr>
            <w:tcW w:type="dxa" w:w="2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compliance_score</w:t>
            </w:r>
          </w:p>
        </w:tc>
        <w:tc>
          <w:tcPr>
            <w:tcW w:type="dxa" w:w="22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INTEGER (0-100)</w:t>
            </w:r>
          </w:p>
        </w:tc>
        <w:tc>
          <w:tcPr>
            <w:tcW w:type="dxa" w:w="45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Puntaje de cumplimiento: 100 = libre de sellos, decrece por cada sello presente.</w:t>
            </w:r>
          </w:p>
        </w:tc>
      </w:tr>
    </w:tbl>
    <w:p>
      <w:pPr>
        <w:spacing w:after="160"/>
      </w:pPr>
    </w:p>
    <w:p>
      <w:pPr>
        <w:pStyle w:val="Heading2"/>
      </w:pPr>
      <w:r>
        <w:rPr>
          <w:rFonts w:ascii="Calibri" w:cs="Calibri" w:eastAsia="Calibri" w:hAnsi="Calibri"/>
        </w:rPr>
        <w:t xml:space="preserve">2.5 API Endpoints Requeridos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Método</w:t>
            </w:r>
          </w:p>
        </w:tc>
        <w:tc>
          <w:tcPr>
            <w:tcW w:type="dxa" w:w="40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436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1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GET</w:t>
            </w:r>
          </w:p>
        </w:tc>
        <w:tc>
          <w:tcPr>
            <w:tcW w:type="dxa" w:w="4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/api/products?level=1</w:t>
            </w:r>
          </w:p>
        </w:tc>
        <w:tc>
          <w:tcPr>
            <w:tcW w:type="dxa" w:w="43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Listar productos Nivel 1 (sin sellos) para filtro 'Libre de Sellos'.</w:t>
            </w:r>
          </w:p>
        </w:tc>
      </w:tr>
      <w:tr>
        <w:tc>
          <w:tcPr>
            <w:tcW w:type="dxa" w:w="1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GET</w:t>
            </w:r>
          </w:p>
        </w:tc>
        <w:tc>
          <w:tcPr>
            <w:tcW w:type="dxa" w:w="4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/api/products/{id}/seals</w:t>
            </w:r>
          </w:p>
        </w:tc>
        <w:tc>
          <w:tcPr>
            <w:tcW w:type="dxa" w:w="43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Obtener detalle de sellos de un producto específico.</w:t>
            </w:r>
          </w:p>
        </w:tc>
      </w:tr>
      <w:tr>
        <w:tc>
          <w:tcPr>
            <w:tcW w:type="dxa" w:w="1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GET</w:t>
            </w:r>
          </w:p>
        </w:tc>
        <w:tc>
          <w:tcPr>
            <w:tcW w:type="dxa" w:w="4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/api/lunchboxes?seal_free=true</w:t>
            </w:r>
          </w:p>
        </w:tc>
        <w:tc>
          <w:tcPr>
            <w:tcW w:type="dxa" w:w="43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Listar loncheras 100% libres de sellos.</w:t>
            </w:r>
          </w:p>
        </w:tc>
      </w:tr>
      <w:tr>
        <w:tc>
          <w:tcPr>
            <w:tcW w:type="dxa" w:w="1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GET</w:t>
            </w:r>
          </w:p>
        </w:tc>
        <w:tc>
          <w:tcPr>
            <w:tcW w:type="dxa" w:w="4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/api/lunchboxes/{id}/compliance</w:t>
            </w:r>
          </w:p>
        </w:tc>
        <w:tc>
          <w:tcPr>
            <w:tcW w:type="dxa" w:w="43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Obtener reporte de cumplimiento de una lonchera.</w:t>
            </w:r>
          </w:p>
        </w:tc>
      </w:tr>
      <w:tr>
        <w:tc>
          <w:tcPr>
            <w:tcW w:type="dxa" w:w="1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POST</w:t>
            </w:r>
          </w:p>
        </w:tc>
        <w:tc>
          <w:tcPr>
            <w:tcW w:type="dxa" w:w="4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/api/products/{id}/audit</w:t>
            </w:r>
          </w:p>
        </w:tc>
        <w:tc>
          <w:tcPr>
            <w:tcW w:type="dxa" w:w="43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Registrar auditoría nutricional de un producto (actualiza valores y recalcula sellos).</w:t>
            </w:r>
          </w:p>
        </w:tc>
      </w:tr>
      <w:tr>
        <w:tc>
          <w:tcPr>
            <w:tcW w:type="dxa" w:w="1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GET</w:t>
            </w:r>
          </w:p>
        </w:tc>
        <w:tc>
          <w:tcPr>
            <w:tcW w:type="dxa" w:w="4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/api/reports/compliance-certificate/{lunchbox_id}</w:t>
            </w:r>
          </w:p>
        </w:tc>
        <w:tc>
          <w:tcPr>
            <w:tcW w:type="dxa" w:w="43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Generar certificado PDF de cumplimiento Ley 2120.</w:t>
            </w:r>
          </w:p>
        </w:tc>
      </w:tr>
      <w:tr>
        <w:tc>
          <w:tcPr>
            <w:tcW w:type="dxa" w:w="1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PATCH</w:t>
            </w:r>
          </w:p>
        </w:tc>
        <w:tc>
          <w:tcPr>
            <w:tcW w:type="dxa" w:w="4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/api/products/{id}/nutritional-data</w:t>
            </w:r>
          </w:p>
        </w:tc>
        <w:tc>
          <w:tcPr>
            <w:tcW w:type="dxa" w:w="43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Actualizar datos nutricionales (dispara reclasificación automática).</w:t>
            </w:r>
          </w:p>
        </w:tc>
      </w:tr>
    </w:tbl>
    <w:p>
      <w:pPr>
        <w:spacing w:after="160"/>
      </w:pPr>
    </w:p>
    <w:p>
      <w:r>
        <w:br w:type="page"/>
      </w:r>
    </w:p>
    <w:p>
      <w:pPr>
        <w:pStyle w:val="Heading1"/>
      </w:pPr>
      <w:r>
        <w:rPr>
          <w:rFonts w:ascii="Calibri" w:cs="Calibri" w:eastAsia="Calibri" w:hAnsi="Calibri"/>
        </w:rPr>
        <w:t xml:space="preserve">3. Módulo Front-End: Interfaz de Usuario y UX</w:t>
      </w:r>
    </w:p>
    <w:p>
      <w:pPr>
        <w:spacing w:after="160"/>
      </w:pPr>
      <w:r>
        <w:rPr>
          <w:rFonts w:ascii="Calibri" w:cs="Calibri" w:eastAsia="Calibri" w:hAnsi="Calibri"/>
          <w:b w:val="false"/>
          <w:bCs w:val="false"/>
          <w:i w:val="false"/>
          <w:iCs w:val="false"/>
          <w:color w:val="212529"/>
          <w:sz w:val="22"/>
          <w:szCs w:val="22"/>
        </w:rPr>
        <w:t xml:space="preserve">La Ley exige información “clara, veraz y oportuna”. En un entorno digital esto se traduce en componentes visuales específicos que no pueden ser opcionales.</w:t>
      </w:r>
    </w:p>
    <w:p>
      <w:pPr>
        <w:pStyle w:val="Heading2"/>
      </w:pPr>
      <w:r>
        <w:rPr>
          <w:rFonts w:ascii="Calibri" w:cs="Calibri" w:eastAsia="Calibri" w:hAnsi="Calibri"/>
        </w:rPr>
        <w:t xml:space="preserve">3.1 Componente: Sello de Advertencia (SealBadge)</w:t>
      </w:r>
    </w:p>
    <w:p>
      <w:pPr>
        <w:spacing w:after="160"/>
      </w:pPr>
      <w:r>
        <w:rPr>
          <w:rFonts w:ascii="Calibri" w:cs="Calibri" w:eastAsia="Calibri" w:hAnsi="Calibri"/>
          <w:b w:val="false"/>
          <w:bCs w:val="false"/>
          <w:i w:val="false"/>
          <w:iCs w:val="false"/>
          <w:color w:val="212529"/>
          <w:sz w:val="22"/>
          <w:szCs w:val="22"/>
        </w:rPr>
        <w:t xml:space="preserve">Crear un componente reutilizable que renderice los sellos oficiales de advertencia. Requerimientos:</w:t>
      </w:r>
    </w:p>
    <w:p>
      <w:pPr>
        <w:pStyle w:val="ListParagraph"/>
        <w:numPr>
          <w:ilvl w:val="0"/>
          <w:numId w:val="4"/>
        </w:numPr>
      </w:pPr>
      <w:r>
        <w:rPr>
          <w:rFonts w:ascii="Calibri" w:cs="Calibri" w:eastAsia="Calibri" w:hAnsi="Calibri"/>
          <w:color w:val="212529"/>
          <w:sz w:val="22"/>
          <w:szCs w:val="22"/>
        </w:rPr>
        <w:t xml:space="preserve">Forma octogonal negra con texto blanco, siguiendo el diseño oficial de la Resolución 2492.</w:t>
      </w:r>
    </w:p>
    <w:p>
      <w:pPr>
        <w:pStyle w:val="ListParagraph"/>
        <w:numPr>
          <w:ilvl w:val="0"/>
          <w:numId w:val="4"/>
        </w:numPr>
      </w:pPr>
      <w:r>
        <w:rPr>
          <w:rFonts w:ascii="Calibri" w:cs="Calibri" w:eastAsia="Calibri" w:hAnsi="Calibri"/>
          <w:color w:val="212529"/>
          <w:sz w:val="22"/>
          <w:szCs w:val="22"/>
        </w:rPr>
        <w:t xml:space="preserve">Tamaño mínimo visible: 32px de diámetro en móvil, 48px en escritorio.</w:t>
      </w:r>
    </w:p>
    <w:p>
      <w:pPr>
        <w:pStyle w:val="ListParagraph"/>
        <w:numPr>
          <w:ilvl w:val="0"/>
          <w:numId w:val="4"/>
        </w:numPr>
      </w:pPr>
      <w:r>
        <w:rPr>
          <w:rFonts w:ascii="Calibri" w:cs="Calibri" w:eastAsia="Calibri" w:hAnsi="Calibri"/>
          <w:color w:val="212529"/>
          <w:sz w:val="22"/>
          <w:szCs w:val="22"/>
        </w:rPr>
        <w:t xml:space="preserve">Textos estandarizados: “ALTO EN SODIO”, “ALTO EN AZÚCARES”, “ALTO EN GRASAS SATURADAS”, “ALTO EN GRASAS TRANS”, “CONTIENE EDULCORANTES”.</w:t>
      </w:r>
    </w:p>
    <w:p>
      <w:pPr>
        <w:pStyle w:val="ListParagraph"/>
        <w:numPr>
          <w:ilvl w:val="0"/>
          <w:numId w:val="4"/>
        </w:numPr>
      </w:pPr>
      <w:r>
        <w:rPr>
          <w:rFonts w:ascii="Calibri" w:cs="Calibri" w:eastAsia="Calibri" w:hAnsi="Calibri"/>
          <w:color w:val="212529"/>
          <w:sz w:val="22"/>
          <w:szCs w:val="22"/>
        </w:rPr>
        <w:t xml:space="preserve">Tooltip o modal informativo al hacer clic/tap, explicando qué significa cada sello para la salud infantil.</w:t>
      </w:r>
    </w:p>
    <w:p>
      <w:pPr>
        <w:pStyle w:val="ListParagraph"/>
        <w:numPr>
          <w:ilvl w:val="0"/>
          <w:numId w:val="4"/>
        </w:numPr>
      </w:pPr>
      <w:r>
        <w:rPr>
          <w:rFonts w:ascii="Calibri" w:cs="Calibri" w:eastAsia="Calibri" w:hAnsi="Calibri"/>
          <w:color w:val="212529"/>
          <w:sz w:val="22"/>
          <w:szCs w:val="22"/>
        </w:rPr>
        <w:t xml:space="preserve">Los sellos deben mostrarse en la tarjeta del producto, en el detalle del producto y en el resumen de la lonchera.</w:t>
      </w:r>
    </w:p>
    <w:p>
      <w:pPr>
        <w:pStyle w:val="Heading2"/>
      </w:pPr>
      <w:r>
        <w:rPr>
          <w:rFonts w:ascii="Calibri" w:cs="Calibri" w:eastAsia="Calibri" w:hAnsi="Calibri"/>
        </w:rPr>
        <w:t xml:space="preserve">3.2 Componente: Filtro “Libre de Sellos”</w:t>
      </w:r>
    </w:p>
    <w:p>
      <w:pPr>
        <w:spacing w:after="160"/>
      </w:pPr>
      <w:r>
        <w:rPr>
          <w:rFonts w:ascii="Calibri" w:cs="Calibri" w:eastAsia="Calibri" w:hAnsi="Calibri"/>
          <w:b w:val="false"/>
          <w:bCs w:val="false"/>
          <w:i w:val="false"/>
          <w:iCs w:val="false"/>
          <w:color w:val="212529"/>
          <w:sz w:val="22"/>
          <w:szCs w:val="22"/>
        </w:rPr>
        <w:t xml:space="preserve">Implementar un filtro/insignia prominente en las vistas de catálogo y armado de lonchera:</w:t>
      </w:r>
    </w:p>
    <w:p>
      <w:pPr>
        <w:pStyle w:val="ListParagraph"/>
        <w:numPr>
          <w:ilvl w:val="0"/>
          <w:numId w:val="3"/>
        </w:numPr>
      </w:pPr>
      <w:r>
        <w:rPr>
          <w:rFonts w:ascii="Calibri" w:cs="Calibri" w:eastAsia="Calibri" w:hAnsi="Calibri"/>
          <w:color w:val="212529"/>
          <w:sz w:val="22"/>
          <w:szCs w:val="22"/>
        </w:rPr>
        <w:t xml:space="preserve">Toggle/switch visible en la parte superior de la vista de productos con la etiqueta “Libre de Sellos – Ley 2120”.</w:t>
      </w:r>
    </w:p>
    <w:p>
      <w:pPr>
        <w:pStyle w:val="ListParagraph"/>
        <w:numPr>
          <w:ilvl w:val="0"/>
          <w:numId w:val="3"/>
        </w:numPr>
      </w:pPr>
      <w:r>
        <w:rPr>
          <w:rFonts w:ascii="Calibri" w:cs="Calibri" w:eastAsia="Calibri" w:hAnsi="Calibri"/>
          <w:color w:val="212529"/>
          <w:sz w:val="22"/>
          <w:szCs w:val="22"/>
        </w:rPr>
        <w:t xml:space="preserve">Al activarse, filtra y muestra únicamente productos con nutritional_level = 'level_1'.</w:t>
      </w:r>
    </w:p>
    <w:p>
      <w:pPr>
        <w:pStyle w:val="ListParagraph"/>
        <w:numPr>
          <w:ilvl w:val="0"/>
          <w:numId w:val="3"/>
        </w:numPr>
      </w:pPr>
      <w:r>
        <w:rPr>
          <w:rFonts w:ascii="Calibri" w:cs="Calibri" w:eastAsia="Calibri" w:hAnsi="Calibri"/>
          <w:color w:val="212529"/>
          <w:sz w:val="22"/>
          <w:szCs w:val="22"/>
        </w:rPr>
        <w:t xml:space="preserve">Insignia verde con icono de check en productos y loncheras que cumplan al 100%.</w:t>
      </w:r>
    </w:p>
    <w:p>
      <w:pPr>
        <w:pStyle w:val="ListParagraph"/>
        <w:numPr>
          <w:ilvl w:val="0"/>
          <w:numId w:val="3"/>
        </w:numPr>
      </w:pPr>
      <w:r>
        <w:rPr>
          <w:rFonts w:ascii="Calibri" w:cs="Calibri" w:eastAsia="Calibri" w:hAnsi="Calibri"/>
          <w:color w:val="212529"/>
          <w:sz w:val="22"/>
          <w:szCs w:val="22"/>
        </w:rPr>
        <w:t xml:space="preserve">Categoría especial en el menú: “Lonchera Ley 2120” que muestra solo opciones 100% libres de sellos y edulcorantes.</w:t>
      </w:r>
    </w:p>
    <w:p>
      <w:pPr>
        <w:pStyle w:val="Heading2"/>
      </w:pPr>
      <w:r>
        <w:rPr>
          <w:rFonts w:ascii="Calibri" w:cs="Calibri" w:eastAsia="Calibri" w:hAnsi="Calibri"/>
        </w:rPr>
        <w:t xml:space="preserve">3.3 Componente: Alerta de Edulcorantes</w:t>
      </w:r>
    </w:p>
    <w:p>
      <w:pPr>
        <w:pBdr>
          <w:left w:val="single" w:color="E63946" w:sz="12" w:space="8"/>
        </w:pBdr>
        <w:spacing w:after="120" w:before="120"/>
        <w:ind w:left="240"/>
      </w:pPr>
      <w:r>
        <w:rPr>
          <w:rFonts w:ascii="Calibri" w:cs="Calibri" w:eastAsia="Calibri" w:hAnsi="Calibri"/>
          <w:b/>
          <w:bCs/>
          <w:color w:val="E63946"/>
          <w:sz w:val="22"/>
          <w:szCs w:val="22"/>
        </w:rPr>
        <w:t xml:space="preserve">⚠ </w:t>
      </w:r>
      <w:r>
        <w:rPr>
          <w:rFonts w:ascii="Calibri" w:cs="Calibri" w:eastAsia="Calibri" w:hAnsi="Calibri"/>
          <w:color w:val="E63946"/>
          <w:sz w:val="22"/>
          <w:szCs w:val="22"/>
        </w:rPr>
        <w:t xml:space="preserve">PRIORIDAD ALTA: La ley recomienda evitar edulcorantes en la infancia. Muchos productos “Light” o “Fit” los contienen.</w:t>
      </w:r>
    </w:p>
    <w:p>
      <w:pPr>
        <w:spacing w:after="160"/>
      </w:pPr>
      <w:r>
        <w:rPr>
          <w:rFonts w:ascii="Calibri" w:cs="Calibri" w:eastAsia="Calibri" w:hAnsi="Calibri"/>
          <w:b w:val="false"/>
          <w:bCs w:val="false"/>
          <w:i w:val="false"/>
          <w:iCs w:val="false"/>
          <w:color w:val="212529"/>
          <w:sz w:val="22"/>
          <w:szCs w:val="22"/>
        </w:rPr>
        <w:t xml:space="preserve">Implementar una alerta específica cuando una lonchera incluya bebidas o postres con edulcorantes:</w:t>
      </w:r>
    </w:p>
    <w:p>
      <w:pPr>
        <w:pStyle w:val="ListParagraph"/>
        <w:numPr>
          <w:ilvl w:val="0"/>
          <w:numId w:val="3"/>
        </w:numPr>
      </w:pPr>
      <w:r>
        <w:rPr>
          <w:rFonts w:ascii="Calibri" w:cs="Calibri" w:eastAsia="Calibri" w:hAnsi="Calibri"/>
          <w:color w:val="212529"/>
          <w:sz w:val="22"/>
          <w:szCs w:val="22"/>
        </w:rPr>
        <w:t xml:space="preserve">Banner amarillo en el resumen de lonchera: “Esta lonchera contiene productos con edulcorantes. La Ley 2120 recomienda evitar su consumo en menores.”</w:t>
      </w:r>
    </w:p>
    <w:p>
      <w:pPr>
        <w:pStyle w:val="ListParagraph"/>
        <w:numPr>
          <w:ilvl w:val="0"/>
          <w:numId w:val="3"/>
        </w:numPr>
      </w:pPr>
      <w:r>
        <w:rPr>
          <w:rFonts w:ascii="Calibri" w:cs="Calibri" w:eastAsia="Calibri" w:hAnsi="Calibri"/>
          <w:color w:val="212529"/>
          <w:sz w:val="22"/>
          <w:szCs w:val="22"/>
        </w:rPr>
        <w:t xml:space="preserve">Icono de advertencia junto al producto específico que contiene edulcorantes.</w:t>
      </w:r>
    </w:p>
    <w:p>
      <w:pPr>
        <w:pStyle w:val="ListParagraph"/>
        <w:numPr>
          <w:ilvl w:val="0"/>
          <w:numId w:val="3"/>
        </w:numPr>
      </w:pPr>
      <w:r>
        <w:rPr>
          <w:rFonts w:ascii="Calibri" w:cs="Calibri" w:eastAsia="Calibri" w:hAnsi="Calibri"/>
          <w:color w:val="212529"/>
          <w:sz w:val="22"/>
          <w:szCs w:val="22"/>
        </w:rPr>
        <w:t xml:space="preserve">Opción de “Sustituir por alternativa sin edulcorantes” con un clic.</w:t>
      </w:r>
    </w:p>
    <w:p>
      <w:pPr>
        <w:pStyle w:val="Heading2"/>
      </w:pPr>
      <w:r>
        <w:rPr>
          <w:rFonts w:ascii="Calibri" w:cs="Calibri" w:eastAsia="Calibri" w:hAnsi="Calibri"/>
        </w:rPr>
        <w:t xml:space="preserve">3.4 Visualización de Imágenes de Productos</w:t>
      </w:r>
    </w:p>
    <w:p>
      <w:pPr>
        <w:spacing w:after="160"/>
      </w:pPr>
      <w:r>
        <w:rPr>
          <w:rFonts w:ascii="Calibri" w:cs="Calibri" w:eastAsia="Calibri" w:hAnsi="Calibri"/>
          <w:b w:val="false"/>
          <w:bCs w:val="false"/>
          <w:i w:val="false"/>
          <w:iCs w:val="false"/>
          <w:color w:val="212529"/>
          <w:sz w:val="22"/>
          <w:szCs w:val="22"/>
        </w:rPr>
        <w:t xml:space="preserve">Artículo 5 de la Ley 2120 (Etiquetado Frontal de Advertencia): si se vende un producto empacado que tiene sellos físicos, la foto en la plataforma debe mostrar esos sellos claramente.</w:t>
      </w:r>
    </w:p>
    <w:p>
      <w:pPr>
        <w:pStyle w:val="ListParagraph"/>
        <w:numPr>
          <w:ilvl w:val="0"/>
          <w:numId w:val="3"/>
        </w:numPr>
      </w:pPr>
      <w:r>
        <w:rPr>
          <w:rFonts w:ascii="Calibri" w:cs="Calibri" w:eastAsia="Calibri" w:hAnsi="Calibri"/>
          <w:color w:val="212529"/>
          <w:sz w:val="22"/>
          <w:szCs w:val="22"/>
        </w:rPr>
        <w:t xml:space="preserve">Prohibido usar fotos de marketing que oculten la cara frontal del empaque.</w:t>
      </w:r>
    </w:p>
    <w:p>
      <w:pPr>
        <w:pStyle w:val="ListParagraph"/>
        <w:numPr>
          <w:ilvl w:val="0"/>
          <w:numId w:val="3"/>
        </w:numPr>
      </w:pPr>
      <w:r>
        <w:rPr>
          <w:rFonts w:ascii="Calibri" w:cs="Calibri" w:eastAsia="Calibri" w:hAnsi="Calibri"/>
          <w:color w:val="212529"/>
          <w:sz w:val="22"/>
          <w:szCs w:val="22"/>
        </w:rPr>
        <w:t xml:space="preserve">Las imágenes de producto deben mostrar la cara donde están los sellos visibles.</w:t>
      </w:r>
    </w:p>
    <w:p>
      <w:pPr>
        <w:pStyle w:val="ListParagraph"/>
        <w:numPr>
          <w:ilvl w:val="0"/>
          <w:numId w:val="3"/>
        </w:numPr>
      </w:pPr>
      <w:r>
        <w:rPr>
          <w:rFonts w:ascii="Calibri" w:cs="Calibri" w:eastAsia="Calibri" w:hAnsi="Calibri"/>
          <w:color w:val="212529"/>
          <w:sz w:val="22"/>
          <w:szCs w:val="22"/>
        </w:rPr>
        <w:t xml:space="preserve">Si no se dispone de foto con sellos, superponer los sellos digitales (SealBadge) sobre la imagen.</w:t>
      </w:r>
    </w:p>
    <w:p>
      <w:pPr>
        <w:pStyle w:val="Heading2"/>
      </w:pPr>
      <w:r>
        <w:rPr>
          <w:rFonts w:ascii="Calibri" w:cs="Calibri" w:eastAsia="Calibri" w:hAnsi="Calibri"/>
        </w:rPr>
        <w:t xml:space="preserve">3.5 Mapa de Pantallas Afectadas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Pantalla</w:t>
            </w:r>
          </w:p>
        </w:tc>
        <w:tc>
          <w:tcPr>
            <w:tcW w:type="dxa" w:w="624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Cambio Requerido</w:t>
            </w:r>
          </w:p>
        </w:tc>
      </w:tr>
      <w:tr>
        <w:tc>
          <w:tcPr>
            <w:tcW w:type="dxa" w:w="312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Catálogo de productos</w:t>
            </w:r>
          </w:p>
        </w:tc>
        <w:tc>
          <w:tcPr>
            <w:tcW w:type="dxa" w:w="62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Mostrar sellos en cada tarjeta. Agregar filtro “Libre de Sellos”.</w:t>
            </w:r>
          </w:p>
        </w:tc>
      </w:tr>
      <w:tr>
        <w:tc>
          <w:tcPr>
            <w:tcW w:type="dxa" w:w="312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Detalle de producto</w:t>
            </w:r>
          </w:p>
        </w:tc>
        <w:tc>
          <w:tcPr>
            <w:tcW w:type="dxa" w:w="62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Sección de sellos con tooltips. Imagen con sellos visibles. Información nutricional completa.</w:t>
            </w:r>
          </w:p>
        </w:tc>
      </w:tr>
      <w:tr>
        <w:tc>
          <w:tcPr>
            <w:tcW w:type="dxa" w:w="312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Constructor de lonchera</w:t>
            </w:r>
          </w:p>
        </w:tc>
        <w:tc>
          <w:tcPr>
            <w:tcW w:type="dxa" w:w="62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Indicador en tiempo real del estado de cumplimiento. Alerta de edulcorantes.</w:t>
            </w:r>
          </w:p>
        </w:tc>
      </w:tr>
      <w:tr>
        <w:tc>
          <w:tcPr>
            <w:tcW w:type="dxa" w:w="312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Resumen / Checkout</w:t>
            </w:r>
          </w:p>
        </w:tc>
        <w:tc>
          <w:tcPr>
            <w:tcW w:type="dxa" w:w="62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Resumen de sellos de la lonchera. Compliance score. Alerta de edulcorantes si aplica.</w:t>
            </w:r>
          </w:p>
        </w:tc>
      </w:tr>
      <w:tr>
        <w:tc>
          <w:tcPr>
            <w:tcW w:type="dxa" w:w="312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Historial de pedidos</w:t>
            </w:r>
          </w:p>
        </w:tc>
        <w:tc>
          <w:tcPr>
            <w:tcW w:type="dxa" w:w="624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Badge de cumplimiento por pedido para trazabilidad.</w:t>
            </w:r>
          </w:p>
        </w:tc>
      </w:tr>
      <w:tr>
        <w:tc>
          <w:tcPr>
            <w:tcW w:type="dxa" w:w="312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Panel de administración</w:t>
            </w:r>
          </w:p>
        </w:tc>
        <w:tc>
          <w:tcPr>
            <w:tcW w:type="dxa" w:w="624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Dashboard de productos por nivel. Alertas de productos sin auditar. Gestión de fichas técnicas.</w:t>
            </w:r>
          </w:p>
        </w:tc>
      </w:tr>
    </w:tbl>
    <w:p>
      <w:pPr>
        <w:spacing w:after="160"/>
      </w:pPr>
    </w:p>
    <w:p>
      <w:r>
        <w:br w:type="page"/>
      </w:r>
    </w:p>
    <w:p>
      <w:pPr>
        <w:pStyle w:val="Heading1"/>
      </w:pPr>
      <w:r>
        <w:rPr>
          <w:rFonts w:ascii="Calibri" w:cs="Calibri" w:eastAsia="Calibri" w:hAnsi="Calibri"/>
        </w:rPr>
        <w:t xml:space="preserve">4. Módulo de Restricciones de Marketing y Publicidad</w:t>
      </w:r>
    </w:p>
    <w:p>
      <w:pPr>
        <w:spacing w:after="160"/>
      </w:pPr>
      <w:r>
        <w:rPr>
          <w:rFonts w:ascii="Calibri" w:cs="Calibri" w:eastAsia="Calibri" w:hAnsi="Calibri"/>
          <w:b w:val="false"/>
          <w:bCs w:val="false"/>
          <w:i w:val="false"/>
          <w:iCs w:val="false"/>
          <w:color w:val="212529"/>
          <w:sz w:val="22"/>
          <w:szCs w:val="22"/>
        </w:rPr>
        <w:t xml:space="preserve">La Ley 2120 prohíbe específicamente ciertas estrategias de marketing dirigidas a menores cuando los productos no son saludables. Este módulo requiere tanto controles técnicos como políticas operativas.</w:t>
      </w:r>
    </w:p>
    <w:p>
      <w:pPr>
        <w:pStyle w:val="Heading2"/>
      </w:pPr>
      <w:r>
        <w:rPr>
          <w:rFonts w:ascii="Calibri" w:cs="Calibri" w:eastAsia="Calibri" w:hAnsi="Calibri"/>
        </w:rPr>
        <w:t xml:space="preserve">4.1 Reglas de Negocio para Contenido Publicitario</w:t>
      </w:r>
    </w:p>
    <w:p>
      <w:pPr>
        <w:spacing w:after="160"/>
      </w:pPr>
      <w:r>
        <w:rPr>
          <w:rFonts w:ascii="Calibri" w:cs="Calibri" w:eastAsia="Calibri" w:hAnsi="Calibri"/>
          <w:b w:val="false"/>
          <w:bCs w:val="false"/>
          <w:i w:val="false"/>
          <w:iCs w:val="false"/>
          <w:color w:val="212529"/>
          <w:sz w:val="22"/>
          <w:szCs w:val="22"/>
        </w:rPr>
        <w:t xml:space="preserve">Implementar un motor de validación de contenido que aplique las siguientes reglas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Regla</w:t>
            </w:r>
          </w:p>
        </w:tc>
        <w:tc>
          <w:tcPr>
            <w:tcW w:type="dxa" w:w="28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Condición</w:t>
            </w:r>
          </w:p>
        </w:tc>
        <w:tc>
          <w:tcPr>
            <w:tcW w:type="dxa" w:w="416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Acción del Sistema</w:t>
            </w:r>
          </w:p>
        </w:tc>
      </w:tr>
      <w:tr>
        <w:tc>
          <w:tcPr>
            <w:tcW w:type="dxa" w:w="2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Prohibición de ganchos infantiles</w:t>
            </w:r>
          </w:p>
        </w:tc>
        <w:tc>
          <w:tcPr>
            <w:tcW w:type="dxa" w:w="2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Lonchera contiene AL MENOS UN producto con sello (level_2).</w:t>
            </w:r>
          </w:p>
        </w:tc>
        <w:tc>
          <w:tcPr>
            <w:tcW w:type="dxa" w:w="41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Bloquear el uso de: personajes animados, superhéroes, juguetes, stickers, o cualquier incentivo lúdico en la promoción.</w:t>
            </w:r>
          </w:p>
        </w:tc>
      </w:tr>
      <w:tr>
        <w:tc>
          <w:tcPr>
            <w:tcW w:type="dxa" w:w="2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Prohibición de claims de salud</w:t>
            </w:r>
          </w:p>
        </w:tc>
        <w:tc>
          <w:tcPr>
            <w:tcW w:type="dxa" w:w="28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Producto tiene AL MENOS UN sello activo.</w:t>
            </w:r>
          </w:p>
        </w:tc>
        <w:tc>
          <w:tcPr>
            <w:tcW w:type="dxa" w:w="41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Impedir descripción con palabras: “Nutritivo”, “Saludable”, “Bueno para el crecimiento”, “Natural”, “Fit”, “Light” (si tiene edulcorantes).</w:t>
            </w:r>
          </w:p>
        </w:tc>
      </w:tr>
      <w:tr>
        <w:tc>
          <w:tcPr>
            <w:tcW w:type="dxa" w:w="2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Regla de Oro</w:t>
            </w:r>
          </w:p>
        </w:tc>
        <w:tc>
          <w:tcPr>
            <w:tcW w:type="dxa" w:w="2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Producto tiene sello negro.</w:t>
            </w:r>
          </w:p>
        </w:tc>
        <w:tc>
          <w:tcPr>
            <w:tcW w:type="dxa" w:w="41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No puede tener aval positivo de ninguna clase en la plataforma.</w:t>
            </w:r>
          </w:p>
        </w:tc>
      </w:tr>
    </w:tbl>
    <w:p>
      <w:pPr>
        <w:spacing w:after="160"/>
      </w:pPr>
    </w:p>
    <w:p>
      <w:pPr>
        <w:pStyle w:val="Heading2"/>
      </w:pPr>
      <w:r>
        <w:rPr>
          <w:rFonts w:ascii="Calibri" w:cs="Calibri" w:eastAsia="Calibri" w:hAnsi="Calibri"/>
        </w:rPr>
        <w:t xml:space="preserve">4.2 Implementación Técnica</w:t>
      </w:r>
    </w:p>
    <w:p>
      <w:pPr>
        <w:pStyle w:val="ListParagraph"/>
        <w:numPr>
          <w:ilvl w:val="0"/>
          <w:numId w:val="5"/>
        </w:numPr>
      </w:pPr>
      <w:r>
        <w:rPr>
          <w:rFonts w:ascii="Calibri" w:cs="Calibri" w:eastAsia="Calibri" w:hAnsi="Calibri"/>
          <w:color w:val="212529"/>
          <w:sz w:val="22"/>
          <w:szCs w:val="22"/>
        </w:rPr>
        <w:t xml:space="preserve">Crear un middleware de validación de contenido (ContentComplianceValidator) que intercepte la creación y edición de descripciones de productos y loncheras.</w:t>
      </w:r>
    </w:p>
    <w:p>
      <w:pPr>
        <w:pStyle w:val="ListParagraph"/>
        <w:numPr>
          <w:ilvl w:val="0"/>
          <w:numId w:val="5"/>
        </w:numPr>
      </w:pPr>
      <w:r>
        <w:rPr>
          <w:rFonts w:ascii="Calibri" w:cs="Calibri" w:eastAsia="Calibri" w:hAnsi="Calibri"/>
          <w:color w:val="212529"/>
          <w:sz w:val="22"/>
          <w:szCs w:val="22"/>
        </w:rPr>
        <w:t xml:space="preserve">Mantener una lista negra de términos prohibidos para productos con sellos, configurable desde el panel de administración.</w:t>
      </w:r>
    </w:p>
    <w:p>
      <w:pPr>
        <w:pStyle w:val="ListParagraph"/>
        <w:numPr>
          <w:ilvl w:val="0"/>
          <w:numId w:val="5"/>
        </w:numPr>
      </w:pPr>
      <w:r>
        <w:rPr>
          <w:rFonts w:ascii="Calibri" w:cs="Calibri" w:eastAsia="Calibri" w:hAnsi="Calibri"/>
          <w:color w:val="212529"/>
          <w:sz w:val="22"/>
          <w:szCs w:val="22"/>
        </w:rPr>
        <w:t xml:space="preserve">Validación de imágenes: sistema de revisión (manual o automatizado) que detecte personajes animados o elementos lúdicos en imágenes asociadas a productos con sellos.</w:t>
      </w:r>
    </w:p>
    <w:p>
      <w:pPr>
        <w:pStyle w:val="ListParagraph"/>
        <w:numPr>
          <w:ilvl w:val="0"/>
          <w:numId w:val="5"/>
        </w:numPr>
      </w:pPr>
      <w:r>
        <w:rPr>
          <w:rFonts w:ascii="Calibri" w:cs="Calibri" w:eastAsia="Calibri" w:hAnsi="Calibri"/>
          <w:color w:val="212529"/>
          <w:sz w:val="22"/>
          <w:szCs w:val="22"/>
        </w:rPr>
        <w:t xml:space="preserve">Registro de auditoría (audit_log) de todas las validaciones de contenido: qué se bloqueó, por qué, cuándo, por quién.</w:t>
      </w:r>
    </w:p>
    <w:p>
      <w:pPr>
        <w:pStyle w:val="Heading1"/>
      </w:pPr>
      <w:r>
        <w:rPr>
          <w:rFonts w:ascii="Calibri" w:cs="Calibri" w:eastAsia="Calibri" w:hAnsi="Calibri"/>
        </w:rPr>
        <w:t xml:space="preserve">5. Módulo de Certificación y Trazabilidad</w:t>
      </w:r>
    </w:p>
    <w:p>
      <w:pPr>
        <w:spacing w:after="160"/>
      </w:pPr>
      <w:r>
        <w:rPr>
          <w:rFonts w:ascii="Calibri" w:cs="Calibri" w:eastAsia="Calibri" w:hAnsi="Calibri"/>
          <w:b w:val="false"/>
          <w:bCs w:val="false"/>
          <w:i w:val="false"/>
          <w:iCs w:val="false"/>
          <w:color w:val="212529"/>
          <w:sz w:val="22"/>
          <w:szCs w:val="22"/>
        </w:rPr>
        <w:t xml:space="preserve">Las instituciones educativas son responsables solidarias de la alimentación escolar. Caspete.com debe proveer herramientas de certificación que validen su servicio ante colegios y padres.</w:t>
      </w:r>
    </w:p>
    <w:p>
      <w:pPr>
        <w:pStyle w:val="Heading2"/>
      </w:pPr>
      <w:r>
        <w:rPr>
          <w:rFonts w:ascii="Calibri" w:cs="Calibri" w:eastAsia="Calibri" w:hAnsi="Calibri"/>
        </w:rPr>
        <w:t xml:space="preserve">5.1 Certificado de Cumplimiento</w:t>
      </w:r>
    </w:p>
    <w:p>
      <w:pPr>
        <w:spacing w:after="160"/>
      </w:pPr>
      <w:r>
        <w:rPr>
          <w:rFonts w:ascii="Calibri" w:cs="Calibri" w:eastAsia="Calibri" w:hAnsi="Calibri"/>
          <w:b w:val="false"/>
          <w:bCs w:val="false"/>
          <w:i w:val="false"/>
          <w:iCs w:val="false"/>
          <w:color w:val="212529"/>
          <w:sz w:val="22"/>
          <w:szCs w:val="22"/>
        </w:rPr>
        <w:t xml:space="preserve">Generar un certificado PDF descargable desde la plataforma con el siguiente contenido:</w:t>
      </w:r>
    </w:p>
    <w:p>
      <w:pPr>
        <w:pStyle w:val="ListParagraph"/>
        <w:numPr>
          <w:ilvl w:val="0"/>
          <w:numId w:val="3"/>
        </w:numPr>
      </w:pPr>
      <w:r>
        <w:rPr>
          <w:rFonts w:ascii="Calibri" w:cs="Calibri" w:eastAsia="Calibri" w:hAnsi="Calibri"/>
          <w:color w:val="212529"/>
          <w:sz w:val="22"/>
          <w:szCs w:val="22"/>
        </w:rPr>
        <w:t xml:space="preserve">Nombre del menú o lonchera certificada.</w:t>
      </w:r>
    </w:p>
    <w:p>
      <w:pPr>
        <w:pStyle w:val="ListParagraph"/>
        <w:numPr>
          <w:ilvl w:val="0"/>
          <w:numId w:val="3"/>
        </w:numPr>
      </w:pPr>
      <w:r>
        <w:rPr>
          <w:rFonts w:ascii="Calibri" w:cs="Calibri" w:eastAsia="Calibri" w:hAnsi="Calibri"/>
          <w:color w:val="212529"/>
          <w:sz w:val="22"/>
          <w:szCs w:val="22"/>
        </w:rPr>
        <w:t xml:space="preserve">Fecha de emisión y periodo de validez.</w:t>
      </w:r>
    </w:p>
    <w:p>
      <w:pPr>
        <w:pStyle w:val="ListParagraph"/>
        <w:numPr>
          <w:ilvl w:val="0"/>
          <w:numId w:val="3"/>
        </w:numPr>
      </w:pPr>
      <w:r>
        <w:rPr>
          <w:rFonts w:ascii="Calibri" w:cs="Calibri" w:eastAsia="Calibri" w:hAnsi="Calibri"/>
          <w:color w:val="212529"/>
          <w:sz w:val="22"/>
          <w:szCs w:val="22"/>
        </w:rPr>
        <w:t xml:space="preserve">Listado de productos con su clasificación nutricional (Nivel 1 o Nivel 2).</w:t>
      </w:r>
    </w:p>
    <w:p>
      <w:pPr>
        <w:pStyle w:val="ListParagraph"/>
        <w:numPr>
          <w:ilvl w:val="0"/>
          <w:numId w:val="3"/>
        </w:numPr>
      </w:pPr>
      <w:r>
        <w:rPr>
          <w:rFonts w:ascii="Calibri" w:cs="Calibri" w:eastAsia="Calibri" w:hAnsi="Calibri"/>
          <w:color w:val="212529"/>
          <w:sz w:val="22"/>
          <w:szCs w:val="22"/>
        </w:rPr>
        <w:t xml:space="preserve">Declaración de cumplimiento: “Certificamos que el menú [Nombre] de caspete.com cumple con los lineamientos de la Ley 2120 de 2021 para la promoción de entornos alimentarios saludables, priorizando alimentos reales y minimizando ultraprocesados con etiquetado frontal de advertencia.”</w:t>
      </w:r>
    </w:p>
    <w:p>
      <w:pPr>
        <w:pStyle w:val="ListParagraph"/>
        <w:numPr>
          <w:ilvl w:val="0"/>
          <w:numId w:val="3"/>
        </w:numPr>
      </w:pPr>
      <w:r>
        <w:rPr>
          <w:rFonts w:ascii="Calibri" w:cs="Calibri" w:eastAsia="Calibri" w:hAnsi="Calibri"/>
          <w:color w:val="212529"/>
          <w:sz w:val="22"/>
          <w:szCs w:val="22"/>
        </w:rPr>
        <w:t xml:space="preserve">Código QR de verificación que enlace al detalle en línea.</w:t>
      </w:r>
    </w:p>
    <w:p>
      <w:pPr>
        <w:pStyle w:val="ListParagraph"/>
        <w:numPr>
          <w:ilvl w:val="0"/>
          <w:numId w:val="3"/>
        </w:numPr>
      </w:pPr>
      <w:r>
        <w:rPr>
          <w:rFonts w:ascii="Calibri" w:cs="Calibri" w:eastAsia="Calibri" w:hAnsi="Calibri"/>
          <w:color w:val="212529"/>
          <w:sz w:val="22"/>
          <w:szCs w:val="22"/>
        </w:rPr>
        <w:t xml:space="preserve">Firma digital del responsable de nutrición de caspete.com.</w:t>
      </w:r>
    </w:p>
    <w:p>
      <w:pPr>
        <w:pStyle w:val="Heading2"/>
      </w:pPr>
      <w:r>
        <w:rPr>
          <w:rFonts w:ascii="Calibri" w:cs="Calibri" w:eastAsia="Calibri" w:hAnsi="Calibri"/>
        </w:rPr>
        <w:t xml:space="preserve">5.2 Dashboard de Trazabilidad (Panel Admin)</w:t>
      </w:r>
    </w:p>
    <w:p>
      <w:pPr>
        <w:spacing w:after="160"/>
      </w:pPr>
      <w:r>
        <w:rPr>
          <w:rFonts w:ascii="Calibri" w:cs="Calibri" w:eastAsia="Calibri" w:hAnsi="Calibri"/>
          <w:b w:val="false"/>
          <w:bCs w:val="false"/>
          <w:i w:val="false"/>
          <w:iCs w:val="false"/>
          <w:color w:val="212529"/>
          <w:sz w:val="22"/>
          <w:szCs w:val="22"/>
        </w:rPr>
        <w:t xml:space="preserve">Implementar un panel de control con los siguientes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Indicador</w:t>
            </w:r>
          </w:p>
        </w:tc>
        <w:tc>
          <w:tcPr>
            <w:tcW w:type="dxa" w:w="476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c>
          <w:tcPr>
            <w:tcW w:type="dxa" w:w="20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Frecuencia</w:t>
            </w:r>
          </w:p>
        </w:tc>
      </w:tr>
      <w:tr>
        <w:tc>
          <w:tcPr>
            <w:tcW w:type="dxa" w:w="2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 Productos Nivel 1</w:t>
            </w:r>
          </w:p>
        </w:tc>
        <w:tc>
          <w:tcPr>
            <w:tcW w:type="dxa" w:w="47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Proporción de productos sin sellos en el inventario activo.</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Tiempo real</w:t>
            </w:r>
          </w:p>
        </w:tc>
      </w:tr>
      <w:tr>
        <w:tc>
          <w:tcPr>
            <w:tcW w:type="dxa" w:w="2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 Loncheras Libres de Sellos</w:t>
            </w:r>
          </w:p>
        </w:tc>
        <w:tc>
          <w:tcPr>
            <w:tcW w:type="dxa" w:w="47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Proporción de loncheras configuradas sin ningún sello.</w:t>
            </w:r>
          </w:p>
        </w:tc>
        <w:tc>
          <w:tcPr>
            <w:tcW w:type="dxa" w:w="2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Tiempo real</w:t>
            </w:r>
          </w:p>
        </w:tc>
      </w:tr>
      <w:tr>
        <w:tc>
          <w:tcPr>
            <w:tcW w:type="dxa" w:w="2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Productos sin auditar</w:t>
            </w:r>
          </w:p>
        </w:tc>
        <w:tc>
          <w:tcPr>
            <w:tcW w:type="dxa" w:w="47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Productos cuya última auditoría supere 90 días.</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Diario</w:t>
            </w:r>
          </w:p>
        </w:tc>
      </w:tr>
      <w:tr>
        <w:tc>
          <w:tcPr>
            <w:tcW w:type="dxa" w:w="2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Alertas de edulcorantes</w:t>
            </w:r>
          </w:p>
        </w:tc>
        <w:tc>
          <w:tcPr>
            <w:tcW w:type="dxa" w:w="47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Número de loncheras vendidas con alerta de edulcorantes activa.</w:t>
            </w:r>
          </w:p>
        </w:tc>
        <w:tc>
          <w:tcPr>
            <w:tcW w:type="dxa" w:w="2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Semanal</w:t>
            </w:r>
          </w:p>
        </w:tc>
      </w:tr>
      <w:tr>
        <w:tc>
          <w:tcPr>
            <w:tcW w:type="dxa" w:w="26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Fichas técnicas vencidas</w:t>
            </w:r>
          </w:p>
        </w:tc>
        <w:tc>
          <w:tcPr>
            <w:tcW w:type="dxa" w:w="47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Proveedores cuya ficha técnica tiene más de 12 meses.</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Mensual</w:t>
            </w:r>
          </w:p>
        </w:tc>
      </w:tr>
      <w:tr>
        <w:tc>
          <w:tcPr>
            <w:tcW w:type="dxa" w:w="26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Compliance Score promedio</w:t>
            </w:r>
          </w:p>
        </w:tc>
        <w:tc>
          <w:tcPr>
            <w:tcW w:type="dxa" w:w="47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Promedio del puntaje de cumplimiento de todas las loncheras vendidas.</w:t>
            </w:r>
          </w:p>
        </w:tc>
        <w:tc>
          <w:tcPr>
            <w:tcW w:type="dxa" w:w="2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Semanal</w:t>
            </w:r>
          </w:p>
        </w:tc>
      </w:tr>
    </w:tbl>
    <w:p>
      <w:pPr>
        <w:spacing w:after="160"/>
      </w:pPr>
    </w:p>
    <w:p>
      <w:r>
        <w:br w:type="page"/>
      </w:r>
    </w:p>
    <w:p>
      <w:pPr>
        <w:pStyle w:val="Heading1"/>
      </w:pPr>
      <w:r>
        <w:rPr>
          <w:rFonts w:ascii="Calibri" w:cs="Calibri" w:eastAsia="Calibri" w:hAnsi="Calibri"/>
        </w:rPr>
        <w:t xml:space="preserve">6. Módulo Operativo: Compras, Cocina y Proveedores</w:t>
      </w:r>
    </w:p>
    <w:p>
      <w:pPr>
        <w:pStyle w:val="Heading2"/>
      </w:pPr>
      <w:r>
        <w:rPr>
          <w:rFonts w:ascii="Calibri" w:cs="Calibri" w:eastAsia="Calibri" w:hAnsi="Calibri"/>
        </w:rPr>
        <w:t xml:space="preserve">6.1 Proceso de Compras</w:t>
      </w:r>
    </w:p>
    <w:p>
      <w:pPr>
        <w:pStyle w:val="ListParagraph"/>
        <w:numPr>
          <w:ilvl w:val="0"/>
          <w:numId w:val="6"/>
        </w:numPr>
      </w:pPr>
      <w:r>
        <w:rPr>
          <w:rFonts w:ascii="Calibri" w:cs="Calibri" w:eastAsia="Calibri" w:hAnsi="Calibri"/>
          <w:color w:val="212529"/>
          <w:sz w:val="22"/>
          <w:szCs w:val="22"/>
        </w:rPr>
        <w:t xml:space="preserve">Exigir ficha técnica actualizada a cada proveedor de productos empacados (Ref: Res. 2492, Art. 32).</w:t>
      </w:r>
    </w:p>
    <w:p>
      <w:pPr>
        <w:pStyle w:val="ListParagraph"/>
        <w:numPr>
          <w:ilvl w:val="0"/>
          <w:numId w:val="6"/>
        </w:numPr>
      </w:pPr>
      <w:r>
        <w:rPr>
          <w:rFonts w:ascii="Calibri" w:cs="Calibri" w:eastAsia="Calibri" w:hAnsi="Calibri"/>
          <w:color w:val="212529"/>
          <w:sz w:val="22"/>
          <w:szCs w:val="22"/>
        </w:rPr>
        <w:t xml:space="preserve">Verificar los valores de sodio, azúcares añadidos, grasas saturadas, grasas trans y edulcorantes antes de ingresar el producto al sistema.</w:t>
      </w:r>
    </w:p>
    <w:p>
      <w:pPr>
        <w:pStyle w:val="ListParagraph"/>
        <w:numPr>
          <w:ilvl w:val="0"/>
          <w:numId w:val="6"/>
        </w:numPr>
      </w:pPr>
      <w:r>
        <w:rPr>
          <w:rFonts w:ascii="Calibri" w:cs="Calibri" w:eastAsia="Calibri" w:hAnsi="Calibri"/>
          <w:color w:val="212529"/>
          <w:sz w:val="22"/>
          <w:szCs w:val="22"/>
        </w:rPr>
        <w:t xml:space="preserve">Rechazar productos que no cuenten con información nutricional completa o verificable.</w:t>
      </w:r>
    </w:p>
    <w:p>
      <w:pPr>
        <w:pStyle w:val="ListParagraph"/>
        <w:numPr>
          <w:ilvl w:val="0"/>
          <w:numId w:val="6"/>
        </w:numPr>
      </w:pPr>
      <w:r>
        <w:rPr>
          <w:rFonts w:ascii="Calibri" w:cs="Calibri" w:eastAsia="Calibri" w:hAnsi="Calibri"/>
          <w:color w:val="212529"/>
          <w:sz w:val="22"/>
          <w:szCs w:val="22"/>
        </w:rPr>
        <w:t xml:space="preserve">Establecer cláusula contractual con proveedores: deben notificar reformulaciones que alteren la clasificación nutricional del producto.</w:t>
      </w:r>
    </w:p>
    <w:p>
      <w:pPr>
        <w:pStyle w:val="Heading2"/>
      </w:pPr>
      <w:r>
        <w:rPr>
          <w:rFonts w:ascii="Calibri" w:cs="Calibri" w:eastAsia="Calibri" w:hAnsi="Calibri"/>
        </w:rPr>
        <w:t xml:space="preserve">6.2 Proceso de Cocina</w:t>
      </w:r>
    </w:p>
    <w:p>
      <w:pPr>
        <w:pStyle w:val="ListParagraph"/>
        <w:numPr>
          <w:ilvl w:val="0"/>
          <w:numId w:val="7"/>
        </w:numPr>
      </w:pPr>
      <w:r>
        <w:rPr>
          <w:rFonts w:ascii="Calibri" w:cs="Calibri" w:eastAsia="Calibri" w:hAnsi="Calibri"/>
          <w:color w:val="212529"/>
          <w:sz w:val="22"/>
          <w:szCs w:val="22"/>
        </w:rPr>
        <w:t xml:space="preserve">Estandarizar todas las recetas propias (sánduches, wraps, ensaladas) con valores nutricionales calculados.</w:t>
      </w:r>
    </w:p>
    <w:p>
      <w:pPr>
        <w:pStyle w:val="ListParagraph"/>
        <w:numPr>
          <w:ilvl w:val="0"/>
          <w:numId w:val="7"/>
        </w:numPr>
      </w:pPr>
      <w:r>
        <w:rPr>
          <w:rFonts w:ascii="Calibri" w:cs="Calibri" w:eastAsia="Calibri" w:hAnsi="Calibri"/>
          <w:color w:val="212529"/>
          <w:sz w:val="22"/>
          <w:szCs w:val="22"/>
        </w:rPr>
        <w:t xml:space="preserve">Documentar que las preparaciones servidas al momento no requieren sello obligatorio, pero sí requieren responsabilidad interna (Art. 9, Entornos Saludables).</w:t>
      </w:r>
    </w:p>
    <w:p>
      <w:pPr>
        <w:pStyle w:val="ListParagraph"/>
        <w:numPr>
          <w:ilvl w:val="0"/>
          <w:numId w:val="7"/>
        </w:numPr>
      </w:pPr>
      <w:r>
        <w:rPr>
          <w:rFonts w:ascii="Calibri" w:cs="Calibri" w:eastAsia="Calibri" w:hAnsi="Calibri"/>
          <w:color w:val="212529"/>
          <w:sz w:val="22"/>
          <w:szCs w:val="22"/>
        </w:rPr>
        <w:t xml:space="preserve">Mantener registro de ingredientes y cantidades usadas por preparación para auditoría interna.</w:t>
      </w:r>
    </w:p>
    <w:p>
      <w:pPr>
        <w:pStyle w:val="ListParagraph"/>
        <w:numPr>
          <w:ilvl w:val="0"/>
          <w:numId w:val="7"/>
        </w:numPr>
      </w:pPr>
      <w:r>
        <w:rPr>
          <w:rFonts w:ascii="Calibri" w:cs="Calibri" w:eastAsia="Calibri" w:hAnsi="Calibri"/>
          <w:color w:val="212529"/>
          <w:sz w:val="22"/>
          <w:szCs w:val="22"/>
        </w:rPr>
        <w:t xml:space="preserve">Capacitar al personal de cocina en los conceptos básicos de la Ley 2120 y su impacto en las recetas.</w:t>
      </w:r>
    </w:p>
    <w:p>
      <w:pPr>
        <w:pStyle w:val="Heading2"/>
      </w:pPr>
      <w:r>
        <w:rPr>
          <w:rFonts w:ascii="Calibri" w:cs="Calibri" w:eastAsia="Calibri" w:hAnsi="Calibri"/>
        </w:rPr>
        <w:t xml:space="preserve">6.3 Gestión de Proveedores</w:t>
      </w:r>
    </w:p>
    <w:p>
      <w:pPr>
        <w:spacing w:after="160"/>
      </w:pPr>
      <w:r>
        <w:rPr>
          <w:rFonts w:ascii="Calibri" w:cs="Calibri" w:eastAsia="Calibri" w:hAnsi="Calibri"/>
          <w:b w:val="false"/>
          <w:bCs w:val="false"/>
          <w:i w:val="false"/>
          <w:iCs w:val="false"/>
          <w:color w:val="212529"/>
          <w:sz w:val="22"/>
          <w:szCs w:val="22"/>
        </w:rPr>
        <w:t xml:space="preserve">Crear un módulo de gestión de proveedores en el panel de administración con:</w:t>
      </w:r>
    </w:p>
    <w:p>
      <w:pPr>
        <w:pStyle w:val="ListParagraph"/>
        <w:numPr>
          <w:ilvl w:val="0"/>
          <w:numId w:val="3"/>
        </w:numPr>
      </w:pPr>
      <w:r>
        <w:rPr>
          <w:rFonts w:ascii="Calibri" w:cs="Calibri" w:eastAsia="Calibri" w:hAnsi="Calibri"/>
          <w:color w:val="212529"/>
          <w:sz w:val="22"/>
          <w:szCs w:val="22"/>
        </w:rPr>
        <w:t xml:space="preserve">Registro de proveedores con datos de contacto y productos suministrados.</w:t>
      </w:r>
    </w:p>
    <w:p>
      <w:pPr>
        <w:pStyle w:val="ListParagraph"/>
        <w:numPr>
          <w:ilvl w:val="0"/>
          <w:numId w:val="3"/>
        </w:numPr>
      </w:pPr>
      <w:r>
        <w:rPr>
          <w:rFonts w:ascii="Calibri" w:cs="Calibri" w:eastAsia="Calibri" w:hAnsi="Calibri"/>
          <w:color w:val="212529"/>
          <w:sz w:val="22"/>
          <w:szCs w:val="22"/>
        </w:rPr>
        <w:t xml:space="preserve">Upload y almacenamiento de fichas técnicas con fecha de carga y vencimiento.</w:t>
      </w:r>
    </w:p>
    <w:p>
      <w:pPr>
        <w:pStyle w:val="ListParagraph"/>
        <w:numPr>
          <w:ilvl w:val="0"/>
          <w:numId w:val="3"/>
        </w:numPr>
      </w:pPr>
      <w:r>
        <w:rPr>
          <w:rFonts w:ascii="Calibri" w:cs="Calibri" w:eastAsia="Calibri" w:hAnsi="Calibri"/>
          <w:color w:val="212529"/>
          <w:sz w:val="22"/>
          <w:szCs w:val="22"/>
        </w:rPr>
        <w:t xml:space="preserve">Alerta automática cuando una ficha técnica tenga más de 12 meses sin actualización.</w:t>
      </w:r>
    </w:p>
    <w:p>
      <w:pPr>
        <w:pStyle w:val="ListParagraph"/>
        <w:numPr>
          <w:ilvl w:val="0"/>
          <w:numId w:val="3"/>
        </w:numPr>
      </w:pPr>
      <w:r>
        <w:rPr>
          <w:rFonts w:ascii="Calibri" w:cs="Calibri" w:eastAsia="Calibri" w:hAnsi="Calibri"/>
          <w:color w:val="212529"/>
          <w:sz w:val="22"/>
          <w:szCs w:val="22"/>
        </w:rPr>
        <w:t xml:space="preserve">Historial de cambios nutricionales por producto y proveedor.</w:t>
      </w:r>
    </w:p>
    <w:p>
      <w:pPr>
        <w:pStyle w:val="Heading1"/>
      </w:pPr>
      <w:r>
        <w:rPr>
          <w:rFonts w:ascii="Calibri" w:cs="Calibri" w:eastAsia="Calibri" w:hAnsi="Calibri"/>
        </w:rPr>
        <w:t xml:space="preserve">7. Matriz de Cumplimiento Legal</w:t>
      </w:r>
    </w:p>
    <w:p>
      <w:pPr>
        <w:spacing w:after="160"/>
      </w:pPr>
      <w:r>
        <w:rPr>
          <w:rFonts w:ascii="Calibri" w:cs="Calibri" w:eastAsia="Calibri" w:hAnsi="Calibri"/>
          <w:b w:val="false"/>
          <w:bCs w:val="false"/>
          <w:i w:val="false"/>
          <w:iCs w:val="false"/>
          <w:color w:val="212529"/>
          <w:sz w:val="22"/>
          <w:szCs w:val="22"/>
        </w:rPr>
        <w:t xml:space="preserve">La siguiente matriz consolida todas las acciones de implementación con su referencia legal específica: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2400"/>
        <w:gridCol w:w="2000"/>
      </w:tblGrid>
      <w:tr>
        <w:tc>
          <w:tcPr>
            <w:tcW w:type="dxa" w:w="14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Área</w:t>
            </w:r>
          </w:p>
        </w:tc>
        <w:tc>
          <w:tcPr>
            <w:tcW w:type="dxa" w:w="356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Acción Específica</w:t>
            </w:r>
          </w:p>
        </w:tc>
        <w:tc>
          <w:tcPr>
            <w:tcW w:type="dxa" w:w="24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Referencia Legal</w:t>
            </w:r>
          </w:p>
        </w:tc>
        <w:tc>
          <w:tcPr>
            <w:tcW w:type="dxa" w:w="20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Prioridad</w:t>
            </w:r>
          </w:p>
        </w:tc>
      </w:tr>
      <w:tr>
        <w:tc>
          <w:tcPr>
            <w:tcW w:type="dxa" w:w="1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Compras</w:t>
            </w:r>
          </w:p>
        </w:tc>
        <w:tc>
          <w:tcPr>
            <w:tcW w:type="dxa" w:w="35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Exigir ficha técnica a proveedores para detectar sodio/azúcar oculto.</w:t>
            </w:r>
          </w:p>
        </w:tc>
        <w:tc>
          <w:tcPr>
            <w:tcW w:type="dxa" w:w="2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Res. 2492 / Art. 32</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Alta</w:t>
            </w:r>
          </w:p>
        </w:tc>
      </w:tr>
      <w:tr>
        <w:tc>
          <w:tcPr>
            <w:tcW w:type="dxa" w:w="1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Cocina</w:t>
            </w:r>
          </w:p>
        </w:tc>
        <w:tc>
          <w:tcPr>
            <w:tcW w:type="dxa" w:w="35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Estandarizar recetas propias para no superar topes nutricionales.</w:t>
            </w:r>
          </w:p>
        </w:tc>
        <w:tc>
          <w:tcPr>
            <w:tcW w:type="dxa" w:w="2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Art. 9 (Entornos Saludables)</w:t>
            </w:r>
          </w:p>
        </w:tc>
        <w:tc>
          <w:tcPr>
            <w:tcW w:type="dxa" w:w="2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Alta</w:t>
            </w:r>
          </w:p>
        </w:tc>
      </w:tr>
      <w:tr>
        <w:tc>
          <w:tcPr>
            <w:tcW w:type="dxa" w:w="1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Legal</w:t>
            </w:r>
          </w:p>
        </w:tc>
        <w:tc>
          <w:tcPr>
            <w:tcW w:type="dxa" w:w="35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Revisar contratos con proveedores; incluir cláusula de actualización nutricional.</w:t>
            </w:r>
          </w:p>
        </w:tc>
        <w:tc>
          <w:tcPr>
            <w:tcW w:type="dxa" w:w="2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Ley 2120 (General)</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Alta</w:t>
            </w:r>
          </w:p>
        </w:tc>
      </w:tr>
      <w:tr>
        <w:tc>
          <w:tcPr>
            <w:tcW w:type="dxa" w:w="1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Ventas</w:t>
            </w:r>
          </w:p>
        </w:tc>
        <w:tc>
          <w:tcPr>
            <w:tcW w:type="dxa" w:w="35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Crear categoría “Lonchera Ley 2120” (100% libre de sellos y edulcorantes).</w:t>
            </w:r>
          </w:p>
        </w:tc>
        <w:tc>
          <w:tcPr>
            <w:tcW w:type="dxa" w:w="2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Art. 2 (Derecho a la salud)</w:t>
            </w:r>
          </w:p>
        </w:tc>
        <w:tc>
          <w:tcPr>
            <w:tcW w:type="dxa" w:w="2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Alta</w:t>
            </w:r>
          </w:p>
        </w:tc>
      </w:tr>
      <w:tr>
        <w:tc>
          <w:tcPr>
            <w:tcW w:type="dxa" w:w="1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Marketing</w:t>
            </w:r>
          </w:p>
        </w:tc>
        <w:tc>
          <w:tcPr>
            <w:tcW w:type="dxa" w:w="35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Eliminar ganchos infantiles en productos con sellos.</w:t>
            </w:r>
          </w:p>
        </w:tc>
        <w:tc>
          <w:tcPr>
            <w:tcW w:type="dxa" w:w="2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Restricciones NNA</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Crítica</w:t>
            </w:r>
          </w:p>
        </w:tc>
      </w:tr>
      <w:tr>
        <w:tc>
          <w:tcPr>
            <w:tcW w:type="dxa" w:w="1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Marketing</w:t>
            </w:r>
          </w:p>
        </w:tc>
        <w:tc>
          <w:tcPr>
            <w:tcW w:type="dxa" w:w="35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Prohibir claims de salud en productos con sellos.</w:t>
            </w:r>
          </w:p>
        </w:tc>
        <w:tc>
          <w:tcPr>
            <w:tcW w:type="dxa" w:w="2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Restricciones NNA</w:t>
            </w:r>
          </w:p>
        </w:tc>
        <w:tc>
          <w:tcPr>
            <w:tcW w:type="dxa" w:w="2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Crítica</w:t>
            </w:r>
          </w:p>
        </w:tc>
      </w:tr>
      <w:tr>
        <w:tc>
          <w:tcPr>
            <w:tcW w:type="dxa" w:w="1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Front-End</w:t>
            </w:r>
          </w:p>
        </w:tc>
        <w:tc>
          <w:tcPr>
            <w:tcW w:type="dxa" w:w="35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Mostrar sellos de advertencia en todas las vistas de producto.</w:t>
            </w:r>
          </w:p>
        </w:tc>
        <w:tc>
          <w:tcPr>
            <w:tcW w:type="dxa" w:w="2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Art. 5 (Etiquetado Frontal)</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Crítica</w:t>
            </w:r>
          </w:p>
        </w:tc>
      </w:tr>
      <w:tr>
        <w:tc>
          <w:tcPr>
            <w:tcW w:type="dxa" w:w="1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Front-End</w:t>
            </w:r>
          </w:p>
        </w:tc>
        <w:tc>
          <w:tcPr>
            <w:tcW w:type="dxa" w:w="35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Implementar filtro “Libre de Sellos”.</w:t>
            </w:r>
          </w:p>
        </w:tc>
        <w:tc>
          <w:tcPr>
            <w:tcW w:type="dxa" w:w="2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Propósito general Ley 2120</w:t>
            </w:r>
          </w:p>
        </w:tc>
        <w:tc>
          <w:tcPr>
            <w:tcW w:type="dxa" w:w="2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Alta</w:t>
            </w:r>
          </w:p>
        </w:tc>
      </w:tr>
      <w:tr>
        <w:tc>
          <w:tcPr>
            <w:tcW w:type="dxa" w:w="1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Front-End</w:t>
            </w:r>
          </w:p>
        </w:tc>
        <w:tc>
          <w:tcPr>
            <w:tcW w:type="dxa" w:w="35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Alerta específica de edulcorantes en loncheras.</w:t>
            </w:r>
          </w:p>
        </w:tc>
        <w:tc>
          <w:tcPr>
            <w:tcW w:type="dxa" w:w="2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Recomendación Ley 2120</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Alta</w:t>
            </w:r>
          </w:p>
        </w:tc>
      </w:tr>
      <w:tr>
        <w:tc>
          <w:tcPr>
            <w:tcW w:type="dxa" w:w="1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Back-End</w:t>
            </w:r>
          </w:p>
        </w:tc>
        <w:tc>
          <w:tcPr>
            <w:tcW w:type="dxa" w:w="35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Modelo de datos con clasificación nutricional automática.</w:t>
            </w:r>
          </w:p>
        </w:tc>
        <w:tc>
          <w:tcPr>
            <w:tcW w:type="dxa" w:w="2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Res. 2492 (Umbrales)</w:t>
            </w:r>
          </w:p>
        </w:tc>
        <w:tc>
          <w:tcPr>
            <w:tcW w:type="dxa" w:w="2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Crítica</w:t>
            </w:r>
          </w:p>
        </w:tc>
      </w:tr>
      <w:tr>
        <w:tc>
          <w:tcPr>
            <w:tcW w:type="dxa" w:w="1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Certificación</w:t>
            </w:r>
          </w:p>
        </w:tc>
        <w:tc>
          <w:tcPr>
            <w:tcW w:type="dxa" w:w="35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Generar certificado de cumplimiento descargable.</w:t>
            </w:r>
          </w:p>
        </w:tc>
        <w:tc>
          <w:tcPr>
            <w:tcW w:type="dxa" w:w="24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Art. 2 / Art. 9</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Media</w:t>
            </w:r>
          </w:p>
        </w:tc>
      </w:tr>
      <w:tr>
        <w:tc>
          <w:tcPr>
            <w:tcW w:type="dxa" w:w="1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Admin</w:t>
            </w:r>
          </w:p>
        </w:tc>
        <w:tc>
          <w:tcPr>
            <w:tcW w:type="dxa" w:w="35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Dashboard de trazabilidad y KPIs de cumplimiento.</w:t>
            </w:r>
          </w:p>
        </w:tc>
        <w:tc>
          <w:tcPr>
            <w:tcW w:type="dxa" w:w="24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Trazabilidad general</w:t>
            </w:r>
          </w:p>
        </w:tc>
        <w:tc>
          <w:tcPr>
            <w:tcW w:type="dxa" w:w="2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Media</w:t>
            </w:r>
          </w:p>
        </w:tc>
      </w:tr>
    </w:tbl>
    <w:p>
      <w:pPr>
        <w:spacing w:after="160"/>
      </w:pPr>
    </w:p>
    <w:p>
      <w:pPr>
        <w:pStyle w:val="Heading1"/>
      </w:pPr>
      <w:r>
        <w:rPr>
          <w:rFonts w:ascii="Calibri" w:cs="Calibri" w:eastAsia="Calibri" w:hAnsi="Calibri"/>
        </w:rPr>
        <w:t xml:space="preserve">8. Cronograma Sugerido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Fase</w:t>
            </w:r>
          </w:p>
        </w:tc>
        <w:tc>
          <w:tcPr>
            <w:tcW w:type="dxa" w:w="516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Actividades</w:t>
            </w:r>
          </w:p>
        </w:tc>
        <w:tc>
          <w:tcPr>
            <w:tcW w:type="dxa" w:w="20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Duración Estimada</w:t>
            </w:r>
          </w:p>
        </w:tc>
      </w:tr>
      <w:tr>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Fase 1: Fundamentos</w:t>
            </w:r>
          </w:p>
        </w:tc>
        <w:tc>
          <w:tcPr>
            <w:tcW w:type="dxa" w:w="51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Modelo de datos, clasificación automática, auditoría de inventario actual.</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3–4 semanas</w:t>
            </w:r>
          </w:p>
        </w:tc>
      </w:tr>
      <w:tr>
        <w:tc>
          <w:tcPr>
            <w:tcW w:type="dxa" w:w="22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Fase 2: Front-End</w:t>
            </w:r>
          </w:p>
        </w:tc>
        <w:tc>
          <w:tcPr>
            <w:tcW w:type="dxa" w:w="51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Componentes de sellos, filtro Libre de Sellos, alerta de edulcorantes.</w:t>
            </w:r>
          </w:p>
        </w:tc>
        <w:tc>
          <w:tcPr>
            <w:tcW w:type="dxa" w:w="2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2–3 semanas</w:t>
            </w:r>
          </w:p>
        </w:tc>
      </w:tr>
      <w:tr>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Fase 3: Marketing</w:t>
            </w:r>
          </w:p>
        </w:tc>
        <w:tc>
          <w:tcPr>
            <w:tcW w:type="dxa" w:w="51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Validación de contenido, limpieza de descripciones, revisión de imágenes.</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1–2 semanas</w:t>
            </w:r>
          </w:p>
        </w:tc>
      </w:tr>
      <w:tr>
        <w:tc>
          <w:tcPr>
            <w:tcW w:type="dxa" w:w="22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Fase 4: Operaciones</w:t>
            </w:r>
          </w:p>
        </w:tc>
        <w:tc>
          <w:tcPr>
            <w:tcW w:type="dxa" w:w="516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Módulo de proveedores, estandarización de recetas, capacitación.</w:t>
            </w:r>
          </w:p>
        </w:tc>
        <w:tc>
          <w:tcPr>
            <w:tcW w:type="dxa" w:w="20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2–3 semanas</w:t>
            </w:r>
          </w:p>
        </w:tc>
      </w:tr>
      <w:tr>
        <w:tc>
          <w:tcPr>
            <w:tcW w:type="dxa" w:w="22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Fase 5: Certificación</w:t>
            </w:r>
          </w:p>
        </w:tc>
        <w:tc>
          <w:tcPr>
            <w:tcW w:type="dxa" w:w="516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Generación de certificados, dashboard de trazabilidad, QA final.</w:t>
            </w:r>
          </w:p>
        </w:tc>
        <w:tc>
          <w:tcPr>
            <w:tcW w:type="dxa" w:w="20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2 semanas</w:t>
            </w:r>
          </w:p>
        </w:tc>
      </w:tr>
    </w:tbl>
    <w:p>
      <w:pPr>
        <w:spacing w:after="200"/>
      </w:pPr>
    </w:p>
    <w:p>
      <w:pPr>
        <w:spacing w:after="160"/>
      </w:pPr>
      <w:r>
        <w:rPr>
          <w:rFonts w:ascii="Calibri" w:cs="Calibri" w:eastAsia="Calibri" w:hAnsi="Calibri"/>
          <w:b/>
          <w:bCs/>
          <w:i w:val="false"/>
          <w:iCs w:val="false"/>
          <w:color w:val="212529"/>
          <w:sz w:val="22"/>
          <w:szCs w:val="22"/>
        </w:rPr>
        <w:t xml:space="preserve">Duración total estimada: 10 a 14 semanas, sujeto a la complejidad del stack actual y la disponibilidad del equipo.</w:t>
      </w:r>
    </w:p>
    <w:p>
      <w:pPr>
        <w:pStyle w:val="Heading1"/>
      </w:pPr>
      <w:r>
        <w:rPr>
          <w:rFonts w:ascii="Calibri" w:cs="Calibri" w:eastAsia="Calibri" w:hAnsi="Calibri"/>
        </w:rPr>
        <w:t xml:space="preserve">9.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Riesgo</w:t>
            </w:r>
          </w:p>
        </w:tc>
        <w:tc>
          <w:tcPr>
            <w:tcW w:type="dxa" w:w="328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Impacto</w:t>
            </w:r>
          </w:p>
        </w:tc>
        <w:tc>
          <w:tcPr>
            <w:tcW w:type="dxa" w:w="3280"/>
            <w:tcBorders>
              <w:top w:val="single" w:color="B7B7B7" w:sz="1"/>
              <w:left w:val="single" w:color="B7B7B7" w:sz="1"/>
              <w:bottom w:val="single" w:color="B7B7B7" w:sz="1"/>
              <w:right w:val="single" w:color="B7B7B7" w:sz="1"/>
            </w:tcBorders>
            <w:shd w:fill="1B433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Mitigación</w:t>
            </w:r>
          </w:p>
        </w:tc>
      </w:tr>
      <w:tr>
        <w:tc>
          <w:tcPr>
            <w:tcW w:type="dxa" w:w="2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Proveedores sin ficha técnica</w:t>
            </w:r>
          </w:p>
        </w:tc>
        <w:tc>
          <w:tcPr>
            <w:tcW w:type="dxa" w:w="328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No se puede clasificar el producto → incumplimiento.</w:t>
            </w:r>
          </w:p>
        </w:tc>
        <w:tc>
          <w:tcPr>
            <w:tcW w:type="dxa" w:w="328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Establecer deadline y rechazar productos sin información.</w:t>
            </w:r>
          </w:p>
        </w:tc>
      </w:tr>
      <w:tr>
        <w:tc>
          <w:tcPr>
            <w:tcW w:type="dxa" w:w="28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Productos reformulados sin aviso</w:t>
            </w:r>
          </w:p>
        </w:tc>
        <w:tc>
          <w:tcPr>
            <w:tcW w:type="dxa" w:w="328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Clasificación desactualizada → información falsa al consumidor.</w:t>
            </w:r>
          </w:p>
        </w:tc>
        <w:tc>
          <w:tcPr>
            <w:tcW w:type="dxa" w:w="328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Cláusula contractual + auditorías trimestrales.</w:t>
            </w:r>
          </w:p>
        </w:tc>
      </w:tr>
      <w:tr>
        <w:tc>
          <w:tcPr>
            <w:tcW w:type="dxa" w:w="2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Imágenes de marketing sin sellos</w:t>
            </w:r>
          </w:p>
        </w:tc>
        <w:tc>
          <w:tcPr>
            <w:tcW w:type="dxa" w:w="328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Incumplimiento del Art. 5 de etiquetado frontal.</w:t>
            </w:r>
          </w:p>
        </w:tc>
        <w:tc>
          <w:tcPr>
            <w:tcW w:type="dxa" w:w="328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Proceso de revisión obligatoria de imágenes antes de publicar.</w:t>
            </w:r>
          </w:p>
        </w:tc>
      </w:tr>
      <w:tr>
        <w:tc>
          <w:tcPr>
            <w:tcW w:type="dxa" w:w="280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Contenido con claims prohibidos</w:t>
            </w:r>
          </w:p>
        </w:tc>
        <w:tc>
          <w:tcPr>
            <w:tcW w:type="dxa" w:w="328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Sanción regulatoria.</w:t>
            </w:r>
          </w:p>
        </w:tc>
        <w:tc>
          <w:tcPr>
            <w:tcW w:type="dxa" w:w="3280"/>
            <w:tcBorders>
              <w:top w:val="single" w:color="B7B7B7" w:sz="1"/>
              <w:left w:val="single" w:color="B7B7B7" w:sz="1"/>
              <w:bottom w:val="single" w:color="B7B7B7" w:sz="1"/>
              <w:right w:val="single" w:color="B7B7B7" w:sz="1"/>
            </w:tcBorders>
            <w:shd w:fill="F0F7F4" w:val="clear"/>
            <w:tcMar>
              <w:top w:type="dxa" w:w="80"/>
              <w:left w:type="dxa" w:w="120"/>
              <w:bottom w:type="dxa" w:w="80"/>
              <w:right w:type="dxa" w:w="120"/>
            </w:tcMar>
          </w:tcPr>
          <w:p>
            <w:r>
              <w:rPr>
                <w:rFonts w:ascii="Calibri" w:cs="Calibri" w:eastAsia="Calibri" w:hAnsi="Calibri"/>
                <w:b w:val="false"/>
                <w:bCs w:val="false"/>
                <w:color w:val="212529"/>
                <w:sz w:val="20"/>
                <w:szCs w:val="20"/>
              </w:rPr>
              <w:t xml:space="preserve">Middleware de validación + lista negra de términos.</w:t>
            </w:r>
          </w:p>
        </w:tc>
      </w:tr>
      <w:tr>
        <w:tc>
          <w:tcPr>
            <w:tcW w:type="dxa" w:w="280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Baja adopción del filtro por usuarios</w:t>
            </w:r>
          </w:p>
        </w:tc>
        <w:tc>
          <w:tcPr>
            <w:tcW w:type="dxa" w:w="328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Pierde valor competitivo.</w:t>
            </w:r>
          </w:p>
        </w:tc>
        <w:tc>
          <w:tcPr>
            <w:tcW w:type="dxa" w:w="3280"/>
            <w:tcBorders>
              <w:top w:val="single" w:color="B7B7B7" w:sz="1"/>
              <w:left w:val="single" w:color="B7B7B7" w:sz="1"/>
              <w:bottom w:val="single" w:color="B7B7B7" w:sz="1"/>
              <w:right w:val="single" w:color="B7B7B7" w:sz="1"/>
            </w:tcBorders>
            <w:tcMar>
              <w:top w:type="dxa" w:w="80"/>
              <w:left w:type="dxa" w:w="120"/>
              <w:bottom w:type="dxa" w:w="80"/>
              <w:right w:type="dxa" w:w="120"/>
            </w:tcMar>
          </w:tcPr>
          <w:p>
            <w:r>
              <w:rPr>
                <w:rFonts w:ascii="Calibri" w:cs="Calibri" w:eastAsia="Calibri" w:hAnsi="Calibri"/>
                <w:b w:val="false"/>
                <w:bCs w:val="false"/>
                <w:color w:val="212529"/>
                <w:sz w:val="20"/>
                <w:szCs w:val="20"/>
              </w:rPr>
              <w:t xml:space="preserve">UX prominente, activado por defecto en modo “Lonchera Saludable”.</w:t>
            </w:r>
          </w:p>
        </w:tc>
      </w:tr>
    </w:tbl>
    <w:p>
      <w:pPr>
        <w:spacing w:after="200"/>
      </w:pPr>
    </w:p>
    <w:p>
      <w:pPr>
        <w:pStyle w:val="Heading1"/>
      </w:pPr>
      <w:r>
        <w:rPr>
          <w:rFonts w:ascii="Calibri" w:cs="Calibri" w:eastAsia="Calibri" w:hAnsi="Calibri"/>
        </w:rPr>
        <w:t xml:space="preserve">10. Conclusión</w:t>
      </w:r>
    </w:p>
    <w:p>
      <w:pPr>
        <w:spacing w:after="160"/>
      </w:pPr>
      <w:r>
        <w:rPr>
          <w:rFonts w:ascii="Calibri" w:cs="Calibri" w:eastAsia="Calibri" w:hAnsi="Calibri"/>
          <w:b w:val="false"/>
          <w:bCs w:val="false"/>
          <w:i w:val="false"/>
          <w:iCs w:val="false"/>
          <w:color w:val="212529"/>
          <w:sz w:val="22"/>
          <w:szCs w:val="22"/>
        </w:rPr>
        <w:t xml:space="preserve">La implementación de esta documentación técnica posiciona a caspete.com no solo como una plataforma en cumplimiento de la Ley 2120 de 2021, sino como un referente en alimentación escolar responsable en Colombia. La combinación de clasificación automática, transparencia visual, restricciones de marketing y herramientas de certificación crea un ecosistema que protege a los menores mientras genera confianza en padres e instituciones educativas.</w:t>
      </w:r>
    </w:p>
    <w:p>
      <w:pPr>
        <w:spacing w:after="160"/>
      </w:pPr>
      <w:r>
        <w:rPr>
          <w:rFonts w:ascii="Calibri" w:cs="Calibri" w:eastAsia="Calibri" w:hAnsi="Calibri"/>
          <w:b w:val="false"/>
          <w:bCs w:val="false"/>
          <w:i w:val="false"/>
          <w:iCs w:val="false"/>
          <w:color w:val="212529"/>
          <w:sz w:val="22"/>
          <w:szCs w:val="22"/>
        </w:rPr>
        <w:t xml:space="preserve">La inversión en esta adaptación es tanto un imperativo legal como una decisión estratégica de negocio que diferencia a caspete.com en un mercado donde la confianza del consumidor es el activo más valioso.</w:t>
      </w: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7B7" w:sz="1" w:space="4"/>
      </w:pBdr>
      <w:tabs>
        <w:tab w:val="right" w:pos="9360"/>
      </w:tabs>
    </w:pPr>
    <w:r>
      <w:rPr>
        <w:rFonts w:ascii="Calibri" w:cs="Calibri" w:eastAsia="Calibri" w:hAnsi="Calibri"/>
        <w:color w:val="6C757D"/>
        <w:sz w:val="16"/>
        <w:szCs w:val="16"/>
      </w:rPr>
      <w:t xml:space="preserve">Confidencial</w:t>
    </w:r>
    <w:r>
      <w:rPr>
        <w:rFonts w:ascii="Calibri" w:cs="Calibri" w:eastAsia="Calibri" w:hAnsi="Calibri"/>
        <w:sz w:val="16"/>
        <w:szCs w:val="16"/>
      </w:rPr>
      <w:t xml:space="preserve">	</w:t>
    </w:r>
    <w:r>
      <w:rPr>
        <w:rFonts w:ascii="Calibri" w:cs="Calibri" w:eastAsia="Calibri" w:hAnsi="Calibri"/>
        <w:color w:val="6C757D"/>
        <w:sz w:val="16"/>
        <w:szCs w:val="16"/>
      </w:rPr>
      <w:t xml:space="preserve">Página </w:t>
    </w:r>
    <w:r>
      <w:rPr>
        <w:rFonts w:ascii="Calibri" w:cs="Calibri" w:eastAsia="Calibri" w:hAnsi="Calibri"/>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2" w:space="4"/>
      </w:pBdr>
    </w:pPr>
    <w:r>
      <w:rPr>
        <w:rFonts w:ascii="Calibri" w:cs="Calibri" w:eastAsia="Calibri" w:hAnsi="Calibri"/>
        <w:i/>
        <w:iCs/>
        <w:color w:val="6C757D"/>
        <w:sz w:val="16"/>
        <w:szCs w:val="16"/>
      </w:rPr>
      <w:t xml:space="preserve">Caspete.com – Documentación Técnica Ley 2120/2021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6A4F" w:sz="4" w:space="4"/>
      </w:pBdr>
      <w:spacing w:after="200" w:before="360"/>
      <w:outlineLvl w:val="0"/>
    </w:pPr>
    <w:rPr>
      <w:rFonts w:ascii="Calibri" w:cs="Calibri" w:eastAsia="Calibri" w:hAnsi="Calibri"/>
      <w:b/>
      <w:bCs/>
      <w:color w:val="1B4332"/>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D6A4F"/>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B4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2026-05-14T14:21:30.272Z</dcterms:created>
  <dcterms:modified xsi:type="dcterms:W3CDTF">2026-05-14T14:21:30.272Z</dcterms:modified>
</cp:coreProperties>
</file>

<file path=docProps/custom.xml><?xml version="1.0" encoding="utf-8"?>
<Properties xmlns="http://schemas.openxmlformats.org/officeDocument/2006/custom-properties" xmlns:vt="http://schemas.openxmlformats.org/officeDocument/2006/docPropsVTypes"/>
</file>