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2f5496"/>
          <w:sz w:val="160"/>
          <w:szCs w:val="160"/>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130"/>
          <w:szCs w:val="130"/>
          <w:u w:val="none"/>
          <w:shd w:fill="auto" w:val="clear"/>
          <w:vertAlign w:val="baseline"/>
        </w:rPr>
      </w:pPr>
      <w:r w:rsidDel="00000000" w:rsidR="00000000" w:rsidRPr="00000000">
        <w:rPr>
          <w:rFonts w:ascii="Calibri" w:cs="Calibri" w:eastAsia="Calibri" w:hAnsi="Calibri"/>
          <w:b w:val="1"/>
          <w:i w:val="0"/>
          <w:smallCaps w:val="0"/>
          <w:strike w:val="0"/>
          <w:color w:val="000000"/>
          <w:sz w:val="130"/>
          <w:szCs w:val="130"/>
          <w:u w:val="none"/>
          <w:shd w:fill="auto" w:val="clear"/>
          <w:vertAlign w:val="baseline"/>
          <w:rtl w:val="0"/>
        </w:rPr>
        <w:t xml:space="preserve">I</w:t>
      </w:r>
      <w:r w:rsidDel="00000000" w:rsidR="00000000" w:rsidRPr="00000000">
        <w:rPr>
          <w:b w:val="1"/>
          <w:sz w:val="130"/>
          <w:szCs w:val="130"/>
          <w:rtl w:val="0"/>
        </w:rPr>
        <w:t xml:space="preserve">N</w:t>
      </w:r>
      <w:r w:rsidDel="00000000" w:rsidR="00000000" w:rsidRPr="00000000">
        <w:rPr>
          <w:rFonts w:ascii="Calibri" w:cs="Calibri" w:eastAsia="Calibri" w:hAnsi="Calibri"/>
          <w:b w:val="1"/>
          <w:i w:val="0"/>
          <w:smallCaps w:val="0"/>
          <w:strike w:val="0"/>
          <w:color w:val="000000"/>
          <w:sz w:val="130"/>
          <w:szCs w:val="130"/>
          <w:u w:val="none"/>
          <w:shd w:fill="auto" w:val="clear"/>
          <w:vertAlign w:val="baseline"/>
          <w:rtl w:val="0"/>
        </w:rPr>
        <w:t xml:space="preserve">FORME </w:t>
      </w:r>
      <w:r w:rsidDel="00000000" w:rsidR="00000000" w:rsidRPr="00000000">
        <w:rPr>
          <w:b w:val="1"/>
          <w:sz w:val="130"/>
          <w:szCs w:val="130"/>
          <w:rtl w:val="0"/>
        </w:rPr>
        <w:t xml:space="preserve">MODELO MACHINE LEARNING</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2f5496"/>
          <w:sz w:val="72"/>
          <w:szCs w:val="7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f5496"/>
          <w:sz w:val="72"/>
          <w:szCs w:val="72"/>
          <w:u w:val="none"/>
          <w:shd w:fill="auto" w:val="clear"/>
          <w:vertAlign w:val="baseline"/>
          <w:rtl w:val="0"/>
        </w:rPr>
        <w:t xml:space="preserve">Empresa Farmacéutica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0" cy="19050"/>
                <wp:effectExtent b="0" l="0" r="0" t="0"/>
                <wp:wrapSquare wrapText="bothSides" distB="0" distT="0" distL="114300" distR="114300"/>
                <wp:docPr id="2095273878" name=""/>
                <a:graphic>
                  <a:graphicData uri="http://schemas.microsoft.com/office/word/2010/wordprocessingShape">
                    <wps:wsp>
                      <wps:cNvCnPr/>
                      <wps:spPr>
                        <a:xfrm>
                          <a:off x="2343720" y="3780000"/>
                          <a:ext cx="600456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0" cy="19050"/>
                <wp:effectExtent b="0" l="0" r="0" t="0"/>
                <wp:wrapSquare wrapText="bothSides" distB="0" distT="0" distL="114300" distR="114300"/>
                <wp:docPr id="209527387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6">
      <w:pPr>
        <w:jc w:val="center"/>
        <w:rPr/>
      </w:pPr>
      <w:r w:rsidDel="00000000" w:rsidR="00000000" w:rsidRPr="00000000">
        <w:rPr>
          <w:b w:val="1"/>
          <w:sz w:val="24"/>
          <w:szCs w:val="24"/>
          <w:rtl w:val="0"/>
        </w:rPr>
        <w:t xml:space="preserve">PROYECTO</w:t>
      </w:r>
      <w:r w:rsidDel="00000000" w:rsidR="00000000" w:rsidRPr="00000000">
        <w:rPr>
          <w:rtl w:val="0"/>
        </w:rPr>
        <w:t xml:space="preserve">: Análisis de la Esperanza de Vida al Nacer para Factibilidad de lanzamiento de multivitamínico a nivel Global</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622300</wp:posOffset>
                </wp:positionV>
                <wp:extent cx="0" cy="19050"/>
                <wp:effectExtent b="0" l="0" r="0" t="0"/>
                <wp:wrapSquare wrapText="bothSides" distB="0" distT="0" distL="114300" distR="114300"/>
                <wp:docPr id="2095273877" name=""/>
                <a:graphic>
                  <a:graphicData uri="http://schemas.microsoft.com/office/word/2010/wordprocessingShape">
                    <wps:wsp>
                      <wps:cNvCnPr/>
                      <wps:spPr>
                        <a:xfrm>
                          <a:off x="2343720" y="3780000"/>
                          <a:ext cx="600456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622300</wp:posOffset>
                </wp:positionV>
                <wp:extent cx="0" cy="19050"/>
                <wp:effectExtent b="0" l="0" r="0" t="0"/>
                <wp:wrapSquare wrapText="bothSides" distB="0" distT="0" distL="114300" distR="114300"/>
                <wp:docPr id="209527387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Introducción</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En el epicentro de la toma de decisiones informadas se encuentra el análisis exploratorio de datos (EDA), una práctica esencial que arroja luz sobre los matices y patrones ocultos dentro de conjuntos de datos </w:t>
      </w:r>
      <w:r w:rsidDel="00000000" w:rsidR="00000000" w:rsidRPr="00000000">
        <w:rPr>
          <w:rtl w:val="0"/>
        </w:rPr>
        <w:t xml:space="preserve">vastos</w:t>
      </w:r>
      <w:r w:rsidDel="00000000" w:rsidR="00000000" w:rsidRPr="00000000">
        <w:rPr>
          <w:rFonts w:ascii="Calibri" w:cs="Calibri" w:eastAsia="Calibri" w:hAnsi="Calibri"/>
          <w:rtl w:val="0"/>
        </w:rPr>
        <w:t xml:space="preserve"> y complejos. Este informe se sumerge en un EDA exhaustivo, basado en ocho conjuntos de datos extraídos del Banco Mundial, cada uno de los cuales abarca factores cruciales que potencialmente inciden en la esperanza de vida.</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Los datos, procedentes de una fuente confiable como el Banco Mundial, se han seleccionado meticulosamente para ofrecer una visión holística de los 44 países en estudio, distribuidos a lo largo de los 5 continentes. Estos conjuntos abarcan aspectos que van desde indicadores económicos y sociales hasta datos demográficos, permitiéndonos desentrañar las complejidades que subyacen a la variabilidad en la esperanza de vida.</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A través de este EDA, no solo buscamos describir y visualizar la distribución de variables clave, sino también identificar relaciones y tendencias significativas entre los diversos factores. Al comprender la interconexión entre variables como el Producto Interno Bruto, la educación, la nutrición y otros indicadores relevantes, se espera revelar insights valiosos que orientarán la toma de decisiones estratégicas.</w:t>
      </w:r>
    </w:p>
    <w:p w:rsidR="00000000" w:rsidDel="00000000" w:rsidP="00000000" w:rsidRDefault="00000000" w:rsidRPr="00000000" w14:paraId="0000000D">
      <w:pPr>
        <w:rPr/>
        <w:sectPr>
          <w:headerReference r:id="rId9" w:type="default"/>
          <w:footerReference r:id="rId10" w:type="default"/>
          <w:pgSz w:h="16838" w:w="11906" w:orient="portrait"/>
          <w:pgMar w:bottom="1417" w:top="1417" w:left="1701" w:right="1701"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sets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Los conjuntos de datos fueron descargados directamente desde la página oficial del Banco Mundial, accediendo específicamente al siguiente enlace:</w:t>
      </w:r>
    </w:p>
    <w:p w:rsidR="00000000" w:rsidDel="00000000" w:rsidP="00000000" w:rsidRDefault="00000000" w:rsidRPr="00000000" w14:paraId="00000011">
      <w:pPr>
        <w:jc w:val="both"/>
        <w:rPr>
          <w:sz w:val="24"/>
          <w:szCs w:val="24"/>
        </w:rPr>
      </w:pPr>
      <w:hyperlink r:id="rId11">
        <w:r w:rsidDel="00000000" w:rsidR="00000000" w:rsidRPr="00000000">
          <w:rPr>
            <w:color w:val="0563c1"/>
            <w:sz w:val="24"/>
            <w:szCs w:val="24"/>
            <w:u w:val="single"/>
            <w:rtl w:val="0"/>
          </w:rPr>
          <w:t xml:space="preserve">https://databank.worldbank.org/databases</w:t>
        </w:r>
      </w:hyperlink>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Este enlace proporciona acceso a una amplia variedad de series que se pueden filtrar según las necesidades específicas. Para el presente proyecto, se ha optado por descargar los factores más alineados con los objetivos establecidos, los cuales incluyen las siguientes categorías:</w:t>
      </w:r>
    </w:p>
    <w:p w:rsidR="00000000" w:rsidDel="00000000" w:rsidP="00000000" w:rsidRDefault="00000000" w:rsidRPr="00000000" w14:paraId="00000013">
      <w:pPr>
        <w:numPr>
          <w:ilvl w:val="0"/>
          <w:numId w:val="2"/>
        </w:numPr>
        <w:spacing w:after="0" w:lineRule="auto"/>
        <w:ind w:left="708.6614173228347" w:hanging="360"/>
        <w:jc w:val="both"/>
        <w:rPr>
          <w:sz w:val="24"/>
          <w:szCs w:val="24"/>
        </w:rPr>
      </w:pPr>
      <w:r w:rsidDel="00000000" w:rsidR="00000000" w:rsidRPr="00000000">
        <w:rPr>
          <w:sz w:val="24"/>
          <w:szCs w:val="24"/>
          <w:rtl w:val="0"/>
        </w:rPr>
        <w:t xml:space="preserve">Longevidad</w:t>
      </w:r>
    </w:p>
    <w:p w:rsidR="00000000" w:rsidDel="00000000" w:rsidP="00000000" w:rsidRDefault="00000000" w:rsidRPr="00000000" w14:paraId="00000014">
      <w:pPr>
        <w:numPr>
          <w:ilvl w:val="0"/>
          <w:numId w:val="2"/>
        </w:numPr>
        <w:spacing w:after="0" w:lineRule="auto"/>
        <w:ind w:left="708.6614173228347" w:hanging="360"/>
        <w:jc w:val="both"/>
        <w:rPr>
          <w:sz w:val="24"/>
          <w:szCs w:val="24"/>
        </w:rPr>
      </w:pPr>
      <w:r w:rsidDel="00000000" w:rsidR="00000000" w:rsidRPr="00000000">
        <w:rPr>
          <w:sz w:val="24"/>
          <w:szCs w:val="24"/>
          <w:rtl w:val="0"/>
        </w:rPr>
        <w:t xml:space="preserve">Población</w:t>
      </w:r>
    </w:p>
    <w:p w:rsidR="00000000" w:rsidDel="00000000" w:rsidP="00000000" w:rsidRDefault="00000000" w:rsidRPr="00000000" w14:paraId="00000015">
      <w:pPr>
        <w:numPr>
          <w:ilvl w:val="0"/>
          <w:numId w:val="2"/>
        </w:numPr>
        <w:spacing w:after="0" w:lineRule="auto"/>
        <w:ind w:left="708.6614173228347" w:hanging="360"/>
        <w:jc w:val="both"/>
        <w:rPr>
          <w:sz w:val="24"/>
          <w:szCs w:val="24"/>
        </w:rPr>
      </w:pPr>
      <w:r w:rsidDel="00000000" w:rsidR="00000000" w:rsidRPr="00000000">
        <w:rPr>
          <w:sz w:val="24"/>
          <w:szCs w:val="24"/>
          <w:rtl w:val="0"/>
        </w:rPr>
        <w:t xml:space="preserve">Economía</w:t>
      </w:r>
    </w:p>
    <w:p w:rsidR="00000000" w:rsidDel="00000000" w:rsidP="00000000" w:rsidRDefault="00000000" w:rsidRPr="00000000" w14:paraId="00000016">
      <w:pPr>
        <w:numPr>
          <w:ilvl w:val="0"/>
          <w:numId w:val="2"/>
        </w:numPr>
        <w:spacing w:after="0" w:lineRule="auto"/>
        <w:ind w:left="708.6614173228347" w:hanging="360"/>
        <w:jc w:val="both"/>
        <w:rPr>
          <w:sz w:val="24"/>
          <w:szCs w:val="24"/>
        </w:rPr>
      </w:pPr>
      <w:r w:rsidDel="00000000" w:rsidR="00000000" w:rsidRPr="00000000">
        <w:rPr>
          <w:sz w:val="24"/>
          <w:szCs w:val="24"/>
          <w:rtl w:val="0"/>
        </w:rPr>
        <w:t xml:space="preserve">Educación</w:t>
      </w:r>
    </w:p>
    <w:p w:rsidR="00000000" w:rsidDel="00000000" w:rsidP="00000000" w:rsidRDefault="00000000" w:rsidRPr="00000000" w14:paraId="00000017">
      <w:pPr>
        <w:numPr>
          <w:ilvl w:val="0"/>
          <w:numId w:val="2"/>
        </w:numPr>
        <w:ind w:left="708.6614173228347" w:hanging="360"/>
        <w:jc w:val="both"/>
        <w:rPr>
          <w:sz w:val="24"/>
          <w:szCs w:val="24"/>
        </w:rPr>
      </w:pPr>
      <w:r w:rsidDel="00000000" w:rsidR="00000000" w:rsidRPr="00000000">
        <w:rPr>
          <w:sz w:val="24"/>
          <w:szCs w:val="24"/>
          <w:rtl w:val="0"/>
        </w:rPr>
        <w:t xml:space="preserve">Inversión en Salud</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ind w:left="0" w:firstLine="0"/>
        <w:jc w:val="both"/>
        <w:rPr>
          <w:b w:val="1"/>
          <w:sz w:val="28"/>
          <w:szCs w:val="28"/>
        </w:rPr>
      </w:pPr>
      <w:r w:rsidDel="00000000" w:rsidR="00000000" w:rsidRPr="00000000">
        <w:rPr>
          <w:b w:val="1"/>
          <w:sz w:val="28"/>
          <w:szCs w:val="28"/>
          <w:rtl w:val="0"/>
        </w:rPr>
        <w:t xml:space="preserve">Selección de indicadores para el EDA</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Después de hacer una exploración de los datos nos damos cuenta que algunos de los indicadores seleccionados presentan una cantidad considerable de valores nulos, por lo que decidimos quedarnos con aquellos que presentan por lo menos 1000 registros de un total de 1584 no nulos.</w:t>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962025</wp:posOffset>
            </wp:positionV>
            <wp:extent cx="2521426" cy="3284135"/>
            <wp:effectExtent b="0" l="0" r="0" t="0"/>
            <wp:wrapNone/>
            <wp:docPr id="209527388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21426" cy="3284135"/>
                    </a:xfrm>
                    <a:prstGeom prst="rect"/>
                    <a:ln/>
                  </pic:spPr>
                </pic:pic>
              </a:graphicData>
            </a:graphic>
          </wp:anchor>
        </w:drawing>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2524125</wp:posOffset>
            </wp:positionH>
            <wp:positionV relativeFrom="paragraph">
              <wp:posOffset>342900</wp:posOffset>
            </wp:positionV>
            <wp:extent cx="3714177" cy="2008988"/>
            <wp:effectExtent b="0" l="0" r="0" t="0"/>
            <wp:wrapNone/>
            <wp:docPr id="209527388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14177" cy="2008988"/>
                    </a:xfrm>
                    <a:prstGeom prst="rect"/>
                    <a:ln/>
                  </pic:spPr>
                </pic:pic>
              </a:graphicData>
            </a:graphic>
          </wp:anchor>
        </w:drawing>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Selección de variables para el modelo</w:t>
      </w:r>
    </w:p>
    <w:p w:rsidR="00000000" w:rsidDel="00000000" w:rsidP="00000000" w:rsidRDefault="00000000" w:rsidRPr="00000000" w14:paraId="0000002A">
      <w:pPr>
        <w:numPr>
          <w:ilvl w:val="0"/>
          <w:numId w:val="1"/>
        </w:numPr>
        <w:spacing w:after="0" w:afterAutospacing="0"/>
        <w:ind w:left="720" w:hanging="360"/>
        <w:jc w:val="both"/>
        <w:rPr>
          <w:sz w:val="24"/>
          <w:szCs w:val="24"/>
        </w:rPr>
      </w:pPr>
      <w:r w:rsidDel="00000000" w:rsidR="00000000" w:rsidRPr="00000000">
        <w:rPr>
          <w:sz w:val="24"/>
          <w:szCs w:val="24"/>
          <w:rtl w:val="0"/>
        </w:rPr>
        <w:t xml:space="preserve">País: Variable categórica que identifica la ubicación geográfica del registro. </w:t>
      </w:r>
    </w:p>
    <w:p w:rsidR="00000000" w:rsidDel="00000000" w:rsidP="00000000" w:rsidRDefault="00000000" w:rsidRPr="00000000" w14:paraId="0000002B">
      <w:pPr>
        <w:numPr>
          <w:ilvl w:val="0"/>
          <w:numId w:val="1"/>
        </w:numPr>
        <w:spacing w:after="0" w:afterAutospacing="0"/>
        <w:ind w:left="720" w:hanging="360"/>
        <w:jc w:val="both"/>
        <w:rPr>
          <w:sz w:val="24"/>
          <w:szCs w:val="24"/>
        </w:rPr>
      </w:pPr>
      <w:r w:rsidDel="00000000" w:rsidR="00000000" w:rsidRPr="00000000">
        <w:rPr>
          <w:sz w:val="24"/>
          <w:szCs w:val="24"/>
          <w:rtl w:val="0"/>
        </w:rPr>
        <w:t xml:space="preserve">Año: Variable temporal que indica el año al que corresponde cada registro. </w:t>
      </w:r>
    </w:p>
    <w:p w:rsidR="00000000" w:rsidDel="00000000" w:rsidP="00000000" w:rsidRDefault="00000000" w:rsidRPr="00000000" w14:paraId="0000002C">
      <w:pPr>
        <w:numPr>
          <w:ilvl w:val="0"/>
          <w:numId w:val="1"/>
        </w:numPr>
        <w:spacing w:after="0" w:afterAutospacing="0"/>
        <w:ind w:left="720" w:hanging="360"/>
        <w:jc w:val="both"/>
        <w:rPr>
          <w:sz w:val="24"/>
          <w:szCs w:val="24"/>
        </w:rPr>
      </w:pPr>
      <w:r w:rsidDel="00000000" w:rsidR="00000000" w:rsidRPr="00000000">
        <w:rPr>
          <w:sz w:val="24"/>
          <w:szCs w:val="24"/>
          <w:rtl w:val="0"/>
        </w:rPr>
        <w:t xml:space="preserve">GDP per capita (current US$): El Producto Interno Bruto (PIB) per cápita en dólares estadounidenses corrientes. Es un indicador económico que muestra la producción promedio por individuo en el país.</w:t>
      </w:r>
    </w:p>
    <w:p w:rsidR="00000000" w:rsidDel="00000000" w:rsidP="00000000" w:rsidRDefault="00000000" w:rsidRPr="00000000" w14:paraId="0000002D">
      <w:pPr>
        <w:numPr>
          <w:ilvl w:val="0"/>
          <w:numId w:val="1"/>
        </w:numPr>
        <w:spacing w:after="0" w:afterAutospacing="0"/>
        <w:ind w:left="720" w:hanging="360"/>
        <w:jc w:val="both"/>
        <w:rPr>
          <w:sz w:val="24"/>
          <w:szCs w:val="24"/>
        </w:rPr>
      </w:pPr>
      <w:r w:rsidDel="00000000" w:rsidR="00000000" w:rsidRPr="00000000">
        <w:rPr>
          <w:sz w:val="24"/>
          <w:szCs w:val="24"/>
          <w:rtl w:val="0"/>
        </w:rPr>
        <w:t xml:space="preserve">Inflation, GDP deflator (annual %): Indica el cambio porcentual en el nivel general de precios en la economía.</w:t>
      </w:r>
    </w:p>
    <w:p w:rsidR="00000000" w:rsidDel="00000000" w:rsidP="00000000" w:rsidRDefault="00000000" w:rsidRPr="00000000" w14:paraId="0000002E">
      <w:pPr>
        <w:numPr>
          <w:ilvl w:val="0"/>
          <w:numId w:val="1"/>
        </w:numPr>
        <w:spacing w:after="0" w:afterAutospacing="0"/>
        <w:ind w:left="720" w:hanging="360"/>
        <w:jc w:val="both"/>
        <w:rPr>
          <w:sz w:val="24"/>
          <w:szCs w:val="24"/>
        </w:rPr>
      </w:pPr>
      <w:r w:rsidDel="00000000" w:rsidR="00000000" w:rsidRPr="00000000">
        <w:rPr>
          <w:sz w:val="24"/>
          <w:szCs w:val="24"/>
          <w:rtl w:val="0"/>
        </w:rPr>
        <w:t xml:space="preserve">Inflation, consumer prices (annual %): Representa el cambio porcentual en el índice de precios al consumidor.</w:t>
      </w:r>
    </w:p>
    <w:p w:rsidR="00000000" w:rsidDel="00000000" w:rsidP="00000000" w:rsidRDefault="00000000" w:rsidRPr="00000000" w14:paraId="0000002F">
      <w:pPr>
        <w:numPr>
          <w:ilvl w:val="0"/>
          <w:numId w:val="1"/>
        </w:numPr>
        <w:spacing w:after="0" w:afterAutospacing="0"/>
        <w:ind w:left="720" w:hanging="360"/>
        <w:jc w:val="both"/>
        <w:rPr>
          <w:sz w:val="24"/>
          <w:szCs w:val="24"/>
        </w:rPr>
      </w:pPr>
      <w:r w:rsidDel="00000000" w:rsidR="00000000" w:rsidRPr="00000000">
        <w:rPr>
          <w:sz w:val="24"/>
          <w:szCs w:val="24"/>
          <w:rtl w:val="0"/>
        </w:rPr>
        <w:t xml:space="preserve">Life expectancy at birth, total (years): La esperanza de vida al nacer en años. </w:t>
      </w:r>
    </w:p>
    <w:p w:rsidR="00000000" w:rsidDel="00000000" w:rsidP="00000000" w:rsidRDefault="00000000" w:rsidRPr="00000000" w14:paraId="00000030">
      <w:pPr>
        <w:numPr>
          <w:ilvl w:val="0"/>
          <w:numId w:val="1"/>
        </w:numPr>
        <w:spacing w:after="0" w:afterAutospacing="0"/>
        <w:ind w:left="720" w:hanging="360"/>
        <w:jc w:val="both"/>
        <w:rPr>
          <w:sz w:val="24"/>
          <w:szCs w:val="24"/>
        </w:rPr>
      </w:pPr>
      <w:r w:rsidDel="00000000" w:rsidR="00000000" w:rsidRPr="00000000">
        <w:rPr>
          <w:sz w:val="24"/>
          <w:szCs w:val="24"/>
          <w:rtl w:val="0"/>
        </w:rPr>
        <w:t xml:space="preserve">Population growth (annual %): La tasa de crecimiento poblacional anual, que indica la variación porcentual en la población en un año dado.</w:t>
      </w:r>
    </w:p>
    <w:p w:rsidR="00000000" w:rsidDel="00000000" w:rsidP="00000000" w:rsidRDefault="00000000" w:rsidRPr="00000000" w14:paraId="00000031">
      <w:pPr>
        <w:numPr>
          <w:ilvl w:val="0"/>
          <w:numId w:val="1"/>
        </w:numPr>
        <w:spacing w:after="0" w:afterAutospacing="0"/>
        <w:ind w:left="720" w:hanging="360"/>
        <w:jc w:val="both"/>
        <w:rPr>
          <w:sz w:val="24"/>
          <w:szCs w:val="24"/>
        </w:rPr>
      </w:pPr>
      <w:r w:rsidDel="00000000" w:rsidR="00000000" w:rsidRPr="00000000">
        <w:rPr>
          <w:sz w:val="24"/>
          <w:szCs w:val="24"/>
          <w:rtl w:val="0"/>
        </w:rPr>
        <w:t xml:space="preserve">Ratio_population ages 65 and above: La proporción de la población total que tiene 65 años o más.</w:t>
      </w:r>
    </w:p>
    <w:p w:rsidR="00000000" w:rsidDel="00000000" w:rsidP="00000000" w:rsidRDefault="00000000" w:rsidRPr="00000000" w14:paraId="00000032">
      <w:pPr>
        <w:numPr>
          <w:ilvl w:val="0"/>
          <w:numId w:val="1"/>
        </w:numPr>
        <w:spacing w:after="0" w:afterAutospacing="0"/>
        <w:ind w:left="720" w:hanging="360"/>
        <w:jc w:val="both"/>
        <w:rPr>
          <w:sz w:val="24"/>
          <w:szCs w:val="24"/>
        </w:rPr>
      </w:pPr>
      <w:r w:rsidDel="00000000" w:rsidR="00000000" w:rsidRPr="00000000">
        <w:rPr>
          <w:sz w:val="24"/>
          <w:szCs w:val="24"/>
          <w:rtl w:val="0"/>
        </w:rPr>
        <w:t xml:space="preserve">Ratio_urban population: La proporción de la población que vive en áreas urbanas en comparación con la población total. </w:t>
      </w:r>
    </w:p>
    <w:p w:rsidR="00000000" w:rsidDel="00000000" w:rsidP="00000000" w:rsidRDefault="00000000" w:rsidRPr="00000000" w14:paraId="00000033">
      <w:pPr>
        <w:numPr>
          <w:ilvl w:val="0"/>
          <w:numId w:val="1"/>
        </w:numPr>
        <w:ind w:left="720" w:hanging="360"/>
        <w:jc w:val="both"/>
        <w:rPr>
          <w:sz w:val="24"/>
          <w:szCs w:val="24"/>
        </w:rPr>
      </w:pPr>
      <w:r w:rsidDel="00000000" w:rsidR="00000000" w:rsidRPr="00000000">
        <w:rPr>
          <w:sz w:val="24"/>
          <w:szCs w:val="24"/>
          <w:rtl w:val="0"/>
        </w:rPr>
        <w:t xml:space="preserve">Urban population growth (annual %): La tasa de crecimiento anual de la población urbana. </w:t>
      </w:r>
    </w:p>
    <w:p w:rsidR="00000000" w:rsidDel="00000000" w:rsidP="00000000" w:rsidRDefault="00000000" w:rsidRPr="00000000" w14:paraId="00000034">
      <w:pPr>
        <w:ind w:left="720" w:firstLine="0"/>
        <w:jc w:val="both"/>
        <w:rPr>
          <w:b w:val="1"/>
          <w:sz w:val="28"/>
          <w:szCs w:val="28"/>
        </w:rPr>
      </w:pPr>
      <w:r w:rsidDel="00000000" w:rsidR="00000000" w:rsidRPr="00000000">
        <w:rPr>
          <w:rtl w:val="0"/>
        </w:rPr>
      </w:r>
    </w:p>
    <w:p w:rsidR="00000000" w:rsidDel="00000000" w:rsidP="00000000" w:rsidRDefault="00000000" w:rsidRPr="00000000" w14:paraId="00000035">
      <w:pPr>
        <w:ind w:left="0" w:firstLine="0"/>
        <w:jc w:val="both"/>
        <w:rPr>
          <w:b w:val="1"/>
          <w:sz w:val="28"/>
          <w:szCs w:val="28"/>
        </w:rPr>
      </w:pPr>
      <w:r w:rsidDel="00000000" w:rsidR="00000000" w:rsidRPr="00000000">
        <w:rPr>
          <w:b w:val="1"/>
          <w:sz w:val="28"/>
          <w:szCs w:val="28"/>
          <w:rtl w:val="0"/>
        </w:rPr>
        <w:t xml:space="preserve">Elección del modelo</w:t>
      </w:r>
    </w:p>
    <w:p w:rsidR="00000000" w:rsidDel="00000000" w:rsidP="00000000" w:rsidRDefault="00000000" w:rsidRPr="00000000" w14:paraId="00000036">
      <w:pPr>
        <w:ind w:left="0" w:firstLine="0"/>
        <w:jc w:val="both"/>
        <w:rPr>
          <w:sz w:val="26"/>
          <w:szCs w:val="26"/>
        </w:rPr>
      </w:pPr>
      <w:r w:rsidDel="00000000" w:rsidR="00000000" w:rsidRPr="00000000">
        <w:rPr>
          <w:sz w:val="26"/>
          <w:szCs w:val="26"/>
          <w:rtl w:val="0"/>
        </w:rPr>
        <w:t xml:space="preserve">Se ha decidido el uso de un modelo no supervisado con el objetivo de segmentar los países en base a sus indicadores y poder recomendar los que se encuentren en una mejor situación.</w:t>
      </w:r>
    </w:p>
    <w:p w:rsidR="00000000" w:rsidDel="00000000" w:rsidP="00000000" w:rsidRDefault="00000000" w:rsidRPr="00000000" w14:paraId="00000037">
      <w:pPr>
        <w:ind w:left="0" w:firstLine="0"/>
        <w:jc w:val="both"/>
        <w:rPr>
          <w:sz w:val="28"/>
          <w:szCs w:val="28"/>
        </w:rPr>
      </w:pPr>
      <w:r w:rsidDel="00000000" w:rsidR="00000000" w:rsidRPr="00000000">
        <w:rPr>
          <w:sz w:val="26"/>
          <w:szCs w:val="26"/>
          <w:rtl w:val="0"/>
        </w:rPr>
        <w:t xml:space="preserve">El algoritmo elegido es K-means.</w:t>
      </w:r>
      <w:r w:rsidDel="00000000" w:rsidR="00000000" w:rsidRPr="00000000">
        <w:rPr>
          <w:sz w:val="28"/>
          <w:szCs w:val="28"/>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504825</wp:posOffset>
            </wp:positionV>
            <wp:extent cx="5506809" cy="1892584"/>
            <wp:effectExtent b="0" l="0" r="0" t="0"/>
            <wp:wrapNone/>
            <wp:docPr id="2095273881" name="image7.png"/>
            <a:graphic>
              <a:graphicData uri="http://schemas.openxmlformats.org/drawingml/2006/picture">
                <pic:pic>
                  <pic:nvPicPr>
                    <pic:cNvPr id="0" name="image7.png"/>
                    <pic:cNvPicPr preferRelativeResize="0"/>
                  </pic:nvPicPr>
                  <pic:blipFill>
                    <a:blip r:embed="rId14"/>
                    <a:srcRect b="7252" l="0" r="0" t="10210"/>
                    <a:stretch>
                      <a:fillRect/>
                    </a:stretch>
                  </pic:blipFill>
                  <pic:spPr>
                    <a:xfrm>
                      <a:off x="0" y="0"/>
                      <a:ext cx="5506809" cy="1892584"/>
                    </a:xfrm>
                    <a:prstGeom prst="rect"/>
                    <a:ln/>
                  </pic:spPr>
                </pic:pic>
              </a:graphicData>
            </a:graphic>
          </wp:anchor>
        </w:drawing>
      </w:r>
    </w:p>
    <w:p w:rsidR="00000000" w:rsidDel="00000000" w:rsidP="00000000" w:rsidRDefault="00000000" w:rsidRPr="00000000" w14:paraId="00000038">
      <w:pPr>
        <w:ind w:left="0" w:firstLine="0"/>
        <w:jc w:val="both"/>
        <w:rPr>
          <w:sz w:val="28"/>
          <w:szCs w:val="28"/>
        </w:rPr>
      </w:pPr>
      <w:r w:rsidDel="00000000" w:rsidR="00000000" w:rsidRPr="00000000">
        <w:rPr>
          <w:rtl w:val="0"/>
        </w:rPr>
      </w:r>
    </w:p>
    <w:p w:rsidR="00000000" w:rsidDel="00000000" w:rsidP="00000000" w:rsidRDefault="00000000" w:rsidRPr="00000000" w14:paraId="00000039">
      <w:pPr>
        <w:ind w:left="0" w:firstLine="0"/>
        <w:jc w:val="both"/>
        <w:rPr>
          <w:sz w:val="28"/>
          <w:szCs w:val="28"/>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sz w:val="24"/>
          <w:szCs w:val="24"/>
          <w:rtl w:val="0"/>
        </w:rPr>
        <w:t xml:space="preserve">Se ha decidido tomar como referencia el promedio de los valores registrados en los últimos 5 años (2017-2021).</w:t>
      </w:r>
    </w:p>
    <w:p w:rsidR="00000000" w:rsidDel="00000000" w:rsidP="00000000" w:rsidRDefault="00000000" w:rsidRPr="00000000" w14:paraId="00000042">
      <w:pPr>
        <w:ind w:left="0" w:firstLine="0"/>
        <w:jc w:val="both"/>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228600</wp:posOffset>
            </wp:positionV>
            <wp:extent cx="5399730" cy="1816100"/>
            <wp:effectExtent b="0" l="0" r="0" t="0"/>
            <wp:wrapNone/>
            <wp:docPr id="209527388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99730" cy="1816100"/>
                    </a:xfrm>
                    <a:prstGeom prst="rect"/>
                    <a:ln/>
                  </pic:spPr>
                </pic:pic>
              </a:graphicData>
            </a:graphic>
          </wp:anchor>
        </w:drawing>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b w:val="1"/>
          <w:sz w:val="26"/>
          <w:szCs w:val="26"/>
        </w:rPr>
      </w:pPr>
      <w:r w:rsidDel="00000000" w:rsidR="00000000" w:rsidRPr="00000000">
        <w:rPr>
          <w:rtl w:val="0"/>
        </w:rPr>
      </w:r>
    </w:p>
    <w:p w:rsidR="00000000" w:rsidDel="00000000" w:rsidP="00000000" w:rsidRDefault="00000000" w:rsidRPr="00000000" w14:paraId="0000004A">
      <w:pPr>
        <w:ind w:left="0" w:firstLine="0"/>
        <w:jc w:val="both"/>
        <w:rPr>
          <w:b w:val="1"/>
          <w:sz w:val="26"/>
          <w:szCs w:val="26"/>
        </w:rPr>
      </w:pPr>
      <w:r w:rsidDel="00000000" w:rsidR="00000000" w:rsidRPr="00000000">
        <w:rPr>
          <w:b w:val="1"/>
          <w:sz w:val="26"/>
          <w:szCs w:val="26"/>
          <w:rtl w:val="0"/>
        </w:rPr>
        <w:tab/>
        <w:t xml:space="preserve">Selección del número óptimo de clusters</w:t>
      </w:r>
    </w:p>
    <w:p w:rsidR="00000000" w:rsidDel="00000000" w:rsidP="00000000" w:rsidRDefault="00000000" w:rsidRPr="00000000" w14:paraId="0000004B">
      <w:pPr>
        <w:ind w:left="0" w:firstLine="0"/>
        <w:jc w:val="both"/>
        <w:rPr>
          <w:b w:val="1"/>
          <w:sz w:val="24"/>
          <w:szCs w:val="24"/>
        </w:rPr>
      </w:pPr>
      <w:r w:rsidDel="00000000" w:rsidR="00000000" w:rsidRPr="00000000">
        <w:rPr>
          <w:b w:val="1"/>
          <w:sz w:val="24"/>
          <w:szCs w:val="24"/>
          <w:rtl w:val="0"/>
        </w:rPr>
        <w:tab/>
        <w:tab/>
        <w:tab/>
        <w:tab/>
        <w:t xml:space="preserve">        Método del codo</w:t>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330938</wp:posOffset>
            </wp:positionV>
            <wp:extent cx="4772978" cy="3564500"/>
            <wp:effectExtent b="0" l="0" r="0" t="0"/>
            <wp:wrapNone/>
            <wp:docPr id="209527388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72978" cy="3564500"/>
                    </a:xfrm>
                    <a:prstGeom prst="rect"/>
                    <a:ln/>
                  </pic:spPr>
                </pic:pic>
              </a:graphicData>
            </a:graphic>
          </wp:anchor>
        </w:drawing>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ind w:left="2880" w:firstLine="0"/>
        <w:jc w:val="both"/>
        <w:rPr>
          <w:b w:val="1"/>
          <w:sz w:val="24"/>
          <w:szCs w:val="24"/>
        </w:rPr>
      </w:pPr>
      <w:r w:rsidDel="00000000" w:rsidR="00000000" w:rsidRPr="00000000">
        <w:rPr>
          <w:b w:val="1"/>
          <w:sz w:val="24"/>
          <w:szCs w:val="24"/>
          <w:rtl w:val="0"/>
        </w:rPr>
        <w:t xml:space="preserve">   Coeficiente de silhoutte</w:t>
      </w:r>
      <w:r w:rsidDel="00000000" w:rsidR="00000000" w:rsidRPr="00000000">
        <w:drawing>
          <wp:anchor allowOverlap="1" behindDoc="1" distB="114300" distT="114300" distL="114300" distR="114300" hidden="0" layoutInCell="1" locked="0" relativeHeight="0" simplePos="0">
            <wp:simplePos x="0" y="0"/>
            <wp:positionH relativeFrom="column">
              <wp:posOffset>309562</wp:posOffset>
            </wp:positionH>
            <wp:positionV relativeFrom="paragraph">
              <wp:posOffset>302363</wp:posOffset>
            </wp:positionV>
            <wp:extent cx="4782503" cy="3552974"/>
            <wp:effectExtent b="0" l="0" r="0" t="0"/>
            <wp:wrapNone/>
            <wp:docPr id="209527388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82503" cy="3552974"/>
                    </a:xfrm>
                    <a:prstGeom prst="rect"/>
                    <a:ln/>
                  </pic:spPr>
                </pic:pic>
              </a:graphicData>
            </a:graphic>
          </wp:anchor>
        </w:drawing>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720"/>
        <w:jc w:val="both"/>
        <w:rPr>
          <w:sz w:val="24"/>
          <w:szCs w:val="24"/>
        </w:rPr>
      </w:pPr>
      <w:r w:rsidDel="00000000" w:rsidR="00000000" w:rsidRPr="00000000">
        <w:rPr>
          <w:sz w:val="24"/>
          <w:szCs w:val="24"/>
          <w:rtl w:val="0"/>
        </w:rPr>
        <w:t xml:space="preserve">En base a los gráficos anteriores el número de clusters elegido es 5</w:t>
      </w:r>
    </w:p>
    <w:p w:rsidR="00000000" w:rsidDel="00000000" w:rsidP="00000000" w:rsidRDefault="00000000" w:rsidRPr="00000000" w14:paraId="0000006C">
      <w:pPr>
        <w:ind w:left="0" w:firstLine="720"/>
        <w:jc w:val="both"/>
        <w:rPr>
          <w:b w:val="1"/>
          <w:sz w:val="26"/>
          <w:szCs w:val="26"/>
        </w:rPr>
      </w:pPr>
      <w:r w:rsidDel="00000000" w:rsidR="00000000" w:rsidRPr="00000000">
        <w:rPr>
          <w:rtl w:val="0"/>
        </w:rPr>
      </w:r>
    </w:p>
    <w:p w:rsidR="00000000" w:rsidDel="00000000" w:rsidP="00000000" w:rsidRDefault="00000000" w:rsidRPr="00000000" w14:paraId="0000006D">
      <w:pPr>
        <w:ind w:left="0" w:firstLine="720"/>
        <w:jc w:val="both"/>
        <w:rPr>
          <w:b w:val="1"/>
          <w:sz w:val="26"/>
          <w:szCs w:val="26"/>
        </w:rPr>
      </w:pPr>
      <w:r w:rsidDel="00000000" w:rsidR="00000000" w:rsidRPr="00000000">
        <w:rPr>
          <w:b w:val="1"/>
          <w:sz w:val="26"/>
          <w:szCs w:val="26"/>
          <w:rtl w:val="0"/>
        </w:rPr>
        <w:t xml:space="preserve">Visualizaciones de los diferentes indicadores</w:t>
      </w:r>
    </w:p>
    <w:p w:rsidR="00000000" w:rsidDel="00000000" w:rsidP="00000000" w:rsidRDefault="00000000" w:rsidRPr="00000000" w14:paraId="0000006E">
      <w:pPr>
        <w:ind w:left="720" w:firstLine="0"/>
        <w:jc w:val="both"/>
        <w:rPr>
          <w:b w:val="1"/>
          <w:sz w:val="26"/>
          <w:szCs w:val="26"/>
        </w:rPr>
      </w:pPr>
      <w:r w:rsidDel="00000000" w:rsidR="00000000" w:rsidRPr="00000000">
        <w:rPr>
          <w:sz w:val="24"/>
          <w:szCs w:val="24"/>
          <w:rtl w:val="0"/>
        </w:rPr>
        <w:t xml:space="preserve">Observamos que el cluster 2 agrupa los valores mayores para el indicador de “Life expectancy at birth, total (years)”</w:t>
      </w:r>
      <w:r w:rsidDel="00000000" w:rsidR="00000000" w:rsidRPr="00000000">
        <w:rPr>
          <w:rtl w:val="0"/>
        </w:rPr>
      </w:r>
    </w:p>
    <w:p w:rsidR="00000000" w:rsidDel="00000000" w:rsidP="00000000" w:rsidRDefault="00000000" w:rsidRPr="00000000" w14:paraId="0000006F">
      <w:pPr>
        <w:ind w:left="0" w:firstLine="720"/>
        <w:jc w:val="both"/>
        <w:rPr>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361478</wp:posOffset>
            </wp:positionH>
            <wp:positionV relativeFrom="paragraph">
              <wp:posOffset>179395</wp:posOffset>
            </wp:positionV>
            <wp:extent cx="4677728" cy="3595691"/>
            <wp:effectExtent b="0" l="0" r="0" t="0"/>
            <wp:wrapNone/>
            <wp:docPr id="209527388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677728" cy="3595691"/>
                    </a:xfrm>
                    <a:prstGeom prst="rect"/>
                    <a:ln/>
                  </pic:spPr>
                </pic:pic>
              </a:graphicData>
            </a:graphic>
          </wp:anchor>
        </w:drawing>
      </w:r>
    </w:p>
    <w:p w:rsidR="00000000" w:rsidDel="00000000" w:rsidP="00000000" w:rsidRDefault="00000000" w:rsidRPr="00000000" w14:paraId="00000070">
      <w:pPr>
        <w:ind w:left="0" w:firstLine="720"/>
        <w:jc w:val="both"/>
        <w:rPr>
          <w:b w:val="1"/>
          <w:sz w:val="26"/>
          <w:szCs w:val="26"/>
        </w:rPr>
      </w:pPr>
      <w:r w:rsidDel="00000000" w:rsidR="00000000" w:rsidRPr="00000000">
        <w:rPr>
          <w:rtl w:val="0"/>
        </w:rPr>
      </w:r>
    </w:p>
    <w:p w:rsidR="00000000" w:rsidDel="00000000" w:rsidP="00000000" w:rsidRDefault="00000000" w:rsidRPr="00000000" w14:paraId="00000071">
      <w:pPr>
        <w:ind w:left="0" w:firstLine="720"/>
        <w:jc w:val="both"/>
        <w:rPr>
          <w:b w:val="1"/>
          <w:sz w:val="26"/>
          <w:szCs w:val="26"/>
        </w:rPr>
      </w:pPr>
      <w:r w:rsidDel="00000000" w:rsidR="00000000" w:rsidRPr="00000000">
        <w:rPr>
          <w:rtl w:val="0"/>
        </w:rPr>
      </w:r>
    </w:p>
    <w:p w:rsidR="00000000" w:rsidDel="00000000" w:rsidP="00000000" w:rsidRDefault="00000000" w:rsidRPr="00000000" w14:paraId="00000072">
      <w:pPr>
        <w:ind w:left="0" w:firstLine="720"/>
        <w:jc w:val="both"/>
        <w:rPr>
          <w:b w:val="1"/>
          <w:sz w:val="26"/>
          <w:szCs w:val="26"/>
        </w:rPr>
      </w:pPr>
      <w:r w:rsidDel="00000000" w:rsidR="00000000" w:rsidRPr="00000000">
        <w:rPr>
          <w:rtl w:val="0"/>
        </w:rPr>
      </w:r>
    </w:p>
    <w:p w:rsidR="00000000" w:rsidDel="00000000" w:rsidP="00000000" w:rsidRDefault="00000000" w:rsidRPr="00000000" w14:paraId="00000073">
      <w:pPr>
        <w:ind w:left="0" w:firstLine="720"/>
        <w:jc w:val="both"/>
        <w:rPr>
          <w:b w:val="1"/>
          <w:sz w:val="26"/>
          <w:szCs w:val="26"/>
        </w:rPr>
      </w:pPr>
      <w:r w:rsidDel="00000000" w:rsidR="00000000" w:rsidRPr="00000000">
        <w:rPr>
          <w:rtl w:val="0"/>
        </w:rPr>
      </w:r>
    </w:p>
    <w:p w:rsidR="00000000" w:rsidDel="00000000" w:rsidP="00000000" w:rsidRDefault="00000000" w:rsidRPr="00000000" w14:paraId="00000074">
      <w:pPr>
        <w:ind w:left="0" w:firstLine="720"/>
        <w:jc w:val="both"/>
        <w:rPr>
          <w:b w:val="1"/>
          <w:sz w:val="26"/>
          <w:szCs w:val="26"/>
        </w:rPr>
      </w:pPr>
      <w:r w:rsidDel="00000000" w:rsidR="00000000" w:rsidRPr="00000000">
        <w:rPr>
          <w:rtl w:val="0"/>
        </w:rPr>
      </w:r>
    </w:p>
    <w:p w:rsidR="00000000" w:rsidDel="00000000" w:rsidP="00000000" w:rsidRDefault="00000000" w:rsidRPr="00000000" w14:paraId="00000075">
      <w:pPr>
        <w:ind w:left="0" w:firstLine="720"/>
        <w:jc w:val="both"/>
        <w:rPr>
          <w:b w:val="1"/>
          <w:sz w:val="26"/>
          <w:szCs w:val="26"/>
        </w:rPr>
      </w:pPr>
      <w:r w:rsidDel="00000000" w:rsidR="00000000" w:rsidRPr="00000000">
        <w:rPr>
          <w:rtl w:val="0"/>
        </w:rPr>
      </w:r>
    </w:p>
    <w:p w:rsidR="00000000" w:rsidDel="00000000" w:rsidP="00000000" w:rsidRDefault="00000000" w:rsidRPr="00000000" w14:paraId="00000076">
      <w:pPr>
        <w:ind w:left="0" w:firstLine="720"/>
        <w:jc w:val="both"/>
        <w:rPr>
          <w:b w:val="1"/>
          <w:sz w:val="26"/>
          <w:szCs w:val="26"/>
        </w:rPr>
      </w:pPr>
      <w:r w:rsidDel="00000000" w:rsidR="00000000" w:rsidRPr="00000000">
        <w:rPr>
          <w:rtl w:val="0"/>
        </w:rPr>
      </w:r>
    </w:p>
    <w:p w:rsidR="00000000" w:rsidDel="00000000" w:rsidP="00000000" w:rsidRDefault="00000000" w:rsidRPr="00000000" w14:paraId="00000077">
      <w:pPr>
        <w:ind w:left="0" w:firstLine="720"/>
        <w:jc w:val="both"/>
        <w:rPr>
          <w:b w:val="1"/>
          <w:sz w:val="26"/>
          <w:szCs w:val="26"/>
        </w:rPr>
      </w:pPr>
      <w:r w:rsidDel="00000000" w:rsidR="00000000" w:rsidRPr="00000000">
        <w:rPr>
          <w:rtl w:val="0"/>
        </w:rPr>
      </w:r>
    </w:p>
    <w:p w:rsidR="00000000" w:rsidDel="00000000" w:rsidP="00000000" w:rsidRDefault="00000000" w:rsidRPr="00000000" w14:paraId="00000078">
      <w:pPr>
        <w:ind w:left="0" w:firstLine="720"/>
        <w:jc w:val="both"/>
        <w:rPr>
          <w:b w:val="1"/>
          <w:sz w:val="26"/>
          <w:szCs w:val="26"/>
        </w:rPr>
      </w:pPr>
      <w:r w:rsidDel="00000000" w:rsidR="00000000" w:rsidRPr="00000000">
        <w:rPr>
          <w:rtl w:val="0"/>
        </w:rPr>
      </w:r>
    </w:p>
    <w:p w:rsidR="00000000" w:rsidDel="00000000" w:rsidP="00000000" w:rsidRDefault="00000000" w:rsidRPr="00000000" w14:paraId="00000079">
      <w:pPr>
        <w:ind w:left="0" w:firstLine="0"/>
        <w:jc w:val="both"/>
        <w:rPr>
          <w:b w:val="1"/>
          <w:sz w:val="26"/>
          <w:szCs w:val="26"/>
        </w:rPr>
      </w:pPr>
      <w:r w:rsidDel="00000000" w:rsidR="00000000" w:rsidRPr="00000000">
        <w:rPr>
          <w:rtl w:val="0"/>
        </w:rPr>
      </w:r>
    </w:p>
    <w:p w:rsidR="00000000" w:rsidDel="00000000" w:rsidP="00000000" w:rsidRDefault="00000000" w:rsidRPr="00000000" w14:paraId="0000007A">
      <w:pPr>
        <w:ind w:left="720" w:firstLine="0"/>
        <w:jc w:val="both"/>
        <w:rPr>
          <w:b w:val="1"/>
          <w:sz w:val="26"/>
          <w:szCs w:val="26"/>
        </w:rPr>
      </w:pPr>
      <w:r w:rsidDel="00000000" w:rsidR="00000000" w:rsidRPr="00000000">
        <w:rPr>
          <w:sz w:val="24"/>
          <w:szCs w:val="24"/>
          <w:rtl w:val="0"/>
        </w:rPr>
        <w:t xml:space="preserve">Observamos que el cluster 2 agrupa los valores mayores para el indicador de “GDP per capita (US$)”</w:t>
      </w:r>
      <w:r w:rsidDel="00000000" w:rsidR="00000000" w:rsidRPr="00000000">
        <w:rPr>
          <w:rtl w:val="0"/>
        </w:rPr>
      </w:r>
    </w:p>
    <w:p w:rsidR="00000000" w:rsidDel="00000000" w:rsidP="00000000" w:rsidRDefault="00000000" w:rsidRPr="00000000" w14:paraId="0000007B">
      <w:pPr>
        <w:ind w:left="0" w:firstLine="720"/>
        <w:jc w:val="both"/>
        <w:rPr>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275753</wp:posOffset>
            </wp:positionH>
            <wp:positionV relativeFrom="paragraph">
              <wp:posOffset>115999</wp:posOffset>
            </wp:positionV>
            <wp:extent cx="4849178" cy="3557774"/>
            <wp:effectExtent b="0" l="0" r="0" t="0"/>
            <wp:wrapNone/>
            <wp:docPr id="209527387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849178" cy="3557774"/>
                    </a:xfrm>
                    <a:prstGeom prst="rect"/>
                    <a:ln/>
                  </pic:spPr>
                </pic:pic>
              </a:graphicData>
            </a:graphic>
          </wp:anchor>
        </w:drawing>
      </w:r>
    </w:p>
    <w:p w:rsidR="00000000" w:rsidDel="00000000" w:rsidP="00000000" w:rsidRDefault="00000000" w:rsidRPr="00000000" w14:paraId="0000007C">
      <w:pPr>
        <w:ind w:left="0" w:firstLine="720"/>
        <w:jc w:val="both"/>
        <w:rPr>
          <w:b w:val="1"/>
          <w:sz w:val="26"/>
          <w:szCs w:val="26"/>
        </w:rPr>
      </w:pPr>
      <w:r w:rsidDel="00000000" w:rsidR="00000000" w:rsidRPr="00000000">
        <w:rPr>
          <w:rtl w:val="0"/>
        </w:rPr>
      </w:r>
    </w:p>
    <w:p w:rsidR="00000000" w:rsidDel="00000000" w:rsidP="00000000" w:rsidRDefault="00000000" w:rsidRPr="00000000" w14:paraId="0000007D">
      <w:pPr>
        <w:ind w:left="0" w:firstLine="720"/>
        <w:jc w:val="both"/>
        <w:rPr>
          <w:b w:val="1"/>
          <w:sz w:val="26"/>
          <w:szCs w:val="26"/>
        </w:rPr>
      </w:pPr>
      <w:r w:rsidDel="00000000" w:rsidR="00000000" w:rsidRPr="00000000">
        <w:rPr>
          <w:rtl w:val="0"/>
        </w:rPr>
      </w:r>
    </w:p>
    <w:p w:rsidR="00000000" w:rsidDel="00000000" w:rsidP="00000000" w:rsidRDefault="00000000" w:rsidRPr="00000000" w14:paraId="0000007E">
      <w:pPr>
        <w:ind w:left="0" w:firstLine="720"/>
        <w:jc w:val="both"/>
        <w:rPr>
          <w:b w:val="1"/>
          <w:sz w:val="26"/>
          <w:szCs w:val="26"/>
        </w:rPr>
      </w:pPr>
      <w:r w:rsidDel="00000000" w:rsidR="00000000" w:rsidRPr="00000000">
        <w:rPr>
          <w:rtl w:val="0"/>
        </w:rPr>
      </w:r>
    </w:p>
    <w:p w:rsidR="00000000" w:rsidDel="00000000" w:rsidP="00000000" w:rsidRDefault="00000000" w:rsidRPr="00000000" w14:paraId="0000007F">
      <w:pPr>
        <w:ind w:left="0" w:firstLine="720"/>
        <w:jc w:val="both"/>
        <w:rPr>
          <w:b w:val="1"/>
          <w:sz w:val="26"/>
          <w:szCs w:val="26"/>
        </w:rPr>
      </w:pPr>
      <w:r w:rsidDel="00000000" w:rsidR="00000000" w:rsidRPr="00000000">
        <w:rPr>
          <w:rtl w:val="0"/>
        </w:rPr>
      </w:r>
    </w:p>
    <w:p w:rsidR="00000000" w:rsidDel="00000000" w:rsidP="00000000" w:rsidRDefault="00000000" w:rsidRPr="00000000" w14:paraId="00000080">
      <w:pPr>
        <w:ind w:left="0" w:firstLine="720"/>
        <w:jc w:val="both"/>
        <w:rPr>
          <w:b w:val="1"/>
          <w:sz w:val="26"/>
          <w:szCs w:val="26"/>
        </w:rPr>
      </w:pPr>
      <w:r w:rsidDel="00000000" w:rsidR="00000000" w:rsidRPr="00000000">
        <w:rPr>
          <w:rtl w:val="0"/>
        </w:rPr>
      </w:r>
    </w:p>
    <w:p w:rsidR="00000000" w:rsidDel="00000000" w:rsidP="00000000" w:rsidRDefault="00000000" w:rsidRPr="00000000" w14:paraId="00000081">
      <w:pPr>
        <w:ind w:left="0" w:firstLine="720"/>
        <w:jc w:val="both"/>
        <w:rPr>
          <w:b w:val="1"/>
          <w:sz w:val="26"/>
          <w:szCs w:val="26"/>
        </w:rPr>
      </w:pPr>
      <w:r w:rsidDel="00000000" w:rsidR="00000000" w:rsidRPr="00000000">
        <w:rPr>
          <w:rtl w:val="0"/>
        </w:rPr>
      </w:r>
    </w:p>
    <w:p w:rsidR="00000000" w:rsidDel="00000000" w:rsidP="00000000" w:rsidRDefault="00000000" w:rsidRPr="00000000" w14:paraId="00000082">
      <w:pPr>
        <w:ind w:left="0" w:firstLine="720"/>
        <w:jc w:val="both"/>
        <w:rPr>
          <w:b w:val="1"/>
          <w:sz w:val="26"/>
          <w:szCs w:val="26"/>
        </w:rPr>
      </w:pPr>
      <w:r w:rsidDel="00000000" w:rsidR="00000000" w:rsidRPr="00000000">
        <w:rPr>
          <w:rtl w:val="0"/>
        </w:rPr>
      </w:r>
    </w:p>
    <w:p w:rsidR="00000000" w:rsidDel="00000000" w:rsidP="00000000" w:rsidRDefault="00000000" w:rsidRPr="00000000" w14:paraId="00000083">
      <w:pPr>
        <w:ind w:left="0" w:firstLine="720"/>
        <w:jc w:val="both"/>
        <w:rPr>
          <w:b w:val="1"/>
          <w:sz w:val="26"/>
          <w:szCs w:val="26"/>
        </w:rPr>
      </w:pPr>
      <w:r w:rsidDel="00000000" w:rsidR="00000000" w:rsidRPr="00000000">
        <w:rPr>
          <w:rtl w:val="0"/>
        </w:rPr>
      </w:r>
    </w:p>
    <w:p w:rsidR="00000000" w:rsidDel="00000000" w:rsidP="00000000" w:rsidRDefault="00000000" w:rsidRPr="00000000" w14:paraId="00000084">
      <w:pPr>
        <w:ind w:left="0" w:firstLine="720"/>
        <w:jc w:val="both"/>
        <w:rPr>
          <w:b w:val="1"/>
          <w:sz w:val="26"/>
          <w:szCs w:val="26"/>
        </w:rPr>
      </w:pPr>
      <w:r w:rsidDel="00000000" w:rsidR="00000000" w:rsidRPr="00000000">
        <w:rPr>
          <w:rtl w:val="0"/>
        </w:rPr>
      </w:r>
    </w:p>
    <w:p w:rsidR="00000000" w:rsidDel="00000000" w:rsidP="00000000" w:rsidRDefault="00000000" w:rsidRPr="00000000" w14:paraId="00000085">
      <w:pPr>
        <w:ind w:left="0" w:firstLine="720"/>
        <w:jc w:val="both"/>
        <w:rPr>
          <w:b w:val="1"/>
          <w:sz w:val="26"/>
          <w:szCs w:val="26"/>
        </w:rPr>
      </w:pPr>
      <w:r w:rsidDel="00000000" w:rsidR="00000000" w:rsidRPr="00000000">
        <w:rPr>
          <w:rtl w:val="0"/>
        </w:rPr>
      </w:r>
    </w:p>
    <w:p w:rsidR="00000000" w:rsidDel="00000000" w:rsidP="00000000" w:rsidRDefault="00000000" w:rsidRPr="00000000" w14:paraId="00000086">
      <w:pPr>
        <w:ind w:left="0" w:firstLine="720"/>
        <w:jc w:val="both"/>
        <w:rPr>
          <w:b w:val="1"/>
          <w:sz w:val="26"/>
          <w:szCs w:val="26"/>
        </w:rPr>
      </w:pPr>
      <w:r w:rsidDel="00000000" w:rsidR="00000000" w:rsidRPr="00000000">
        <w:rPr>
          <w:rtl w:val="0"/>
        </w:rPr>
      </w:r>
    </w:p>
    <w:p w:rsidR="00000000" w:rsidDel="00000000" w:rsidP="00000000" w:rsidRDefault="00000000" w:rsidRPr="00000000" w14:paraId="00000087">
      <w:pPr>
        <w:ind w:left="720" w:firstLine="0"/>
        <w:jc w:val="both"/>
        <w:rPr>
          <w:b w:val="1"/>
          <w:sz w:val="26"/>
          <w:szCs w:val="26"/>
        </w:rPr>
      </w:pPr>
      <w:r w:rsidDel="00000000" w:rsidR="00000000" w:rsidRPr="00000000">
        <w:rPr>
          <w:sz w:val="24"/>
          <w:szCs w:val="24"/>
          <w:rtl w:val="0"/>
        </w:rPr>
        <w:t xml:space="preserve">Observamos que el cluster 2 agrupa los valores mayores para el indicador de “Ratio_population ages 65 and above”</w:t>
      </w:r>
      <w:r w:rsidDel="00000000" w:rsidR="00000000" w:rsidRPr="00000000">
        <w:rPr>
          <w:rtl w:val="0"/>
        </w:rPr>
      </w:r>
    </w:p>
    <w:p w:rsidR="00000000" w:rsidDel="00000000" w:rsidP="00000000" w:rsidRDefault="00000000" w:rsidRPr="00000000" w14:paraId="00000088">
      <w:pPr>
        <w:ind w:left="0" w:firstLine="720"/>
        <w:jc w:val="both"/>
        <w:rPr>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309090</wp:posOffset>
            </wp:positionH>
            <wp:positionV relativeFrom="paragraph">
              <wp:posOffset>182674</wp:posOffset>
            </wp:positionV>
            <wp:extent cx="4783841" cy="3585771"/>
            <wp:effectExtent b="0" l="0" r="0" t="0"/>
            <wp:wrapNone/>
            <wp:docPr id="209527388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783841" cy="3585771"/>
                    </a:xfrm>
                    <a:prstGeom prst="rect"/>
                    <a:ln/>
                  </pic:spPr>
                </pic:pic>
              </a:graphicData>
            </a:graphic>
          </wp:anchor>
        </w:drawing>
      </w:r>
    </w:p>
    <w:p w:rsidR="00000000" w:rsidDel="00000000" w:rsidP="00000000" w:rsidRDefault="00000000" w:rsidRPr="00000000" w14:paraId="00000089">
      <w:pPr>
        <w:ind w:left="0" w:firstLine="720"/>
        <w:jc w:val="both"/>
        <w:rPr>
          <w:b w:val="1"/>
          <w:sz w:val="26"/>
          <w:szCs w:val="26"/>
        </w:rPr>
      </w:pPr>
      <w:r w:rsidDel="00000000" w:rsidR="00000000" w:rsidRPr="00000000">
        <w:rPr>
          <w:rtl w:val="0"/>
        </w:rPr>
      </w:r>
    </w:p>
    <w:p w:rsidR="00000000" w:rsidDel="00000000" w:rsidP="00000000" w:rsidRDefault="00000000" w:rsidRPr="00000000" w14:paraId="0000008A">
      <w:pPr>
        <w:ind w:left="0" w:firstLine="720"/>
        <w:jc w:val="both"/>
        <w:rPr>
          <w:b w:val="1"/>
          <w:sz w:val="26"/>
          <w:szCs w:val="26"/>
        </w:rPr>
      </w:pPr>
      <w:r w:rsidDel="00000000" w:rsidR="00000000" w:rsidRPr="00000000">
        <w:rPr>
          <w:rtl w:val="0"/>
        </w:rPr>
      </w:r>
    </w:p>
    <w:p w:rsidR="00000000" w:rsidDel="00000000" w:rsidP="00000000" w:rsidRDefault="00000000" w:rsidRPr="00000000" w14:paraId="0000008B">
      <w:pPr>
        <w:ind w:left="0" w:firstLine="720"/>
        <w:jc w:val="both"/>
        <w:rPr>
          <w:b w:val="1"/>
          <w:sz w:val="26"/>
          <w:szCs w:val="26"/>
        </w:rPr>
      </w:pPr>
      <w:r w:rsidDel="00000000" w:rsidR="00000000" w:rsidRPr="00000000">
        <w:rPr>
          <w:rtl w:val="0"/>
        </w:rPr>
      </w:r>
    </w:p>
    <w:p w:rsidR="00000000" w:rsidDel="00000000" w:rsidP="00000000" w:rsidRDefault="00000000" w:rsidRPr="00000000" w14:paraId="0000008C">
      <w:pPr>
        <w:ind w:left="0" w:firstLine="720"/>
        <w:jc w:val="both"/>
        <w:rPr>
          <w:b w:val="1"/>
          <w:sz w:val="26"/>
          <w:szCs w:val="26"/>
        </w:rPr>
      </w:pPr>
      <w:r w:rsidDel="00000000" w:rsidR="00000000" w:rsidRPr="00000000">
        <w:rPr>
          <w:rtl w:val="0"/>
        </w:rPr>
      </w:r>
    </w:p>
    <w:p w:rsidR="00000000" w:rsidDel="00000000" w:rsidP="00000000" w:rsidRDefault="00000000" w:rsidRPr="00000000" w14:paraId="0000008D">
      <w:pPr>
        <w:ind w:left="0" w:firstLine="720"/>
        <w:jc w:val="both"/>
        <w:rPr>
          <w:b w:val="1"/>
          <w:sz w:val="26"/>
          <w:szCs w:val="26"/>
        </w:rPr>
      </w:pPr>
      <w:r w:rsidDel="00000000" w:rsidR="00000000" w:rsidRPr="00000000">
        <w:rPr>
          <w:rtl w:val="0"/>
        </w:rPr>
      </w:r>
    </w:p>
    <w:p w:rsidR="00000000" w:rsidDel="00000000" w:rsidP="00000000" w:rsidRDefault="00000000" w:rsidRPr="00000000" w14:paraId="0000008E">
      <w:pPr>
        <w:ind w:left="0" w:firstLine="720"/>
        <w:jc w:val="both"/>
        <w:rPr>
          <w:b w:val="1"/>
          <w:sz w:val="26"/>
          <w:szCs w:val="26"/>
        </w:rPr>
      </w:pPr>
      <w:r w:rsidDel="00000000" w:rsidR="00000000" w:rsidRPr="00000000">
        <w:rPr>
          <w:rtl w:val="0"/>
        </w:rPr>
      </w:r>
    </w:p>
    <w:p w:rsidR="00000000" w:rsidDel="00000000" w:rsidP="00000000" w:rsidRDefault="00000000" w:rsidRPr="00000000" w14:paraId="0000008F">
      <w:pPr>
        <w:ind w:left="0" w:firstLine="720"/>
        <w:jc w:val="both"/>
        <w:rPr>
          <w:b w:val="1"/>
          <w:sz w:val="26"/>
          <w:szCs w:val="26"/>
        </w:rPr>
      </w:pPr>
      <w:r w:rsidDel="00000000" w:rsidR="00000000" w:rsidRPr="00000000">
        <w:rPr>
          <w:rtl w:val="0"/>
        </w:rPr>
      </w:r>
    </w:p>
    <w:p w:rsidR="00000000" w:rsidDel="00000000" w:rsidP="00000000" w:rsidRDefault="00000000" w:rsidRPr="00000000" w14:paraId="00000090">
      <w:pPr>
        <w:ind w:left="0" w:firstLine="720"/>
        <w:jc w:val="both"/>
        <w:rPr>
          <w:b w:val="1"/>
          <w:sz w:val="26"/>
          <w:szCs w:val="26"/>
        </w:rPr>
      </w:pPr>
      <w:r w:rsidDel="00000000" w:rsidR="00000000" w:rsidRPr="00000000">
        <w:rPr>
          <w:rtl w:val="0"/>
        </w:rPr>
      </w:r>
    </w:p>
    <w:p w:rsidR="00000000" w:rsidDel="00000000" w:rsidP="00000000" w:rsidRDefault="00000000" w:rsidRPr="00000000" w14:paraId="00000091">
      <w:pPr>
        <w:ind w:left="0" w:firstLine="720"/>
        <w:jc w:val="both"/>
        <w:rPr>
          <w:b w:val="1"/>
          <w:sz w:val="26"/>
          <w:szCs w:val="26"/>
        </w:rPr>
      </w:pPr>
      <w:r w:rsidDel="00000000" w:rsidR="00000000" w:rsidRPr="00000000">
        <w:rPr>
          <w:rtl w:val="0"/>
        </w:rPr>
      </w:r>
    </w:p>
    <w:p w:rsidR="00000000" w:rsidDel="00000000" w:rsidP="00000000" w:rsidRDefault="00000000" w:rsidRPr="00000000" w14:paraId="00000092">
      <w:pPr>
        <w:ind w:left="0" w:firstLine="0"/>
        <w:jc w:val="both"/>
        <w:rPr>
          <w:b w:val="1"/>
          <w:sz w:val="26"/>
          <w:szCs w:val="26"/>
        </w:rPr>
      </w:pPr>
      <w:r w:rsidDel="00000000" w:rsidR="00000000" w:rsidRPr="00000000">
        <w:rPr>
          <w:rtl w:val="0"/>
        </w:rPr>
      </w:r>
    </w:p>
    <w:p w:rsidR="00000000" w:rsidDel="00000000" w:rsidP="00000000" w:rsidRDefault="00000000" w:rsidRPr="00000000" w14:paraId="00000093">
      <w:pPr>
        <w:ind w:left="0" w:firstLine="0"/>
        <w:jc w:val="both"/>
        <w:rPr>
          <w:b w:val="1"/>
          <w:sz w:val="26"/>
          <w:szCs w:val="26"/>
        </w:rPr>
      </w:pPr>
      <w:r w:rsidDel="00000000" w:rsidR="00000000" w:rsidRPr="00000000">
        <w:rPr>
          <w:rtl w:val="0"/>
        </w:rPr>
      </w:r>
    </w:p>
    <w:p w:rsidR="00000000" w:rsidDel="00000000" w:rsidP="00000000" w:rsidRDefault="00000000" w:rsidRPr="00000000" w14:paraId="00000094">
      <w:pPr>
        <w:ind w:left="0" w:firstLine="0"/>
        <w:jc w:val="both"/>
        <w:rPr>
          <w:b w:val="1"/>
          <w:sz w:val="26"/>
          <w:szCs w:val="26"/>
        </w:rPr>
      </w:pPr>
      <w:r w:rsidDel="00000000" w:rsidR="00000000" w:rsidRPr="00000000">
        <w:rPr>
          <w:rtl w:val="0"/>
        </w:rPr>
      </w:r>
    </w:p>
    <w:p w:rsidR="00000000" w:rsidDel="00000000" w:rsidP="00000000" w:rsidRDefault="00000000" w:rsidRPr="00000000" w14:paraId="00000095">
      <w:pPr>
        <w:ind w:left="0" w:firstLine="0"/>
        <w:jc w:val="both"/>
        <w:rPr>
          <w:b w:val="1"/>
          <w:sz w:val="26"/>
          <w:szCs w:val="26"/>
        </w:rPr>
      </w:pPr>
      <w:r w:rsidDel="00000000" w:rsidR="00000000" w:rsidRPr="00000000">
        <w:rPr>
          <w:b w:val="1"/>
          <w:sz w:val="26"/>
          <w:szCs w:val="26"/>
          <w:rtl w:val="0"/>
        </w:rPr>
        <w:tab/>
        <w:t xml:space="preserve">Elección del cluster para la recomendación de países a la empresa</w:t>
      </w:r>
    </w:p>
    <w:p w:rsidR="00000000" w:rsidDel="00000000" w:rsidP="00000000" w:rsidRDefault="00000000" w:rsidRPr="00000000" w14:paraId="00000096">
      <w:pPr>
        <w:ind w:left="720" w:firstLine="0"/>
        <w:jc w:val="both"/>
        <w:rPr>
          <w:sz w:val="24"/>
          <w:szCs w:val="24"/>
        </w:rPr>
      </w:pPr>
      <w:r w:rsidDel="00000000" w:rsidR="00000000" w:rsidRPr="00000000">
        <w:rPr>
          <w:sz w:val="24"/>
          <w:szCs w:val="24"/>
          <w:rtl w:val="0"/>
        </w:rPr>
        <w:t xml:space="preserve">En base a los gráficos anteriores observamos que el cluster número 2 resalta sobre los demás en cada uno de los indicadores por lo que es el elegido.</w:t>
      </w:r>
    </w:p>
    <w:p w:rsidR="00000000" w:rsidDel="00000000" w:rsidP="00000000" w:rsidRDefault="00000000" w:rsidRPr="00000000" w14:paraId="00000097">
      <w:pPr>
        <w:ind w:left="720" w:firstLine="0"/>
        <w:jc w:val="both"/>
        <w:rPr>
          <w:b w:val="1"/>
          <w:sz w:val="26"/>
          <w:szCs w:val="26"/>
        </w:rPr>
      </w:pPr>
      <w:r w:rsidDel="00000000" w:rsidR="00000000" w:rsidRPr="00000000">
        <w:rPr>
          <w:b w:val="1"/>
          <w:sz w:val="26"/>
          <w:szCs w:val="26"/>
          <w:rtl w:val="0"/>
        </w:rPr>
        <w:t xml:space="preserve">Países recomendados</w:t>
      </w:r>
      <w:r w:rsidDel="00000000" w:rsidR="00000000" w:rsidRPr="00000000">
        <w:drawing>
          <wp:anchor allowOverlap="1" behindDoc="1" distB="114300" distT="114300" distL="114300" distR="114300" hidden="0" layoutInCell="1" locked="0" relativeHeight="0" simplePos="0">
            <wp:simplePos x="0" y="0"/>
            <wp:positionH relativeFrom="column">
              <wp:posOffset>2028825</wp:posOffset>
            </wp:positionH>
            <wp:positionV relativeFrom="paragraph">
              <wp:posOffset>357193</wp:posOffset>
            </wp:positionV>
            <wp:extent cx="1334453" cy="5050965"/>
            <wp:effectExtent b="0" l="0" r="0" t="0"/>
            <wp:wrapNone/>
            <wp:docPr id="2095273886" name="image8.png"/>
            <a:graphic>
              <a:graphicData uri="http://schemas.openxmlformats.org/drawingml/2006/picture">
                <pic:pic>
                  <pic:nvPicPr>
                    <pic:cNvPr id="0" name="image8.png"/>
                    <pic:cNvPicPr preferRelativeResize="0"/>
                  </pic:nvPicPr>
                  <pic:blipFill>
                    <a:blip r:embed="rId21"/>
                    <a:srcRect b="0" l="0" r="81270" t="3834"/>
                    <a:stretch>
                      <a:fillRect/>
                    </a:stretch>
                  </pic:blipFill>
                  <pic:spPr>
                    <a:xfrm>
                      <a:off x="0" y="0"/>
                      <a:ext cx="1334453" cy="5050965"/>
                    </a:xfrm>
                    <a:prstGeom prst="rect"/>
                    <a:ln/>
                  </pic:spPr>
                </pic:pic>
              </a:graphicData>
            </a:graphic>
          </wp:anchor>
        </w:drawing>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rtl w:val="0"/>
        </w:rPr>
      </w:r>
    </w:p>
    <w:p w:rsidR="00000000" w:rsidDel="00000000" w:rsidP="00000000" w:rsidRDefault="00000000" w:rsidRPr="00000000" w14:paraId="0000009A">
      <w:pPr>
        <w:ind w:left="0" w:firstLine="0"/>
        <w:jc w:val="both"/>
        <w:rPr>
          <w:sz w:val="24"/>
          <w:szCs w:val="24"/>
        </w:rPr>
      </w:pPr>
      <w:r w:rsidDel="00000000" w:rsidR="00000000" w:rsidRPr="00000000">
        <w:rPr>
          <w:sz w:val="24"/>
          <w:szCs w:val="24"/>
          <w:rtl w:val="0"/>
        </w:rPr>
        <w:tab/>
      </w:r>
    </w:p>
    <w:sectPr>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w:t>
    </w:r>
    <w:r w:rsidDel="00000000" w:rsidR="00000000" w:rsidRPr="00000000">
      <w:rPr>
        <w:i w:val="1"/>
        <w:sz w:val="20"/>
        <w:szCs w:val="20"/>
        <w:rtl w:val="0"/>
      </w:rPr>
      <w:t xml:space="preserve">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FORME EDA – Empresa farmacéutica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3828"/>
    <w:rPr>
      <w:lang w:val="es-ES"/>
    </w:rPr>
  </w:style>
  <w:style w:type="paragraph" w:styleId="Ttulo1">
    <w:name w:val="heading 1"/>
    <w:basedOn w:val="Normal"/>
    <w:next w:val="Normal"/>
    <w:link w:val="Ttulo1Car"/>
    <w:uiPriority w:val="9"/>
    <w:qFormat w:val="1"/>
    <w:rsid w:val="009525C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9525C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9525C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525CF"/>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9525CF"/>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9525CF"/>
    <w:rPr>
      <w:rFonts w:asciiTheme="majorHAnsi" w:cstheme="majorBidi" w:eastAsiaTheme="majorEastAsia" w:hAnsiTheme="majorHAnsi"/>
      <w:color w:val="1f3763" w:themeColor="accent1" w:themeShade="00007F"/>
      <w:sz w:val="24"/>
      <w:szCs w:val="24"/>
    </w:rPr>
  </w:style>
  <w:style w:type="paragraph" w:styleId="Encabezado">
    <w:name w:val="header"/>
    <w:basedOn w:val="Normal"/>
    <w:link w:val="EncabezadoCar"/>
    <w:uiPriority w:val="99"/>
    <w:unhideWhenUsed w:val="1"/>
    <w:rsid w:val="009525C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525CF"/>
  </w:style>
  <w:style w:type="paragraph" w:styleId="Piedepgina">
    <w:name w:val="footer"/>
    <w:basedOn w:val="Normal"/>
    <w:link w:val="PiedepginaCar"/>
    <w:uiPriority w:val="99"/>
    <w:unhideWhenUsed w:val="1"/>
    <w:rsid w:val="009525C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525CF"/>
  </w:style>
  <w:style w:type="paragraph" w:styleId="Prrafodelista">
    <w:name w:val="List Paragraph"/>
    <w:basedOn w:val="Normal"/>
    <w:uiPriority w:val="34"/>
    <w:qFormat w:val="1"/>
    <w:rsid w:val="009525CF"/>
    <w:pPr>
      <w:ind w:left="720"/>
      <w:contextualSpacing w:val="1"/>
    </w:pPr>
  </w:style>
  <w:style w:type="paragraph" w:styleId="TtuloTDC">
    <w:name w:val="TOC Heading"/>
    <w:basedOn w:val="Ttulo1"/>
    <w:next w:val="Normal"/>
    <w:uiPriority w:val="39"/>
    <w:unhideWhenUsed w:val="1"/>
    <w:qFormat w:val="1"/>
    <w:rsid w:val="009525CF"/>
    <w:pPr>
      <w:outlineLvl w:val="9"/>
    </w:pPr>
    <w:rPr>
      <w:kern w:val="0"/>
      <w:lang w:eastAsia="es-AR"/>
    </w:rPr>
  </w:style>
  <w:style w:type="paragraph" w:styleId="TDC1">
    <w:name w:val="toc 1"/>
    <w:basedOn w:val="Normal"/>
    <w:next w:val="Normal"/>
    <w:autoRedefine w:val="1"/>
    <w:uiPriority w:val="39"/>
    <w:unhideWhenUsed w:val="1"/>
    <w:rsid w:val="009525CF"/>
    <w:pPr>
      <w:spacing w:after="100"/>
    </w:pPr>
  </w:style>
  <w:style w:type="paragraph" w:styleId="TDC2">
    <w:name w:val="toc 2"/>
    <w:basedOn w:val="Normal"/>
    <w:next w:val="Normal"/>
    <w:autoRedefine w:val="1"/>
    <w:uiPriority w:val="39"/>
    <w:unhideWhenUsed w:val="1"/>
    <w:rsid w:val="009525CF"/>
    <w:pPr>
      <w:spacing w:after="100"/>
      <w:ind w:left="220"/>
    </w:pPr>
  </w:style>
  <w:style w:type="paragraph" w:styleId="TDC3">
    <w:name w:val="toc 3"/>
    <w:basedOn w:val="Normal"/>
    <w:next w:val="Normal"/>
    <w:autoRedefine w:val="1"/>
    <w:uiPriority w:val="39"/>
    <w:unhideWhenUsed w:val="1"/>
    <w:rsid w:val="009525CF"/>
    <w:pPr>
      <w:spacing w:after="100"/>
      <w:ind w:left="440"/>
    </w:pPr>
  </w:style>
  <w:style w:type="character" w:styleId="Hipervnculo">
    <w:name w:val="Hyperlink"/>
    <w:basedOn w:val="Fuentedeprrafopredeter"/>
    <w:uiPriority w:val="99"/>
    <w:unhideWhenUsed w:val="1"/>
    <w:rsid w:val="009525CF"/>
    <w:rPr>
      <w:color w:val="0563c1" w:themeColor="hyperlink"/>
      <w:u w:val="single"/>
    </w:rPr>
  </w:style>
  <w:style w:type="paragraph" w:styleId="NormalWeb">
    <w:name w:val="Normal (Web)"/>
    <w:basedOn w:val="Normal"/>
    <w:uiPriority w:val="99"/>
    <w:semiHidden w:val="1"/>
    <w:unhideWhenUsed w:val="1"/>
    <w:rsid w:val="00770A64"/>
    <w:pPr>
      <w:spacing w:after="100" w:afterAutospacing="1" w:before="100" w:beforeAutospacing="1" w:line="240" w:lineRule="auto"/>
    </w:pPr>
    <w:rPr>
      <w:rFonts w:ascii="Times New Roman" w:cs="Times New Roman" w:eastAsia="Times New Roman" w:hAnsi="Times New Roman"/>
      <w:kern w:val="0"/>
      <w:sz w:val="24"/>
      <w:szCs w:val="24"/>
      <w:lang w:eastAsia="es-AR"/>
    </w:rPr>
  </w:style>
  <w:style w:type="character" w:styleId="Textoennegrita">
    <w:name w:val="Strong"/>
    <w:basedOn w:val="Fuentedeprrafopredeter"/>
    <w:uiPriority w:val="22"/>
    <w:qFormat w:val="1"/>
    <w:rsid w:val="009D56B7"/>
    <w:rPr>
      <w:b w:val="1"/>
      <w:bCs w:val="1"/>
    </w:rPr>
  </w:style>
  <w:style w:type="character" w:styleId="Mencinsinresolver">
    <w:name w:val="Unresolved Mention"/>
    <w:basedOn w:val="Fuentedeprrafopredeter"/>
    <w:uiPriority w:val="99"/>
    <w:semiHidden w:val="1"/>
    <w:unhideWhenUsed w:val="1"/>
    <w:rsid w:val="007F237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databank.worldbank.org/databases" TargetMode="External"/><Relationship Id="rId10" Type="http://schemas.openxmlformats.org/officeDocument/2006/relationships/footer" Target="footer1.xml"/><Relationship Id="rId21"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AMluuJV1K5dOMNbSxeZT6/HJA==">CgMxLjAyCGguZ2pkZ3hzMgloLjMwajB6bGw4AHIhMXM3Uno0ZjV0ek5xVkJyVTV1T2ZVbHAyQ1A5TkdhSjVk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2023-11-15T00:23:00Z</dcterms:created>
  <dc:creator>Fernando Gabriel Cofone</dc:creator>
</cp:coreProperties>
</file>