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ECOTRACK — Checklist Data Science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0E8D4"/>
                <w:sz w:val="20"/>
                <w:szCs w:val="20"/>
              </w:rPr>
              <w:t xml:space="preserve">Projet fil rouge INGETIS · Janvier–Mai 2026   |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 tâches</w:t>
            </w:r>
            <w:r>
              <w:rPr>
                <w:rFonts w:ascii="Arial" w:cs="Arial" w:eastAsia="Arial" w:hAnsi="Arial"/>
                <w:color w:val="B0E8D4"/>
                <w:sz w:val="20"/>
                <w:szCs w:val="20"/>
              </w:rPr>
              <w:t xml:space="preserve">   |   7 phases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Légende des tags</w:t>
      </w:r>
    </w:p>
    <w:p>
      <w:pPr>
        <w:spacing w:after="0"/>
      </w:pPr>
      <w:r>
        <w:rPr>
          <w:rFonts w:ascii="Arial" w:cs="Arial" w:eastAsia="Arial" w:hAnsi="Arial"/>
          <w:b/>
          <w:bCs/>
          <w:color w:val="0F6E56"/>
          <w:sz w:val="16"/>
          <w:szCs w:val="16"/>
          <w:shd w:fill="E1F5EE" w:val="clear"/>
        </w:rPr>
        <w:t xml:space="preserve"> SQL </w:t>
      </w:r>
      <w:r>
        <w:t xml:space="preserve">  </w:t>
      </w:r>
      <w:r>
        <w:rPr>
          <w:rFonts w:ascii="Arial" w:cs="Arial" w:eastAsia="Arial" w:hAnsi="Arial"/>
          <w:b/>
          <w:bCs/>
          <w:color w:val="534AB7"/>
          <w:sz w:val="16"/>
          <w:szCs w:val="16"/>
          <w:shd w:fill="EEEDFE" w:val="clear"/>
        </w:rPr>
        <w:t xml:space="preserve"> ML </w:t>
      </w:r>
      <w:r>
        <w:t xml:space="preserve">  </w:t>
      </w:r>
      <w:r>
        <w:rPr>
          <w:rFonts w:ascii="Arial" w:cs="Arial" w:eastAsia="Arial" w:hAnsi="Arial"/>
          <w:b/>
          <w:bCs/>
          <w:color w:val="854F0B"/>
          <w:sz w:val="16"/>
          <w:szCs w:val="16"/>
          <w:shd w:fill="FAEEDA" w:val="clear"/>
        </w:rPr>
        <w:t xml:space="preserve"> ETL </w:t>
      </w:r>
      <w:r>
        <w:t xml:space="preserve">  </w:t>
      </w:r>
      <w:r>
        <w:rPr>
          <w:rFonts w:ascii="Arial" w:cs="Arial" w:eastAsia="Arial" w:hAnsi="Arial"/>
          <w:b/>
          <w:bCs/>
          <w:color w:val="185FA5"/>
          <w:sz w:val="16"/>
          <w:szCs w:val="16"/>
          <w:shd w:fill="E6F1FB" w:val="clear"/>
        </w:rPr>
        <w:t xml:space="preserve"> Viz </w:t>
      </w:r>
      <w:r>
        <w:t xml:space="preserve">  </w:t>
      </w:r>
      <w:r>
        <w:rPr>
          <w:rFonts w:ascii="Arial" w:cs="Arial" w:eastAsia="Arial" w:hAnsi="Arial"/>
          <w:b/>
          <w:bCs/>
          <w:color w:val="5F5E5A"/>
          <w:sz w:val="16"/>
          <w:szCs w:val="16"/>
          <w:shd w:fill="F1EFE8" w:val="clear"/>
        </w:rPr>
        <w:t xml:space="preserve"> Doc </w:t>
      </w:r>
      <w:r>
        <w:t xml:space="preserve">  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— Conception &amp; modélisation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1–3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Définir le dictionnaire de données (entités, attributs, types)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Concevoir le MCD (Modèle Conceptuel de Données)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Dériver le MLD (Modèle Logique Relationnel)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Écrire les scripts DDL PostgreSQL (CREATE TABLE, contraintes, clés)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Activer l'extension PostGIS sur la base de données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Concevoir le schéma en étoile du Data Warehouse (faits + dimensions)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Définir les dimensions SCD Type 2 (historisation des données)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— Base de données &amp; données initiales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3–5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Créer toutes les tables OLTP (utilisateurs, conteneurs, zones, mesures, tournées, signalements, gamification)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Créer les tables du Data Warehouse (faits, dimensions)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Créer les vues matérialisées pour les KPIs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Générer les données de test : 2 000 conteneurs, 12 zones, 15 000 utilisateurs fictifs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Configurer le partitionnement temporel sur la table des mesures IoT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Créer les index géospatiaux avec PostGIS (GIST)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Écrire les requêtes PostGIS clés : ST_Contains, ST_DWithin, clustering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— Pipelines ETL &amp; streaming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5–9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Concevoir l'architecture du pipeline : MQTT → Kafka → Staging → DW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Écrire les scripts de transformation dbt (modèles SQL)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Mettre en place le pipeline batch (Airflow ou scripts Python planifiés)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Implémenter la logique de consommation Kafka (consumer Python)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Gérer la qualité des données : tests dbt ou Great Expectations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Documenter le data lineage (traçabilité source → destination)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Mettre en place Redis pour le cache des KPIs temps réel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— Machine Learning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7–11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Préparer le dataset d'entraînement (extraction SQL + nettoyage Pandas)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Réaliser l'EDA (Exploratory Data Analysis) dans un notebook Jupyter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Entraîner un modèle de prédiction de remplissage (régression — Scikit-learn)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Évaluer le modèle : RMSE, R², MAE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Implémenter la détection d'anomalies (conteneur HS, capteur défaillant)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Exporter le modèle entraîné (pickle / joblib)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Créer un endpoint API pour servir les prédictions ML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— Analytics &amp; dashboards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8–12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Configurer Grafana ou Metabase connecté à PostgreSQL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opérationnel : taux de remplissage temps réel, alertes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analytique : évolutions temporelles, heatmaps par zone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Dashboard KPIs globaux : distance, CO₂, débordements (&lt;2%), uptime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Implémenter 8+ types de graphiques (ligne, barre, camembert, heatmap, scatter, carte, jauge, histogramme)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Mettre en place les alertes automatiques (seuil &gt;90% remplissage)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6 — Reporting automatisé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10–13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Script de génération de rapport mensuel PDF (ReportLab ou WeasyPrint)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Export Excel automatisé des KPIs (openpyxl ou pandas)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Planifier l'envoi automatique des rapports (cron ou Airflow)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7 — Documentation &amp; livrables finaux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Semaines 13–16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Rédiger le data catalog (description de chaque table et colonne)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Documenter l'architecture data complète (schéma + explications)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Finaliser les notebooks Jupyter (EDA + ML, propres et commentés)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Versionner tous les scripts SQL sur GitHub avec un README clair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40"/>
            </w:tcMar>
            <w:vAlign w:val="top"/>
          </w:tcPr>
          <w:p>
            <w:r>
              <w:rPr>
                <w:rFonts w:ascii="Arial" w:cs="Arial" w:eastAsia="Arial" w:hAnsi="Arial"/>
                <w:color w:val="888780"/>
                <w:sz w:val="22"/>
                <w:szCs w:val="22"/>
              </w:rPr>
              <w:t xml:space="preserve">☐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Préparer les slides de soutenance (20–25 slides)</w:t>
            </w:r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2C2C2A"/>
          <w:sz w:val="26"/>
          <w:szCs w:val="26"/>
        </w:rPr>
        <w:t xml:space="preserve">Stack technique recommandée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60"/>
        <w:gridCol w:w="150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PostgreSQL 15 + PostGIS 3.3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6"/>
                <w:szCs w:val="16"/>
                <w:shd w:fill="E1F5EE" w:val="clear"/>
              </w:rPr>
              <w:t xml:space="preserve"> SQL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ETL / Orchestration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dbt (transformations), Airflow ou cron (batch)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Streaming IoT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Kafka (consumer Python)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Python · Pandas · NumPy · Scikit-learn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6"/>
                <w:szCs w:val="16"/>
                <w:shd w:fill="EEEDFE" w:val="clear"/>
              </w:rPr>
              <w:t xml:space="preserve"> ML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Dataviz / Dashboards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Grafana ou Metabase / Superset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Reporting automatisé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ReportLab ou WeasyPrint (PDF) · openpyxl (Excel)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Viz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Qualité des données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dbt tests ou Great Expectations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Cache temps réel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16"/>
                <w:szCs w:val="16"/>
                <w:shd w:fill="FAEEDA" w:val="clear"/>
              </w:rPr>
              <w:t xml:space="preserve"> ETL 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4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Python 3.11+ · Jupyter · GitHub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6"/>
                <w:szCs w:val="16"/>
                <w:shd w:fill="F1EFE8" w:val="clear"/>
              </w:rPr>
              <w:t xml:space="preserve"> Doc </w:t>
            </w:r>
          </w:p>
        </w:tc>
      </w:tr>
    </w:tbl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888780"/>
          <w:sz w:val="16"/>
          <w:szCs w:val="16"/>
        </w:rPr>
        <w:t xml:space="preserve">© 2026 INGETIS — Usage pédagogique uniquement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2026-04-09T11:50:11.956Z</dcterms:created>
  <dcterms:modified xsi:type="dcterms:W3CDTF">2026-04-09T11:50:11.956Z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