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2982" w14:textId="77777777" w:rsidR="00ED2775" w:rsidRPr="00F867FE" w:rsidRDefault="00ED2775" w:rsidP="00ED2775">
      <w:pPr>
        <w:spacing w:line="360" w:lineRule="auto"/>
        <w:jc w:val="center"/>
        <w:rPr>
          <w:b/>
          <w:bCs/>
          <w:color w:val="000000" w:themeColor="text1"/>
        </w:rPr>
      </w:pPr>
      <w:r>
        <w:rPr>
          <w:b/>
          <w:bCs/>
          <w:color w:val="000000" w:themeColor="text1"/>
          <w:sz w:val="28"/>
          <w:szCs w:val="28"/>
        </w:rPr>
        <w:t>ECOLE D’INGENIERIE INFORMARIQUE</w:t>
      </w:r>
    </w:p>
    <w:p w14:paraId="5EA90B4F" w14:textId="77777777" w:rsidR="00ED2775" w:rsidRPr="00AA5CCF" w:rsidRDefault="00ED2775" w:rsidP="00ED2775">
      <w:pPr>
        <w:spacing w:line="360" w:lineRule="auto"/>
        <w:jc w:val="center"/>
        <w:rPr>
          <w:b/>
          <w:bCs/>
          <w:color w:val="000000" w:themeColor="text1"/>
        </w:rPr>
      </w:pPr>
      <w:r w:rsidRPr="00AA5CCF">
        <w:rPr>
          <w:b/>
          <w:bCs/>
          <w:color w:val="000000" w:themeColor="text1"/>
        </w:rPr>
        <w:t>CFA INGETIS</w:t>
      </w:r>
    </w:p>
    <w:p w14:paraId="1623C08D" w14:textId="77777777" w:rsidR="00ED2775" w:rsidRPr="00F867FE" w:rsidRDefault="00ED2775" w:rsidP="00ED2775">
      <w:pPr>
        <w:spacing w:line="360" w:lineRule="auto"/>
        <w:jc w:val="center"/>
        <w:rPr>
          <w:b/>
          <w:bCs/>
          <w:color w:val="000000" w:themeColor="text1"/>
        </w:rPr>
      </w:pPr>
      <w:r w:rsidRPr="00F867FE">
        <w:rPr>
          <w:b/>
          <w:bCs/>
          <w:color w:val="000000" w:themeColor="text1"/>
        </w:rPr>
        <w:t>Départemen</w:t>
      </w:r>
      <w:r>
        <w:rPr>
          <w:b/>
          <w:bCs/>
          <w:color w:val="000000" w:themeColor="text1"/>
        </w:rPr>
        <w:t>t DATA &amp; IA</w:t>
      </w:r>
    </w:p>
    <w:p w14:paraId="749E9572" w14:textId="77777777" w:rsidR="00ED2775" w:rsidRDefault="00ED2775" w:rsidP="00ED2775">
      <w:pPr>
        <w:spacing w:before="600"/>
      </w:pPr>
    </w:p>
    <w:p w14:paraId="02D82769" w14:textId="77777777" w:rsidR="00ED2775" w:rsidRDefault="00ED2775" w:rsidP="00ED2775">
      <w:pPr>
        <w:spacing w:before="600"/>
      </w:pPr>
    </w:p>
    <w:p w14:paraId="396C9753" w14:textId="77777777" w:rsidR="00ED2775" w:rsidRDefault="00ED2775" w:rsidP="00ED2775">
      <w:pPr>
        <w:spacing w:before="40" w:after="40"/>
        <w:jc w:val="center"/>
      </w:pPr>
      <w:r>
        <w:rPr>
          <w:color w:val="7F7F7F"/>
        </w:rPr>
        <w:t xml:space="preserve">Année Académique </w:t>
      </w:r>
      <w:r>
        <w:rPr>
          <w:i/>
          <w:iCs/>
          <w:color w:val="C00000"/>
        </w:rPr>
        <w:t>2025 - 2026</w:t>
      </w:r>
    </w:p>
    <w:p w14:paraId="15F61D21" w14:textId="77777777" w:rsidR="00ED2775" w:rsidRDefault="00ED2775" w:rsidP="00ED2775">
      <w:pPr>
        <w:spacing w:before="400"/>
      </w:pPr>
    </w:p>
    <w:p w14:paraId="1DC83A88" w14:textId="77777777" w:rsidR="00ED2775" w:rsidRDefault="00ED2775" w:rsidP="00ED2775">
      <w:pPr>
        <w:pBdr>
          <w:bottom w:val="single" w:sz="8" w:space="1" w:color="2E74B5"/>
        </w:pBdr>
      </w:pPr>
    </w:p>
    <w:p w14:paraId="257A2815" w14:textId="77777777" w:rsidR="00ED2775" w:rsidRDefault="00ED2775" w:rsidP="00ED2775">
      <w:pPr>
        <w:spacing w:before="200"/>
      </w:pPr>
    </w:p>
    <w:p w14:paraId="5A607BB4" w14:textId="0C210A93" w:rsidR="00ED2775" w:rsidRDefault="00673D74" w:rsidP="00ED2775">
      <w:pPr>
        <w:spacing w:before="40" w:after="20"/>
        <w:jc w:val="center"/>
      </w:pPr>
      <w:r>
        <w:rPr>
          <w:b/>
          <w:bCs/>
          <w:color w:val="1F3864"/>
          <w:sz w:val="40"/>
          <w:szCs w:val="40"/>
        </w:rPr>
        <w:t>RAPPORT GESTION PROJET</w:t>
      </w:r>
    </w:p>
    <w:p w14:paraId="42768C92" w14:textId="0479F372" w:rsidR="00ED2775" w:rsidRDefault="00ED2775" w:rsidP="00ED2775">
      <w:pPr>
        <w:spacing w:before="40" w:after="40"/>
        <w:jc w:val="center"/>
      </w:pPr>
      <w:r>
        <w:rPr>
          <w:color w:val="7F7F7F"/>
          <w:sz w:val="24"/>
          <w:szCs w:val="24"/>
        </w:rPr>
        <w:t>Pour l'obtention du diplôme</w:t>
      </w:r>
    </w:p>
    <w:p w14:paraId="58FB9142" w14:textId="6D855010" w:rsidR="00ED2775" w:rsidRDefault="00ED2775" w:rsidP="00ED2775">
      <w:pPr>
        <w:spacing w:before="40" w:after="40"/>
        <w:jc w:val="center"/>
      </w:pPr>
      <w:r>
        <w:rPr>
          <w:b/>
          <w:bCs/>
          <w:color w:val="2E74B5"/>
          <w:sz w:val="26"/>
          <w:szCs w:val="26"/>
        </w:rPr>
        <w:t>Mast</w:t>
      </w:r>
      <w:r w:rsidR="00673D74">
        <w:rPr>
          <w:b/>
          <w:bCs/>
          <w:color w:val="2E74B5"/>
          <w:sz w:val="26"/>
          <w:szCs w:val="26"/>
        </w:rPr>
        <w:t xml:space="preserve">ère 1 </w:t>
      </w:r>
      <w:r>
        <w:rPr>
          <w:b/>
          <w:bCs/>
          <w:color w:val="2E74B5"/>
          <w:sz w:val="26"/>
          <w:szCs w:val="26"/>
        </w:rPr>
        <w:t xml:space="preserve">en </w:t>
      </w:r>
      <w:r w:rsidR="00673D74">
        <w:rPr>
          <w:b/>
          <w:bCs/>
          <w:color w:val="2E74B5"/>
          <w:sz w:val="26"/>
          <w:szCs w:val="26"/>
        </w:rPr>
        <w:t xml:space="preserve">Data &amp; IA </w:t>
      </w:r>
    </w:p>
    <w:p w14:paraId="4600711C" w14:textId="77777777" w:rsidR="00ED2775" w:rsidRDefault="00ED2775" w:rsidP="00ED2775">
      <w:pPr>
        <w:spacing w:before="400"/>
      </w:pPr>
    </w:p>
    <w:p w14:paraId="1A001ABD" w14:textId="77777777" w:rsidR="00ED2775" w:rsidRDefault="00ED2775" w:rsidP="00ED2775">
      <w:pPr>
        <w:pBdr>
          <w:bottom w:val="single" w:sz="8" w:space="1" w:color="2E74B5"/>
        </w:pBdr>
      </w:pPr>
    </w:p>
    <w:p w14:paraId="110E76CA" w14:textId="77777777" w:rsidR="00ED2775" w:rsidRDefault="00ED2775" w:rsidP="00ED2775">
      <w:pPr>
        <w:spacing w:before="600"/>
      </w:pPr>
    </w:p>
    <w:p w14:paraId="72EFEAB6" w14:textId="77777777" w:rsidR="00ED2775" w:rsidRDefault="00ED2775" w:rsidP="00ED2775">
      <w:pPr>
        <w:spacing w:before="40" w:after="40"/>
        <w:jc w:val="center"/>
      </w:pPr>
      <w:r>
        <w:rPr>
          <w:b/>
          <w:bCs/>
          <w:color w:val="1F3864"/>
          <w:sz w:val="28"/>
          <w:szCs w:val="28"/>
        </w:rPr>
        <w:t>Thème :</w:t>
      </w:r>
    </w:p>
    <w:p w14:paraId="790C4552" w14:textId="77777777" w:rsidR="00ED2775" w:rsidRDefault="00ED2775" w:rsidP="00ED277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775" w14:paraId="460E3393" w14:textId="77777777" w:rsidTr="00145822">
        <w:tblPrEx>
          <w:tblCellMar>
            <w:top w:w="0" w:type="dxa"/>
            <w:bottom w:w="0" w:type="dxa"/>
          </w:tblCellMar>
        </w:tblPrEx>
        <w:tc>
          <w:tcPr>
            <w:tcW w:w="0" w:type="auto"/>
            <w:tcBorders>
              <w:top w:val="single" w:sz="6" w:space="0" w:color="2E74B5"/>
              <w:left w:val="single" w:sz="24" w:space="0" w:color="1F3864"/>
              <w:bottom w:val="single" w:sz="6" w:space="0" w:color="2E74B5"/>
            </w:tcBorders>
            <w:shd w:val="clear" w:color="auto" w:fill="E8F0FC"/>
            <w:tcMar>
              <w:top w:w="300" w:type="dxa"/>
              <w:left w:w="500" w:type="dxa"/>
              <w:bottom w:w="300" w:type="dxa"/>
              <w:right w:w="500" w:type="dxa"/>
            </w:tcMar>
          </w:tcPr>
          <w:p w14:paraId="66CC48B5" w14:textId="5E7128CA" w:rsidR="00ED2775" w:rsidRPr="00673D74" w:rsidRDefault="00673D74" w:rsidP="00673D74">
            <w:pPr>
              <w:jc w:val="center"/>
              <w:rPr>
                <w:sz w:val="28"/>
                <w:szCs w:val="28"/>
              </w:rPr>
            </w:pPr>
            <w:r w:rsidRPr="00673D74">
              <w:rPr>
                <w:b/>
                <w:bCs/>
                <w:sz w:val="28"/>
                <w:szCs w:val="28"/>
              </w:rPr>
              <w:t>EcoTrack</w:t>
            </w:r>
            <w:r w:rsidRPr="00673D74">
              <w:rPr>
                <w:sz w:val="28"/>
                <w:szCs w:val="28"/>
              </w:rPr>
              <w:t> : Plateforme intelligente de gestion des déchets urbains</w:t>
            </w:r>
          </w:p>
        </w:tc>
      </w:tr>
    </w:tbl>
    <w:p w14:paraId="29DD76DB" w14:textId="77777777" w:rsidR="00ED2775" w:rsidRDefault="00ED2775" w:rsidP="00ED2775">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2"/>
        <w:gridCol w:w="4548"/>
      </w:tblGrid>
      <w:tr w:rsidR="00ED2775" w14:paraId="772BCC59" w14:textId="77777777" w:rsidTr="00145822">
        <w:tblPrEx>
          <w:tblCellMar>
            <w:top w:w="0" w:type="dxa"/>
            <w:bottom w:w="0" w:type="dxa"/>
          </w:tblCellMar>
        </w:tblPrEx>
        <w:tc>
          <w:tcPr>
            <w:tcW w:w="0" w:type="auto"/>
            <w:shd w:val="clear" w:color="auto" w:fill="1F3864"/>
            <w:tcMar>
              <w:top w:w="120" w:type="dxa"/>
              <w:left w:w="200" w:type="dxa"/>
              <w:bottom w:w="120" w:type="dxa"/>
              <w:right w:w="200" w:type="dxa"/>
            </w:tcMar>
          </w:tcPr>
          <w:p w14:paraId="30256AFA" w14:textId="77777777" w:rsidR="00ED2775" w:rsidRDefault="00ED2775" w:rsidP="00145822">
            <w:pPr>
              <w:jc w:val="center"/>
            </w:pPr>
            <w:r>
              <w:rPr>
                <w:b/>
                <w:bCs/>
                <w:color w:val="FFFFFF"/>
              </w:rPr>
              <w:t>Présenté par :</w:t>
            </w:r>
          </w:p>
        </w:tc>
        <w:tc>
          <w:tcPr>
            <w:tcW w:w="0" w:type="auto"/>
            <w:shd w:val="clear" w:color="auto" w:fill="1F3864"/>
            <w:tcMar>
              <w:top w:w="120" w:type="dxa"/>
              <w:left w:w="200" w:type="dxa"/>
              <w:bottom w:w="120" w:type="dxa"/>
              <w:right w:w="200" w:type="dxa"/>
            </w:tcMar>
          </w:tcPr>
          <w:p w14:paraId="2685D43C" w14:textId="77777777" w:rsidR="00ED2775" w:rsidRDefault="00ED2775" w:rsidP="00145822">
            <w:pPr>
              <w:jc w:val="center"/>
            </w:pPr>
            <w:r>
              <w:rPr>
                <w:b/>
                <w:bCs/>
                <w:color w:val="FFFFFF"/>
              </w:rPr>
              <w:t>Encadré par :</w:t>
            </w:r>
          </w:p>
        </w:tc>
      </w:tr>
      <w:tr w:rsidR="00ED2775" w14:paraId="672D0E36" w14:textId="77777777" w:rsidTr="00145822">
        <w:tblPrEx>
          <w:tblCellMar>
            <w:top w:w="0" w:type="dxa"/>
            <w:bottom w:w="0" w:type="dxa"/>
          </w:tblCellMar>
        </w:tblPrEx>
        <w:tc>
          <w:tcPr>
            <w:tcW w:w="0" w:type="auto"/>
            <w:tcBorders>
              <w:right w:val="single" w:sz="4" w:space="0" w:color="CCCCCC"/>
            </w:tcBorders>
            <w:tcMar>
              <w:top w:w="120" w:type="dxa"/>
              <w:left w:w="300" w:type="dxa"/>
              <w:bottom w:w="120" w:type="dxa"/>
              <w:right w:w="300" w:type="dxa"/>
            </w:tcMar>
          </w:tcPr>
          <w:p w14:paraId="664B6844" w14:textId="3DDA9AC3" w:rsidR="00ED2775" w:rsidRPr="00673D74" w:rsidRDefault="002366A2" w:rsidP="00145822">
            <w:pPr>
              <w:jc w:val="center"/>
            </w:pPr>
            <w:r>
              <w:t>HOUNGBEME Mitondji Ferdinand</w:t>
            </w:r>
          </w:p>
          <w:p w14:paraId="75EBF54E" w14:textId="562AC053" w:rsidR="00ED2775" w:rsidRDefault="00ED2775" w:rsidP="00145822">
            <w:pPr>
              <w:jc w:val="center"/>
            </w:pPr>
            <w:r w:rsidRPr="00673D74">
              <w:rPr>
                <w:color w:val="7F7F7F"/>
                <w:sz w:val="20"/>
                <w:szCs w:val="20"/>
              </w:rPr>
              <w:t xml:space="preserve">Filière : </w:t>
            </w:r>
            <w:r w:rsidRPr="00673D74">
              <w:rPr>
                <w:color w:val="C00000"/>
              </w:rPr>
              <w:t>[Inform</w:t>
            </w:r>
          </w:p>
        </w:tc>
        <w:tc>
          <w:tcPr>
            <w:tcW w:w="0" w:type="auto"/>
            <w:tcMar>
              <w:top w:w="120" w:type="dxa"/>
              <w:left w:w="300" w:type="dxa"/>
              <w:bottom w:w="120" w:type="dxa"/>
              <w:right w:w="300" w:type="dxa"/>
            </w:tcMar>
          </w:tcPr>
          <w:p w14:paraId="782EB428" w14:textId="77777777" w:rsidR="00ED2775" w:rsidRPr="00673D74" w:rsidRDefault="00ED2775" w:rsidP="00145822">
            <w:pPr>
              <w:jc w:val="center"/>
            </w:pPr>
            <w:r w:rsidRPr="00673D74">
              <w:rPr>
                <w:color w:val="C00000"/>
              </w:rPr>
              <w:t>[Prénom et Nom de l'encadrant]</w:t>
            </w:r>
          </w:p>
          <w:p w14:paraId="32C2686E" w14:textId="77777777" w:rsidR="00ED2775" w:rsidRPr="00673D74" w:rsidRDefault="00ED2775" w:rsidP="00145822">
            <w:pPr>
              <w:jc w:val="center"/>
            </w:pPr>
            <w:r w:rsidRPr="00673D74">
              <w:rPr>
                <w:color w:val="7F7F7F"/>
                <w:sz w:val="20"/>
                <w:szCs w:val="20"/>
              </w:rPr>
              <w:t xml:space="preserve">Grade : </w:t>
            </w:r>
            <w:r w:rsidRPr="00673D74">
              <w:rPr>
                <w:color w:val="C00000"/>
              </w:rPr>
              <w:t>[Professeur / Dr / ...]</w:t>
            </w:r>
          </w:p>
        </w:tc>
      </w:tr>
    </w:tbl>
    <w:p w14:paraId="46872E0B" w14:textId="77777777" w:rsidR="00ED2775" w:rsidRDefault="00ED2775" w:rsidP="00ED2775">
      <w:pPr>
        <w:spacing w:before="800"/>
      </w:pPr>
    </w:p>
    <w:p w14:paraId="4AFE4293" w14:textId="77777777" w:rsidR="00ED2775" w:rsidRDefault="00ED2775" w:rsidP="00ED2775">
      <w:pPr>
        <w:spacing w:before="40" w:after="40"/>
        <w:jc w:val="center"/>
      </w:pPr>
      <w:r>
        <w:rPr>
          <w:b/>
          <w:bCs/>
        </w:rPr>
        <w:t xml:space="preserve">Soutenu le : </w:t>
      </w:r>
      <w:r>
        <w:rPr>
          <w:i/>
          <w:iCs/>
          <w:color w:val="C00000"/>
        </w:rPr>
        <w:t>[JJ Mois AAAA]</w:t>
      </w:r>
    </w:p>
    <w:p w14:paraId="174CCE6E" w14:textId="77777777" w:rsidR="00ED2775" w:rsidRDefault="00ED2775" w:rsidP="00ED2775">
      <w:r>
        <w:br w:type="page"/>
      </w:r>
    </w:p>
    <w:p w14:paraId="5DAD2179" w14:textId="3AD9C359" w:rsidR="00F33C7C" w:rsidRDefault="00F33C7C" w:rsidP="00F33C7C"/>
    <w:sdt>
      <w:sdtPr>
        <w:id w:val="-2031564936"/>
        <w:docPartObj>
          <w:docPartGallery w:val="Table of Contents"/>
          <w:docPartUnique/>
        </w:docPartObj>
      </w:sdtPr>
      <w:sdtEndPr>
        <w:rPr>
          <w:rFonts w:ascii="Arial" w:eastAsia="Arial" w:hAnsi="Arial" w:cs="Arial"/>
          <w:b/>
          <w:bCs/>
          <w:color w:val="auto"/>
          <w:sz w:val="22"/>
          <w:szCs w:val="22"/>
        </w:rPr>
      </w:sdtEndPr>
      <w:sdtContent>
        <w:p w14:paraId="41DC692A" w14:textId="7D190226" w:rsidR="00F33C7C" w:rsidRDefault="00F33C7C">
          <w:pPr>
            <w:pStyle w:val="En-ttedetabledesmatires"/>
          </w:pPr>
          <w:r>
            <w:t>Table des matières</w:t>
          </w:r>
        </w:p>
        <w:p w14:paraId="6F9DCDFA" w14:textId="4FD6E324" w:rsidR="00CA3FD6" w:rsidRDefault="00F33C7C">
          <w:pPr>
            <w:pStyle w:val="TM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786605" w:history="1">
            <w:r w:rsidR="00CA3FD6" w:rsidRPr="001C5A9E">
              <w:rPr>
                <w:rStyle w:val="Lienhypertexte"/>
                <w:noProof/>
              </w:rPr>
              <w:t>II. Etude de faisabilité</w:t>
            </w:r>
            <w:r w:rsidR="00CA3FD6">
              <w:rPr>
                <w:noProof/>
                <w:webHidden/>
              </w:rPr>
              <w:tab/>
            </w:r>
            <w:r w:rsidR="00CA3FD6">
              <w:rPr>
                <w:noProof/>
                <w:webHidden/>
              </w:rPr>
              <w:fldChar w:fldCharType="begin"/>
            </w:r>
            <w:r w:rsidR="00CA3FD6">
              <w:rPr>
                <w:noProof/>
                <w:webHidden/>
              </w:rPr>
              <w:instrText xml:space="preserve"> PAGEREF _Toc228786605 \h </w:instrText>
            </w:r>
            <w:r w:rsidR="00CA3FD6">
              <w:rPr>
                <w:noProof/>
                <w:webHidden/>
              </w:rPr>
            </w:r>
            <w:r w:rsidR="00CA3FD6">
              <w:rPr>
                <w:noProof/>
                <w:webHidden/>
              </w:rPr>
              <w:fldChar w:fldCharType="separate"/>
            </w:r>
            <w:r w:rsidR="00CA3FD6">
              <w:rPr>
                <w:noProof/>
                <w:webHidden/>
              </w:rPr>
              <w:t>3</w:t>
            </w:r>
            <w:r w:rsidR="00CA3FD6">
              <w:rPr>
                <w:noProof/>
                <w:webHidden/>
              </w:rPr>
              <w:fldChar w:fldCharType="end"/>
            </w:r>
          </w:hyperlink>
        </w:p>
        <w:p w14:paraId="13F3DBF2" w14:textId="5884A7D8" w:rsidR="00CA3FD6" w:rsidRDefault="00CA3FD6">
          <w:pPr>
            <w:pStyle w:val="TM2"/>
            <w:tabs>
              <w:tab w:val="right" w:leader="dot" w:pos="9062"/>
            </w:tabs>
            <w:rPr>
              <w:rFonts w:cstheme="minorBidi"/>
              <w:noProof/>
              <w:kern w:val="2"/>
              <w:sz w:val="24"/>
              <w:szCs w:val="24"/>
              <w14:ligatures w14:val="standardContextual"/>
            </w:rPr>
          </w:pPr>
          <w:hyperlink w:anchor="_Toc228786606" w:history="1">
            <w:r w:rsidRPr="001C5A9E">
              <w:rPr>
                <w:rStyle w:val="Lienhypertexte"/>
                <w:noProof/>
              </w:rPr>
              <w:t>1.  Contexte</w:t>
            </w:r>
            <w:r>
              <w:rPr>
                <w:noProof/>
                <w:webHidden/>
              </w:rPr>
              <w:tab/>
            </w:r>
            <w:r>
              <w:rPr>
                <w:noProof/>
                <w:webHidden/>
              </w:rPr>
              <w:fldChar w:fldCharType="begin"/>
            </w:r>
            <w:r>
              <w:rPr>
                <w:noProof/>
                <w:webHidden/>
              </w:rPr>
              <w:instrText xml:space="preserve"> PAGEREF _Toc228786606 \h </w:instrText>
            </w:r>
            <w:r>
              <w:rPr>
                <w:noProof/>
                <w:webHidden/>
              </w:rPr>
            </w:r>
            <w:r>
              <w:rPr>
                <w:noProof/>
                <w:webHidden/>
              </w:rPr>
              <w:fldChar w:fldCharType="separate"/>
            </w:r>
            <w:r>
              <w:rPr>
                <w:noProof/>
                <w:webHidden/>
              </w:rPr>
              <w:t>3</w:t>
            </w:r>
            <w:r>
              <w:rPr>
                <w:noProof/>
                <w:webHidden/>
              </w:rPr>
              <w:fldChar w:fldCharType="end"/>
            </w:r>
          </w:hyperlink>
        </w:p>
        <w:p w14:paraId="0D498A97" w14:textId="3A36CBA4" w:rsidR="00CA3FD6" w:rsidRDefault="00CA3FD6">
          <w:pPr>
            <w:pStyle w:val="TM3"/>
            <w:tabs>
              <w:tab w:val="right" w:leader="dot" w:pos="9062"/>
            </w:tabs>
            <w:rPr>
              <w:rFonts w:cstheme="minorBidi"/>
              <w:noProof/>
              <w:kern w:val="2"/>
              <w:sz w:val="24"/>
              <w:szCs w:val="24"/>
              <w14:ligatures w14:val="standardContextual"/>
            </w:rPr>
          </w:pPr>
          <w:hyperlink w:anchor="_Toc228786607" w:history="1">
            <w:r w:rsidRPr="001C5A9E">
              <w:rPr>
                <w:rStyle w:val="Lienhypertexte"/>
                <w:rFonts w:ascii="Times New Roman" w:hAnsi="Times New Roman"/>
                <w:noProof/>
                <w:lang w:eastAsia="en-US"/>
              </w:rPr>
              <w:t>1.1. Problématique</w:t>
            </w:r>
            <w:r>
              <w:rPr>
                <w:noProof/>
                <w:webHidden/>
              </w:rPr>
              <w:tab/>
            </w:r>
            <w:r>
              <w:rPr>
                <w:noProof/>
                <w:webHidden/>
              </w:rPr>
              <w:fldChar w:fldCharType="begin"/>
            </w:r>
            <w:r>
              <w:rPr>
                <w:noProof/>
                <w:webHidden/>
              </w:rPr>
              <w:instrText xml:space="preserve"> PAGEREF _Toc228786607 \h </w:instrText>
            </w:r>
            <w:r>
              <w:rPr>
                <w:noProof/>
                <w:webHidden/>
              </w:rPr>
            </w:r>
            <w:r>
              <w:rPr>
                <w:noProof/>
                <w:webHidden/>
              </w:rPr>
              <w:fldChar w:fldCharType="separate"/>
            </w:r>
            <w:r>
              <w:rPr>
                <w:noProof/>
                <w:webHidden/>
              </w:rPr>
              <w:t>3</w:t>
            </w:r>
            <w:r>
              <w:rPr>
                <w:noProof/>
                <w:webHidden/>
              </w:rPr>
              <w:fldChar w:fldCharType="end"/>
            </w:r>
          </w:hyperlink>
        </w:p>
        <w:p w14:paraId="595674C2" w14:textId="22D66169" w:rsidR="00CA3FD6" w:rsidRDefault="00CA3FD6">
          <w:pPr>
            <w:pStyle w:val="TM3"/>
            <w:tabs>
              <w:tab w:val="right" w:leader="dot" w:pos="9062"/>
            </w:tabs>
            <w:rPr>
              <w:rFonts w:cstheme="minorBidi"/>
              <w:noProof/>
              <w:kern w:val="2"/>
              <w:sz w:val="24"/>
              <w:szCs w:val="24"/>
              <w14:ligatures w14:val="standardContextual"/>
            </w:rPr>
          </w:pPr>
          <w:hyperlink w:anchor="_Toc228786608" w:history="1">
            <w:r w:rsidRPr="001C5A9E">
              <w:rPr>
                <w:rStyle w:val="Lienhypertexte"/>
                <w:rFonts w:ascii="Times New Roman" w:hAnsi="Times New Roman"/>
                <w:noProof/>
                <w:lang w:eastAsia="en-US"/>
              </w:rPr>
              <w:t>1.2. Objectifs</w:t>
            </w:r>
            <w:r>
              <w:rPr>
                <w:noProof/>
                <w:webHidden/>
              </w:rPr>
              <w:tab/>
            </w:r>
            <w:r>
              <w:rPr>
                <w:noProof/>
                <w:webHidden/>
              </w:rPr>
              <w:fldChar w:fldCharType="begin"/>
            </w:r>
            <w:r>
              <w:rPr>
                <w:noProof/>
                <w:webHidden/>
              </w:rPr>
              <w:instrText xml:space="preserve"> PAGEREF _Toc228786608 \h </w:instrText>
            </w:r>
            <w:r>
              <w:rPr>
                <w:noProof/>
                <w:webHidden/>
              </w:rPr>
            </w:r>
            <w:r>
              <w:rPr>
                <w:noProof/>
                <w:webHidden/>
              </w:rPr>
              <w:fldChar w:fldCharType="separate"/>
            </w:r>
            <w:r>
              <w:rPr>
                <w:noProof/>
                <w:webHidden/>
              </w:rPr>
              <w:t>3</w:t>
            </w:r>
            <w:r>
              <w:rPr>
                <w:noProof/>
                <w:webHidden/>
              </w:rPr>
              <w:fldChar w:fldCharType="end"/>
            </w:r>
          </w:hyperlink>
        </w:p>
        <w:p w14:paraId="3FBB4706" w14:textId="64CA0F44" w:rsidR="00F33C7C" w:rsidRDefault="00F33C7C">
          <w:r>
            <w:rPr>
              <w:b/>
              <w:bCs/>
            </w:rPr>
            <w:fldChar w:fldCharType="end"/>
          </w:r>
        </w:p>
      </w:sdtContent>
    </w:sdt>
    <w:p w14:paraId="4F27FD48" w14:textId="77777777" w:rsidR="00F33C7C" w:rsidRDefault="00F33C7C">
      <w:pPr>
        <w:spacing w:after="160" w:line="278" w:lineRule="auto"/>
      </w:pPr>
      <w:r>
        <w:br w:type="page"/>
      </w:r>
    </w:p>
    <w:p w14:paraId="0D2E0DF2" w14:textId="77777777" w:rsidR="00F33C7C" w:rsidRDefault="00F33C7C" w:rsidP="00F33C7C"/>
    <w:p w14:paraId="6F6DD0B5" w14:textId="4800B1AD" w:rsidR="00ED2775" w:rsidRDefault="002366A2" w:rsidP="002366A2">
      <w:pPr>
        <w:pStyle w:val="Titre1"/>
      </w:pPr>
      <w:bookmarkStart w:id="0" w:name="_Toc228786605"/>
      <w:r>
        <w:t>II. Etude de faisabilité</w:t>
      </w:r>
      <w:bookmarkEnd w:id="0"/>
      <w:r>
        <w:t xml:space="preserve"> </w:t>
      </w:r>
    </w:p>
    <w:p w14:paraId="454A70A5" w14:textId="746C943D" w:rsidR="002366A2" w:rsidRDefault="002366A2" w:rsidP="002366A2">
      <w:pPr>
        <w:pStyle w:val="Titre2"/>
      </w:pPr>
      <w:bookmarkStart w:id="1" w:name="_Toc228786606"/>
      <w:r>
        <w:t>1.  Contexte</w:t>
      </w:r>
      <w:bookmarkEnd w:id="1"/>
      <w:r>
        <w:t xml:space="preserve"> </w:t>
      </w:r>
    </w:p>
    <w:p w14:paraId="3969B076" w14:textId="77777777" w:rsidR="00F33C7C" w:rsidRDefault="00F33C7C" w:rsidP="00F33C7C">
      <w:pPr>
        <w:rPr>
          <w:lang w:eastAsia="en-US"/>
        </w:rPr>
      </w:pPr>
    </w:p>
    <w:p w14:paraId="3327F5B2" w14:textId="77777777" w:rsidR="00F33C7C" w:rsidRPr="00CA3FD6" w:rsidRDefault="00F33C7C" w:rsidP="00F33C7C">
      <w:p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 xml:space="preserve">ECOTRACK est une plateforme intelligente de gestion des déchets urbains reposant sur l’exploitation de données issues de conteneurs connectés, de fichiers historiques et de données opérationnelles de collecte. L’objectif du projet est de concevoir une architecture capable de centraliser, fiabiliser, transformer et valoriser ces données afin de produire des indicateurs utiles et à la décision. Le périmètre couvre la gestion de conteneurs, l’analyse des niveaux de remplissage, le suivi géographique des zones, l’historisation des mesures, d'aide à l’optimisation des tournées, conception des </w:t>
      </w:r>
      <w:r w:rsidRPr="00CA3FD6">
        <w:rPr>
          <w:rFonts w:ascii="Times New Roman" w:hAnsi="Times New Roman" w:cs="Times New Roman"/>
          <w:sz w:val="24"/>
          <w:szCs w:val="24"/>
          <w:lang w:eastAsia="en-US"/>
        </w:rPr>
        <w:t>modèles et</w:t>
      </w:r>
      <w:r w:rsidRPr="00CA3FD6">
        <w:rPr>
          <w:rFonts w:ascii="Times New Roman" w:hAnsi="Times New Roman" w:cs="Times New Roman"/>
          <w:sz w:val="24"/>
          <w:szCs w:val="24"/>
          <w:lang w:eastAsia="en-US"/>
        </w:rPr>
        <w:t xml:space="preserve"> la mise à disposition de tableaux de bord analytiques.</w:t>
      </w:r>
      <w:r w:rsidRPr="00CA3FD6">
        <w:rPr>
          <w:rFonts w:ascii="Times New Roman" w:hAnsi="Times New Roman" w:cs="Times New Roman"/>
          <w:sz w:val="24"/>
          <w:szCs w:val="24"/>
          <w:lang w:eastAsia="en-US"/>
        </w:rPr>
        <w:t xml:space="preserve"> </w:t>
      </w:r>
    </w:p>
    <w:p w14:paraId="6C64C582" w14:textId="77777777" w:rsidR="00F33C7C" w:rsidRPr="00CA3FD6" w:rsidRDefault="00F33C7C" w:rsidP="00F33C7C">
      <w:pPr>
        <w:jc w:val="both"/>
        <w:rPr>
          <w:rFonts w:ascii="Times New Roman" w:hAnsi="Times New Roman" w:cs="Times New Roman"/>
          <w:sz w:val="24"/>
          <w:szCs w:val="24"/>
          <w:lang w:eastAsia="en-US"/>
        </w:rPr>
      </w:pPr>
    </w:p>
    <w:p w14:paraId="1982FB6B" w14:textId="78175BC1" w:rsidR="00F33C7C" w:rsidRPr="00CA3FD6" w:rsidRDefault="00F33C7C" w:rsidP="00F33C7C">
      <w:p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 xml:space="preserve">Dans le cadre pédagogique ECOTRACK, la volumétrie visée est significative : environ </w:t>
      </w:r>
      <w:r w:rsidRPr="00CA3FD6">
        <w:rPr>
          <w:rFonts w:ascii="Times New Roman" w:hAnsi="Times New Roman" w:cs="Times New Roman"/>
          <w:b/>
          <w:bCs/>
          <w:sz w:val="24"/>
          <w:szCs w:val="24"/>
          <w:lang w:eastAsia="en-US"/>
        </w:rPr>
        <w:t>2000 conteneurs connectés</w:t>
      </w:r>
      <w:r w:rsidRPr="00CA3FD6">
        <w:rPr>
          <w:rFonts w:ascii="Times New Roman" w:hAnsi="Times New Roman" w:cs="Times New Roman"/>
          <w:sz w:val="24"/>
          <w:szCs w:val="24"/>
          <w:lang w:eastAsia="en-US"/>
        </w:rPr>
        <w:t xml:space="preserve">, </w:t>
      </w:r>
      <w:r w:rsidRPr="00CA3FD6">
        <w:rPr>
          <w:rFonts w:ascii="Times New Roman" w:hAnsi="Times New Roman" w:cs="Times New Roman"/>
          <w:b/>
          <w:bCs/>
          <w:sz w:val="24"/>
          <w:szCs w:val="24"/>
          <w:lang w:eastAsia="en-US"/>
        </w:rPr>
        <w:t>500 000 mesures par jour</w:t>
      </w:r>
      <w:r w:rsidRPr="00CA3FD6">
        <w:rPr>
          <w:rFonts w:ascii="Times New Roman" w:hAnsi="Times New Roman" w:cs="Times New Roman"/>
          <w:sz w:val="24"/>
          <w:szCs w:val="24"/>
          <w:lang w:eastAsia="en-US"/>
        </w:rPr>
        <w:t xml:space="preserve"> et jusqu’à </w:t>
      </w:r>
      <w:r w:rsidRPr="00CA3FD6">
        <w:rPr>
          <w:rFonts w:ascii="Times New Roman" w:hAnsi="Times New Roman" w:cs="Times New Roman"/>
          <w:b/>
          <w:bCs/>
          <w:sz w:val="24"/>
          <w:szCs w:val="24"/>
          <w:lang w:eastAsia="en-US"/>
        </w:rPr>
        <w:t>180 millions de mesures par an</w:t>
      </w:r>
      <w:r w:rsidRPr="00CA3FD6">
        <w:rPr>
          <w:rFonts w:ascii="Times New Roman" w:hAnsi="Times New Roman" w:cs="Times New Roman"/>
          <w:sz w:val="24"/>
          <w:szCs w:val="24"/>
          <w:lang w:eastAsia="en-US"/>
        </w:rPr>
        <w:t xml:space="preserve">. Cette volumétrie impose une réflexion sérieuse sur l’ingestion, le stockage, le partitionnement, les performances de requête et la préparation des données pour l’analyse. La plateforme doit également gérer une forte dimension géographique, car les conteneurs, les zones de collecte et les tournées sont localisés dans l’espace et doivent pouvoir être analysés sur des cartes ou via des requêtes spatiales. Le projet intègre donc naturellement </w:t>
      </w:r>
      <w:r w:rsidRPr="00CA3FD6">
        <w:rPr>
          <w:rFonts w:ascii="Times New Roman" w:hAnsi="Times New Roman" w:cs="Times New Roman"/>
          <w:b/>
          <w:bCs/>
          <w:sz w:val="24"/>
          <w:szCs w:val="24"/>
          <w:lang w:eastAsia="en-US"/>
        </w:rPr>
        <w:t>PostgreSQL + PostGIS</w:t>
      </w:r>
      <w:r w:rsidRPr="00CA3FD6">
        <w:rPr>
          <w:rFonts w:ascii="Times New Roman" w:hAnsi="Times New Roman" w:cs="Times New Roman"/>
          <w:sz w:val="24"/>
          <w:szCs w:val="24"/>
          <w:lang w:eastAsia="en-US"/>
        </w:rPr>
        <w:t xml:space="preserve"> pour la donnée géospatiale, ainsi qu’une logique d’entrepôt de données orientée décisionnel.</w:t>
      </w:r>
    </w:p>
    <w:p w14:paraId="5AF0151B" w14:textId="3F525212" w:rsidR="00F33C7C" w:rsidRPr="00CA3FD6" w:rsidRDefault="00F33C7C" w:rsidP="00F33C7C">
      <w:p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 xml:space="preserve">Le projet ECOTRACK s’inscrit donc dans une logique de </w:t>
      </w:r>
      <w:r w:rsidRPr="00CA3FD6">
        <w:rPr>
          <w:rFonts w:ascii="Times New Roman" w:hAnsi="Times New Roman" w:cs="Times New Roman"/>
          <w:b/>
          <w:bCs/>
          <w:sz w:val="24"/>
          <w:szCs w:val="24"/>
          <w:lang w:eastAsia="en-US"/>
        </w:rPr>
        <w:t>data-driven management</w:t>
      </w:r>
      <w:r w:rsidRPr="00CA3FD6">
        <w:rPr>
          <w:rFonts w:ascii="Times New Roman" w:hAnsi="Times New Roman" w:cs="Times New Roman"/>
          <w:sz w:val="24"/>
          <w:szCs w:val="24"/>
          <w:lang w:eastAsia="en-US"/>
        </w:rPr>
        <w:t>, où les décisions opérationnelles reposent sur l’analyse des données collectées.</w:t>
      </w:r>
    </w:p>
    <w:p w14:paraId="66A4A688" w14:textId="640A1445" w:rsidR="00F33C7C" w:rsidRPr="00CA3FD6" w:rsidRDefault="00F33C7C" w:rsidP="00F33C7C">
      <w:pPr>
        <w:jc w:val="both"/>
        <w:rPr>
          <w:rFonts w:ascii="Times New Roman" w:hAnsi="Times New Roman" w:cs="Times New Roman"/>
          <w:sz w:val="24"/>
          <w:szCs w:val="24"/>
          <w:lang w:eastAsia="en-US"/>
        </w:rPr>
      </w:pPr>
    </w:p>
    <w:p w14:paraId="4F9A1539" w14:textId="5F07CDFF" w:rsidR="00F33C7C" w:rsidRPr="00CA3FD6" w:rsidRDefault="00CA3FD6" w:rsidP="00CA3FD6">
      <w:pPr>
        <w:pStyle w:val="Titre3"/>
        <w:rPr>
          <w:rFonts w:ascii="Times New Roman" w:hAnsi="Times New Roman" w:cs="Times New Roman"/>
          <w:lang w:eastAsia="en-US"/>
        </w:rPr>
      </w:pPr>
      <w:bookmarkStart w:id="2" w:name="_Toc228786607"/>
      <w:r>
        <w:rPr>
          <w:rFonts w:ascii="Times New Roman" w:hAnsi="Times New Roman" w:cs="Times New Roman"/>
          <w:lang w:eastAsia="en-US"/>
        </w:rPr>
        <w:t xml:space="preserve">1.1. </w:t>
      </w:r>
      <w:r w:rsidR="00F33C7C" w:rsidRPr="00CA3FD6">
        <w:rPr>
          <w:rFonts w:ascii="Times New Roman" w:hAnsi="Times New Roman" w:cs="Times New Roman"/>
          <w:lang w:eastAsia="en-US"/>
        </w:rPr>
        <w:t>Problématique</w:t>
      </w:r>
      <w:bookmarkEnd w:id="2"/>
    </w:p>
    <w:p w14:paraId="05B27DC6" w14:textId="77777777" w:rsidR="00CA3FD6" w:rsidRPr="00CA3FD6" w:rsidRDefault="00CA3FD6" w:rsidP="00CA3FD6">
      <w:pPr>
        <w:rPr>
          <w:rFonts w:ascii="Times New Roman" w:hAnsi="Times New Roman" w:cs="Times New Roman"/>
          <w:lang w:eastAsia="en-US"/>
        </w:rPr>
      </w:pPr>
    </w:p>
    <w:p w14:paraId="347E75DD" w14:textId="1ACD0F23" w:rsidR="00CA3FD6" w:rsidRPr="00CA3FD6" w:rsidRDefault="00CA3FD6" w:rsidP="00CA3FD6">
      <w:pPr>
        <w:jc w:val="both"/>
        <w:rPr>
          <w:rFonts w:ascii="Times New Roman" w:hAnsi="Times New Roman" w:cs="Times New Roman"/>
          <w:lang w:eastAsia="en-US"/>
        </w:rPr>
      </w:pPr>
      <w:r w:rsidRPr="00CA3FD6">
        <w:rPr>
          <w:rFonts w:ascii="Times New Roman" w:hAnsi="Times New Roman" w:cs="Times New Roman"/>
          <w:lang w:eastAsia="en-US"/>
        </w:rPr>
        <w:t>La gestion traditionnelle des déchets repose souvent sur des tournées fixes, planifiées indépendamment de l’état réel des conteneurs. Cette approche génère plusieurs inefficacités</w:t>
      </w:r>
      <w:r w:rsidRPr="00CA3FD6">
        <w:rPr>
          <w:rFonts w:ascii="Times New Roman" w:hAnsi="Times New Roman" w:cs="Times New Roman"/>
          <w:lang w:eastAsia="en-US"/>
        </w:rPr>
        <w:t> :</w:t>
      </w:r>
    </w:p>
    <w:p w14:paraId="3C2B485E" w14:textId="77777777" w:rsidR="00CA3FD6" w:rsidRPr="00CA3FD6" w:rsidRDefault="00CA3FD6" w:rsidP="00CA3FD6">
      <w:pPr>
        <w:jc w:val="both"/>
        <w:rPr>
          <w:rFonts w:ascii="Times New Roman" w:hAnsi="Times New Roman" w:cs="Times New Roman"/>
          <w:lang w:eastAsia="en-US"/>
        </w:rPr>
      </w:pPr>
    </w:p>
    <w:p w14:paraId="5EF2B921" w14:textId="4092A5FB" w:rsidR="00CA3FD6" w:rsidRPr="00CA3FD6" w:rsidRDefault="00CA3FD6" w:rsidP="00CA3FD6">
      <w:pPr>
        <w:numPr>
          <w:ilvl w:val="0"/>
          <w:numId w:val="2"/>
        </w:numPr>
        <w:jc w:val="both"/>
        <w:rPr>
          <w:rFonts w:ascii="Times New Roman" w:hAnsi="Times New Roman" w:cs="Times New Roman"/>
          <w:lang w:eastAsia="en-US"/>
        </w:rPr>
      </w:pPr>
      <w:r w:rsidRPr="00CA3FD6">
        <w:rPr>
          <w:rFonts w:ascii="Times New Roman" w:hAnsi="Times New Roman" w:cs="Times New Roman"/>
          <w:lang w:eastAsia="en-US"/>
        </w:rPr>
        <w:t>absence de visibilité en temps réel sur le niveau de remplissage des conteneurs</w:t>
      </w:r>
      <w:r w:rsidRPr="00CA3FD6">
        <w:rPr>
          <w:rFonts w:ascii="Times New Roman" w:hAnsi="Times New Roman" w:cs="Times New Roman"/>
          <w:lang w:eastAsia="en-US"/>
        </w:rPr>
        <w:t> </w:t>
      </w:r>
    </w:p>
    <w:p w14:paraId="2CBE0C9C" w14:textId="77777777" w:rsidR="00CA3FD6" w:rsidRPr="00CA3FD6" w:rsidRDefault="00CA3FD6" w:rsidP="00CA3FD6">
      <w:pPr>
        <w:numPr>
          <w:ilvl w:val="0"/>
          <w:numId w:val="2"/>
        </w:numPr>
        <w:jc w:val="both"/>
        <w:rPr>
          <w:rFonts w:ascii="Times New Roman" w:hAnsi="Times New Roman" w:cs="Times New Roman"/>
          <w:lang w:eastAsia="en-US"/>
        </w:rPr>
      </w:pPr>
      <w:r w:rsidRPr="00CA3FD6">
        <w:rPr>
          <w:rFonts w:ascii="Times New Roman" w:hAnsi="Times New Roman" w:cs="Times New Roman"/>
          <w:lang w:eastAsia="en-US"/>
        </w:rPr>
        <w:t>tournées de collecte parfois inutiles ou mal optimisées </w:t>
      </w:r>
    </w:p>
    <w:p w14:paraId="11F67A57" w14:textId="77777777" w:rsidR="00CA3FD6" w:rsidRPr="00CA3FD6" w:rsidRDefault="00CA3FD6" w:rsidP="00CA3FD6">
      <w:pPr>
        <w:numPr>
          <w:ilvl w:val="0"/>
          <w:numId w:val="2"/>
        </w:numPr>
        <w:jc w:val="both"/>
        <w:rPr>
          <w:rFonts w:ascii="Times New Roman" w:hAnsi="Times New Roman" w:cs="Times New Roman"/>
          <w:lang w:eastAsia="en-US"/>
        </w:rPr>
      </w:pPr>
      <w:r w:rsidRPr="00CA3FD6">
        <w:rPr>
          <w:rFonts w:ascii="Times New Roman" w:hAnsi="Times New Roman" w:cs="Times New Roman"/>
          <w:lang w:eastAsia="en-US"/>
        </w:rPr>
        <w:t>débordements fréquents de conteneurs dans certaines zones </w:t>
      </w:r>
    </w:p>
    <w:p w14:paraId="37C021E4" w14:textId="77777777" w:rsidR="00CA3FD6" w:rsidRPr="00CA3FD6" w:rsidRDefault="00CA3FD6" w:rsidP="00CA3FD6">
      <w:pPr>
        <w:numPr>
          <w:ilvl w:val="0"/>
          <w:numId w:val="2"/>
        </w:numPr>
        <w:jc w:val="both"/>
        <w:rPr>
          <w:rFonts w:ascii="Times New Roman" w:hAnsi="Times New Roman" w:cs="Times New Roman"/>
          <w:lang w:eastAsia="en-US"/>
        </w:rPr>
      </w:pPr>
      <w:r w:rsidRPr="00CA3FD6">
        <w:rPr>
          <w:rFonts w:ascii="Times New Roman" w:hAnsi="Times New Roman" w:cs="Times New Roman"/>
          <w:lang w:eastAsia="en-US"/>
        </w:rPr>
        <w:t>coûts élevés liés au carburant, à la main-d’œuvre et à la maintenance </w:t>
      </w:r>
    </w:p>
    <w:p w14:paraId="494C5F03" w14:textId="77777777" w:rsidR="00CA3FD6" w:rsidRPr="00CA3FD6" w:rsidRDefault="00CA3FD6" w:rsidP="00CA3FD6">
      <w:pPr>
        <w:numPr>
          <w:ilvl w:val="0"/>
          <w:numId w:val="2"/>
        </w:numPr>
        <w:jc w:val="both"/>
        <w:rPr>
          <w:rFonts w:ascii="Times New Roman" w:hAnsi="Times New Roman" w:cs="Times New Roman"/>
          <w:lang w:eastAsia="en-US"/>
        </w:rPr>
      </w:pPr>
      <w:r w:rsidRPr="00CA3FD6">
        <w:rPr>
          <w:rFonts w:ascii="Times New Roman" w:hAnsi="Times New Roman" w:cs="Times New Roman"/>
          <w:lang w:eastAsia="en-US"/>
        </w:rPr>
        <w:t>difficulté à analyser les performances du système de collecte</w:t>
      </w:r>
    </w:p>
    <w:p w14:paraId="3652EEFF" w14:textId="11E5CC7C" w:rsidR="00CA3FD6" w:rsidRDefault="00CA3FD6" w:rsidP="00CA3FD6">
      <w:pPr>
        <w:numPr>
          <w:ilvl w:val="0"/>
          <w:numId w:val="2"/>
        </w:numPr>
        <w:jc w:val="both"/>
        <w:rPr>
          <w:rFonts w:ascii="Times New Roman" w:hAnsi="Times New Roman" w:cs="Times New Roman"/>
          <w:lang w:eastAsia="en-US"/>
        </w:rPr>
      </w:pPr>
      <w:r w:rsidRPr="00CA3FD6">
        <w:rPr>
          <w:rFonts w:ascii="Times New Roman" w:hAnsi="Times New Roman" w:cs="Times New Roman"/>
          <w:lang w:eastAsia="en-US"/>
        </w:rPr>
        <w:t>émission de CO2, pollution</w:t>
      </w:r>
    </w:p>
    <w:p w14:paraId="3CFC61A2" w14:textId="77777777" w:rsidR="00CA3FD6" w:rsidRDefault="00CA3FD6" w:rsidP="00CA3FD6">
      <w:pPr>
        <w:ind w:left="720"/>
        <w:jc w:val="both"/>
        <w:rPr>
          <w:rFonts w:ascii="Times New Roman" w:hAnsi="Times New Roman" w:cs="Times New Roman"/>
          <w:lang w:eastAsia="en-US"/>
        </w:rPr>
      </w:pPr>
    </w:p>
    <w:p w14:paraId="2940B7CA" w14:textId="7C646ADE" w:rsidR="00CA3FD6" w:rsidRDefault="00CA3FD6" w:rsidP="00CA3FD6">
      <w:pPr>
        <w:pStyle w:val="Titre3"/>
        <w:rPr>
          <w:rFonts w:ascii="Times New Roman" w:hAnsi="Times New Roman" w:cs="Times New Roman"/>
          <w:lang w:eastAsia="en-US"/>
        </w:rPr>
      </w:pPr>
      <w:bookmarkStart w:id="3" w:name="_Toc228786608"/>
      <w:r w:rsidRPr="00CA3FD6">
        <w:rPr>
          <w:rFonts w:ascii="Times New Roman" w:hAnsi="Times New Roman" w:cs="Times New Roman"/>
          <w:lang w:eastAsia="en-US"/>
        </w:rPr>
        <w:t>1.2. Objectifs</w:t>
      </w:r>
      <w:bookmarkEnd w:id="3"/>
    </w:p>
    <w:p w14:paraId="0BEA665A" w14:textId="77777777" w:rsidR="00CA3FD6" w:rsidRDefault="00CA3FD6" w:rsidP="00CA3FD6">
      <w:pPr>
        <w:rPr>
          <w:lang w:eastAsia="en-US"/>
        </w:rPr>
      </w:pPr>
    </w:p>
    <w:p w14:paraId="058B16D0" w14:textId="0FC135D3" w:rsidR="00CA3FD6" w:rsidRDefault="00CA3FD6" w:rsidP="00CA3FD6">
      <w:p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Le projet ECOTRACK vise à améliorer la gestion des déchets urbains grâce à l’exploitation</w:t>
      </w:r>
      <w:r>
        <w:rPr>
          <w:rFonts w:ascii="Times New Roman" w:hAnsi="Times New Roman" w:cs="Times New Roman"/>
          <w:sz w:val="24"/>
          <w:szCs w:val="24"/>
          <w:lang w:eastAsia="en-US"/>
        </w:rPr>
        <w:t xml:space="preserve"> </w:t>
      </w:r>
      <w:r w:rsidRPr="00CA3FD6">
        <w:rPr>
          <w:rFonts w:ascii="Times New Roman" w:hAnsi="Times New Roman" w:cs="Times New Roman"/>
          <w:sz w:val="24"/>
          <w:szCs w:val="24"/>
          <w:lang w:eastAsia="en-US"/>
        </w:rPr>
        <w:t>des données collectées. Les principaux objectifs sont :</w:t>
      </w:r>
    </w:p>
    <w:p w14:paraId="1E309362" w14:textId="77777777" w:rsidR="00CA3FD6" w:rsidRPr="00CA3FD6" w:rsidRDefault="00CA3FD6" w:rsidP="00CA3FD6">
      <w:pPr>
        <w:jc w:val="both"/>
        <w:rPr>
          <w:rFonts w:ascii="Times New Roman" w:hAnsi="Times New Roman" w:cs="Times New Roman"/>
          <w:sz w:val="24"/>
          <w:szCs w:val="24"/>
          <w:lang w:eastAsia="en-US"/>
        </w:rPr>
      </w:pPr>
    </w:p>
    <w:p w14:paraId="43F6D6AB"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centraliser les données issues des capteurs IoT et des sources opérationnelles </w:t>
      </w:r>
    </w:p>
    <w:p w14:paraId="6F96454B"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stocker et structurer ces données dans une base analytique adaptée </w:t>
      </w:r>
    </w:p>
    <w:p w14:paraId="72ED5304"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analyser l’évolution du taux de remplissage des conteneurs </w:t>
      </w:r>
    </w:p>
    <w:p w14:paraId="1596BB90"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identifier les zones géographiques nécessitant une attention particulière </w:t>
      </w:r>
    </w:p>
    <w:p w14:paraId="52A64792"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 xml:space="preserve">fournir des </w:t>
      </w:r>
      <w:r w:rsidRPr="00CA3FD6">
        <w:rPr>
          <w:rFonts w:ascii="Times New Roman" w:hAnsi="Times New Roman" w:cs="Times New Roman"/>
          <w:b/>
          <w:bCs/>
          <w:sz w:val="24"/>
          <w:szCs w:val="24"/>
          <w:lang w:eastAsia="en-US"/>
        </w:rPr>
        <w:t>tableaux de bord interactifs</w:t>
      </w:r>
      <w:r w:rsidRPr="00CA3FD6">
        <w:rPr>
          <w:rFonts w:ascii="Times New Roman" w:hAnsi="Times New Roman" w:cs="Times New Roman"/>
          <w:sz w:val="24"/>
          <w:szCs w:val="24"/>
          <w:lang w:eastAsia="en-US"/>
        </w:rPr>
        <w:t xml:space="preserve"> pour les gestionnaires </w:t>
      </w:r>
    </w:p>
    <w:p w14:paraId="50149816"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lastRenderedPageBreak/>
        <w:t>permettre l’analyse historique des performances du système de collecte </w:t>
      </w:r>
    </w:p>
    <w:p w14:paraId="411B5AFC"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 xml:space="preserve">développer un </w:t>
      </w:r>
      <w:r w:rsidRPr="00CA3FD6">
        <w:rPr>
          <w:rFonts w:ascii="Times New Roman" w:hAnsi="Times New Roman" w:cs="Times New Roman"/>
          <w:b/>
          <w:bCs/>
          <w:sz w:val="24"/>
          <w:szCs w:val="24"/>
          <w:lang w:eastAsia="en-US"/>
        </w:rPr>
        <w:t>modèle prédictif</w:t>
      </w:r>
      <w:r w:rsidRPr="00CA3FD6">
        <w:rPr>
          <w:rFonts w:ascii="Times New Roman" w:hAnsi="Times New Roman" w:cs="Times New Roman"/>
          <w:sz w:val="24"/>
          <w:szCs w:val="24"/>
          <w:lang w:eastAsia="en-US"/>
        </w:rPr>
        <w:t xml:space="preserve"> permettant d’anticiper le remplissage des conteneurs</w:t>
      </w:r>
    </w:p>
    <w:p w14:paraId="517E4AF7"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réduire les coûts de collecte de 20-30%</w:t>
      </w:r>
    </w:p>
    <w:p w14:paraId="750EC244"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éliminer les débordements (&lt;5% incidents)</w:t>
      </w:r>
    </w:p>
    <w:p w14:paraId="523F910E" w14:textId="77777777" w:rsidR="00CA3FD6" w:rsidRPr="00CA3FD6" w:rsidRDefault="00CA3FD6" w:rsidP="00CA3FD6">
      <w:pPr>
        <w:numPr>
          <w:ilvl w:val="0"/>
          <w:numId w:val="4"/>
        </w:numPr>
        <w:jc w:val="both"/>
        <w:rPr>
          <w:rFonts w:ascii="Times New Roman" w:hAnsi="Times New Roman" w:cs="Times New Roman"/>
          <w:sz w:val="24"/>
          <w:szCs w:val="24"/>
          <w:lang w:eastAsia="en-US"/>
        </w:rPr>
      </w:pPr>
      <w:r w:rsidRPr="00CA3FD6">
        <w:rPr>
          <w:rFonts w:ascii="Times New Roman" w:hAnsi="Times New Roman" w:cs="Times New Roman"/>
          <w:sz w:val="24"/>
          <w:szCs w:val="24"/>
          <w:lang w:eastAsia="en-US"/>
        </w:rPr>
        <w:t>optimiser les tournées</w:t>
      </w:r>
    </w:p>
    <w:p w14:paraId="593FCD75" w14:textId="77777777" w:rsidR="00CA3FD6" w:rsidRPr="00CA3FD6" w:rsidRDefault="00CA3FD6" w:rsidP="00CA3FD6">
      <w:pPr>
        <w:rPr>
          <w:lang w:eastAsia="en-US"/>
        </w:rPr>
      </w:pPr>
    </w:p>
    <w:sectPr w:rsidR="00CA3FD6" w:rsidRPr="00CA3FD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CBDF" w14:textId="77777777" w:rsidR="00471E23" w:rsidRDefault="00471E23" w:rsidP="00F33C7C">
      <w:r>
        <w:separator/>
      </w:r>
    </w:p>
  </w:endnote>
  <w:endnote w:type="continuationSeparator" w:id="0">
    <w:p w14:paraId="236FF857" w14:textId="77777777" w:rsidR="00471E23" w:rsidRDefault="00471E23" w:rsidP="00F33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372191"/>
      <w:docPartObj>
        <w:docPartGallery w:val="Page Numbers (Bottom of Page)"/>
        <w:docPartUnique/>
      </w:docPartObj>
    </w:sdtPr>
    <w:sdtContent>
      <w:p w14:paraId="1B40EAE1" w14:textId="4C56318F" w:rsidR="00F33C7C" w:rsidRDefault="00F33C7C">
        <w:pPr>
          <w:pStyle w:val="Pieddepage"/>
          <w:jc w:val="right"/>
        </w:pPr>
        <w:r>
          <w:fldChar w:fldCharType="begin"/>
        </w:r>
        <w:r>
          <w:instrText>PAGE   \* MERGEFORMAT</w:instrText>
        </w:r>
        <w:r>
          <w:fldChar w:fldCharType="separate"/>
        </w:r>
        <w:r>
          <w:t>2</w:t>
        </w:r>
        <w:r>
          <w:fldChar w:fldCharType="end"/>
        </w:r>
      </w:p>
    </w:sdtContent>
  </w:sdt>
  <w:p w14:paraId="1154D341" w14:textId="77777777" w:rsidR="00F33C7C" w:rsidRDefault="00F33C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C08A" w14:textId="77777777" w:rsidR="00471E23" w:rsidRDefault="00471E23" w:rsidP="00F33C7C">
      <w:r>
        <w:separator/>
      </w:r>
    </w:p>
  </w:footnote>
  <w:footnote w:type="continuationSeparator" w:id="0">
    <w:p w14:paraId="6A07ACDE" w14:textId="77777777" w:rsidR="00471E23" w:rsidRDefault="00471E23" w:rsidP="00F33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033"/>
    <w:multiLevelType w:val="multilevel"/>
    <w:tmpl w:val="89F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57CB0"/>
    <w:multiLevelType w:val="multilevel"/>
    <w:tmpl w:val="81729B5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52123B4B"/>
    <w:multiLevelType w:val="multilevel"/>
    <w:tmpl w:val="CF4C0AD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5EB3AE3"/>
    <w:multiLevelType w:val="multilevel"/>
    <w:tmpl w:val="ABA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27661">
    <w:abstractNumId w:val="1"/>
  </w:num>
  <w:num w:numId="2" w16cid:durableId="1984693312">
    <w:abstractNumId w:val="0"/>
  </w:num>
  <w:num w:numId="3" w16cid:durableId="2000189732">
    <w:abstractNumId w:val="2"/>
  </w:num>
  <w:num w:numId="4" w16cid:durableId="912934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75"/>
    <w:rsid w:val="002366A2"/>
    <w:rsid w:val="00376071"/>
    <w:rsid w:val="00471E23"/>
    <w:rsid w:val="00673D74"/>
    <w:rsid w:val="00A763F6"/>
    <w:rsid w:val="00AA5CCF"/>
    <w:rsid w:val="00CA3FD6"/>
    <w:rsid w:val="00ED2775"/>
    <w:rsid w:val="00F33C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D14A"/>
  <w15:chartTrackingRefBased/>
  <w15:docId w15:val="{711D97BC-35F7-4063-9684-CFA913CC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75"/>
    <w:pPr>
      <w:spacing w:after="0" w:line="240" w:lineRule="auto"/>
    </w:pPr>
    <w:rPr>
      <w:rFonts w:ascii="Arial" w:eastAsia="Arial" w:hAnsi="Arial" w:cs="Arial"/>
      <w:kern w:val="0"/>
      <w:sz w:val="22"/>
      <w:szCs w:val="22"/>
      <w:lang w:eastAsia="fr-FR"/>
      <w14:ligatures w14:val="none"/>
    </w:rPr>
  </w:style>
  <w:style w:type="paragraph" w:styleId="Titre1">
    <w:name w:val="heading 1"/>
    <w:basedOn w:val="Normal"/>
    <w:next w:val="Normal"/>
    <w:link w:val="Titre1Car"/>
    <w:uiPriority w:val="9"/>
    <w:qFormat/>
    <w:rsid w:val="00ED2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D2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D277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27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27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277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277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277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2775"/>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27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D27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D27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27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27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27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27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27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2775"/>
    <w:rPr>
      <w:rFonts w:eastAsiaTheme="majorEastAsia" w:cstheme="majorBidi"/>
      <w:color w:val="272727" w:themeColor="text1" w:themeTint="D8"/>
    </w:rPr>
  </w:style>
  <w:style w:type="paragraph" w:styleId="Titre">
    <w:name w:val="Title"/>
    <w:basedOn w:val="Normal"/>
    <w:next w:val="Normal"/>
    <w:link w:val="TitreCar"/>
    <w:uiPriority w:val="10"/>
    <w:qFormat/>
    <w:rsid w:val="00ED277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27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27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27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2775"/>
    <w:pPr>
      <w:spacing w:before="160"/>
      <w:jc w:val="center"/>
    </w:pPr>
    <w:rPr>
      <w:i/>
      <w:iCs/>
      <w:color w:val="404040" w:themeColor="text1" w:themeTint="BF"/>
    </w:rPr>
  </w:style>
  <w:style w:type="character" w:customStyle="1" w:styleId="CitationCar">
    <w:name w:val="Citation Car"/>
    <w:basedOn w:val="Policepardfaut"/>
    <w:link w:val="Citation"/>
    <w:uiPriority w:val="29"/>
    <w:rsid w:val="00ED2775"/>
    <w:rPr>
      <w:i/>
      <w:iCs/>
      <w:color w:val="404040" w:themeColor="text1" w:themeTint="BF"/>
    </w:rPr>
  </w:style>
  <w:style w:type="paragraph" w:styleId="Paragraphedeliste">
    <w:name w:val="List Paragraph"/>
    <w:basedOn w:val="Normal"/>
    <w:uiPriority w:val="34"/>
    <w:qFormat/>
    <w:rsid w:val="00ED2775"/>
    <w:pPr>
      <w:ind w:left="720"/>
      <w:contextualSpacing/>
    </w:pPr>
  </w:style>
  <w:style w:type="character" w:styleId="Accentuationintense">
    <w:name w:val="Intense Emphasis"/>
    <w:basedOn w:val="Policepardfaut"/>
    <w:uiPriority w:val="21"/>
    <w:qFormat/>
    <w:rsid w:val="00ED2775"/>
    <w:rPr>
      <w:i/>
      <w:iCs/>
      <w:color w:val="0F4761" w:themeColor="accent1" w:themeShade="BF"/>
    </w:rPr>
  </w:style>
  <w:style w:type="paragraph" w:styleId="Citationintense">
    <w:name w:val="Intense Quote"/>
    <w:basedOn w:val="Normal"/>
    <w:next w:val="Normal"/>
    <w:link w:val="CitationintenseCar"/>
    <w:uiPriority w:val="30"/>
    <w:qFormat/>
    <w:rsid w:val="00ED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2775"/>
    <w:rPr>
      <w:i/>
      <w:iCs/>
      <w:color w:val="0F4761" w:themeColor="accent1" w:themeShade="BF"/>
    </w:rPr>
  </w:style>
  <w:style w:type="character" w:styleId="Rfrenceintense">
    <w:name w:val="Intense Reference"/>
    <w:basedOn w:val="Policepardfaut"/>
    <w:uiPriority w:val="32"/>
    <w:qFormat/>
    <w:rsid w:val="00ED2775"/>
    <w:rPr>
      <w:b/>
      <w:bCs/>
      <w:smallCaps/>
      <w:color w:val="0F4761" w:themeColor="accent1" w:themeShade="BF"/>
      <w:spacing w:val="5"/>
    </w:rPr>
  </w:style>
  <w:style w:type="paragraph" w:styleId="En-tte">
    <w:name w:val="header"/>
    <w:basedOn w:val="Normal"/>
    <w:link w:val="En-tteCar"/>
    <w:uiPriority w:val="99"/>
    <w:unhideWhenUsed/>
    <w:rsid w:val="00F33C7C"/>
    <w:pPr>
      <w:tabs>
        <w:tab w:val="center" w:pos="4536"/>
        <w:tab w:val="right" w:pos="9072"/>
      </w:tabs>
    </w:pPr>
  </w:style>
  <w:style w:type="character" w:customStyle="1" w:styleId="En-tteCar">
    <w:name w:val="En-tête Car"/>
    <w:basedOn w:val="Policepardfaut"/>
    <w:link w:val="En-tte"/>
    <w:uiPriority w:val="99"/>
    <w:rsid w:val="00F33C7C"/>
    <w:rPr>
      <w:rFonts w:ascii="Arial" w:eastAsia="Arial" w:hAnsi="Arial" w:cs="Arial"/>
      <w:kern w:val="0"/>
      <w:sz w:val="22"/>
      <w:szCs w:val="22"/>
      <w:lang w:eastAsia="fr-FR"/>
      <w14:ligatures w14:val="none"/>
    </w:rPr>
  </w:style>
  <w:style w:type="paragraph" w:styleId="Pieddepage">
    <w:name w:val="footer"/>
    <w:basedOn w:val="Normal"/>
    <w:link w:val="PieddepageCar"/>
    <w:uiPriority w:val="99"/>
    <w:unhideWhenUsed/>
    <w:rsid w:val="00F33C7C"/>
    <w:pPr>
      <w:tabs>
        <w:tab w:val="center" w:pos="4536"/>
        <w:tab w:val="right" w:pos="9072"/>
      </w:tabs>
    </w:pPr>
  </w:style>
  <w:style w:type="character" w:customStyle="1" w:styleId="PieddepageCar">
    <w:name w:val="Pied de page Car"/>
    <w:basedOn w:val="Policepardfaut"/>
    <w:link w:val="Pieddepage"/>
    <w:uiPriority w:val="99"/>
    <w:rsid w:val="00F33C7C"/>
    <w:rPr>
      <w:rFonts w:ascii="Arial" w:eastAsia="Arial" w:hAnsi="Arial" w:cs="Arial"/>
      <w:kern w:val="0"/>
      <w:sz w:val="22"/>
      <w:szCs w:val="22"/>
      <w:lang w:eastAsia="fr-FR"/>
      <w14:ligatures w14:val="none"/>
    </w:rPr>
  </w:style>
  <w:style w:type="paragraph" w:styleId="En-ttedetabledesmatires">
    <w:name w:val="TOC Heading"/>
    <w:basedOn w:val="Titre1"/>
    <w:next w:val="Normal"/>
    <w:uiPriority w:val="39"/>
    <w:unhideWhenUsed/>
    <w:qFormat/>
    <w:rsid w:val="00F33C7C"/>
    <w:pPr>
      <w:spacing w:before="240" w:after="0" w:line="259" w:lineRule="auto"/>
      <w:outlineLvl w:val="9"/>
    </w:pPr>
    <w:rPr>
      <w:sz w:val="32"/>
      <w:szCs w:val="32"/>
    </w:rPr>
  </w:style>
  <w:style w:type="paragraph" w:styleId="TM2">
    <w:name w:val="toc 2"/>
    <w:basedOn w:val="Normal"/>
    <w:next w:val="Normal"/>
    <w:autoRedefine/>
    <w:uiPriority w:val="39"/>
    <w:unhideWhenUsed/>
    <w:rsid w:val="00F33C7C"/>
    <w:pPr>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F33C7C"/>
    <w:pPr>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F33C7C"/>
    <w:pPr>
      <w:spacing w:after="100" w:line="259" w:lineRule="auto"/>
      <w:ind w:left="440"/>
    </w:pPr>
    <w:rPr>
      <w:rFonts w:asciiTheme="minorHAnsi" w:eastAsiaTheme="minorEastAsia" w:hAnsiTheme="minorHAnsi" w:cs="Times New Roman"/>
    </w:rPr>
  </w:style>
  <w:style w:type="character" w:styleId="Lienhypertexte">
    <w:name w:val="Hyperlink"/>
    <w:basedOn w:val="Policepardfaut"/>
    <w:uiPriority w:val="99"/>
    <w:unhideWhenUsed/>
    <w:rsid w:val="00F33C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F019A-0166-47EA-A5E8-0E6E0155E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576</Words>
  <Characters>3172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Mitondji Ferdinand HOUNGBEME</dc:creator>
  <cp:keywords/>
  <dc:description/>
  <cp:lastModifiedBy>Mitondji Ferdinand HOUNGBEME</cp:lastModifiedBy>
  <cp:revision>3</cp:revision>
  <dcterms:created xsi:type="dcterms:W3CDTF">2026-05-04T08:29:00Z</dcterms:created>
  <dcterms:modified xsi:type="dcterms:W3CDTF">2026-05-04T09:30:00Z</dcterms:modified>
</cp:coreProperties>
</file>