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DE168" w14:textId="2C2CD79B" w:rsidR="00EC49FE" w:rsidRPr="008E18AB" w:rsidRDefault="004D31C3" w:rsidP="0039084B">
      <w:pPr>
        <w:pStyle w:val="Ttulo"/>
      </w:pPr>
      <w:r>
        <w:t xml:space="preserve">Predizendo o clima espacial com aprendizado de máquina: </w:t>
      </w:r>
      <w:r w:rsidR="00B44D93">
        <w:t>erupções</w:t>
      </w:r>
      <w:r>
        <w:t xml:space="preserve"> solares e tempestades geomagnéticas</w:t>
      </w:r>
    </w:p>
    <w:p w14:paraId="3FFD42A6" w14:textId="2B2BB41F" w:rsidR="00EC49FE" w:rsidRPr="008E18AB" w:rsidRDefault="008E18AB" w:rsidP="0039084B">
      <w:pPr>
        <w:pStyle w:val="Author"/>
      </w:pPr>
      <w:r w:rsidRPr="008E18AB">
        <w:t>Fernando de S Mello</w:t>
      </w:r>
      <w:r w:rsidRPr="008E18AB">
        <w:rPr>
          <w:vertAlign w:val="superscript"/>
        </w:rPr>
        <w:t>1</w:t>
      </w:r>
    </w:p>
    <w:p w14:paraId="080F7471" w14:textId="303888F2" w:rsidR="00556B9F" w:rsidRPr="008E18AB" w:rsidRDefault="00EC49FE" w:rsidP="008E18AB">
      <w:pPr>
        <w:spacing w:before="240"/>
        <w:jc w:val="center"/>
      </w:pPr>
      <w:r w:rsidRPr="008E18AB">
        <w:rPr>
          <w:rStyle w:val="AddressChar"/>
          <w:vertAlign w:val="superscript"/>
        </w:rPr>
        <w:t>1</w:t>
      </w:r>
      <w:r w:rsidR="00E96DCA" w:rsidRPr="00E96DCA">
        <w:rPr>
          <w:rStyle w:val="AddressChar"/>
        </w:rPr>
        <w:t>Instituto Hardware BR</w:t>
      </w:r>
    </w:p>
    <w:p w14:paraId="265D5C32" w14:textId="53E0427E" w:rsidR="00EC49FE" w:rsidRPr="008E18AB" w:rsidRDefault="008E18AB" w:rsidP="00EE70EF">
      <w:pPr>
        <w:pStyle w:val="Email"/>
      </w:pPr>
      <w:r w:rsidRPr="008E18AB">
        <w:t>fdesmello@gmail.com</w:t>
      </w:r>
    </w:p>
    <w:p w14:paraId="66A6B610" w14:textId="77777777" w:rsidR="00EC49FE" w:rsidRPr="008E18AB" w:rsidRDefault="00EC49FE" w:rsidP="00EE70EF">
      <w:pPr>
        <w:pStyle w:val="Email"/>
        <w:sectPr w:rsidR="00EC49FE" w:rsidRPr="008E18AB">
          <w:headerReference w:type="even" r:id="rId7"/>
          <w:headerReference w:type="default" r:id="rId8"/>
          <w:footerReference w:type="even" r:id="rId9"/>
          <w:footerReference w:type="first" r:id="rId10"/>
          <w:type w:val="continuous"/>
          <w:pgSz w:w="11907" w:h="16840" w:code="9"/>
          <w:pgMar w:top="1985" w:right="1701" w:bottom="1418" w:left="1701" w:header="964" w:footer="964" w:gutter="0"/>
          <w:pgNumType w:start="101"/>
          <w:cols w:space="454"/>
        </w:sectPr>
      </w:pPr>
    </w:p>
    <w:p w14:paraId="24A38417" w14:textId="328A610A" w:rsidR="00EC49FE" w:rsidRPr="008E18AB" w:rsidRDefault="00EC49FE" w:rsidP="00676E05">
      <w:pPr>
        <w:pStyle w:val="Abstract"/>
      </w:pPr>
      <w:r w:rsidRPr="008E18AB">
        <w:rPr>
          <w:b/>
        </w:rPr>
        <w:t>Abstract.</w:t>
      </w:r>
      <w:r w:rsidRPr="008E18AB">
        <w:t xml:space="preserve"> </w:t>
      </w:r>
    </w:p>
    <w:p w14:paraId="300F3EFF" w14:textId="01B995F4" w:rsidR="00EC49FE" w:rsidRPr="008E18AB" w:rsidRDefault="00EC49FE" w:rsidP="00676E05">
      <w:pPr>
        <w:pStyle w:val="Abstract"/>
      </w:pPr>
      <w:r w:rsidRPr="008E18AB">
        <w:rPr>
          <w:b/>
        </w:rPr>
        <w:t>Resumo.</w:t>
      </w:r>
      <w:r w:rsidRPr="008E18AB">
        <w:t xml:space="preserve"> o resumo (e o abstract) não ultrapassem 10 linhas cada, sendo que ambos devem estar na primeira página do artigo.</w:t>
      </w:r>
    </w:p>
    <w:p w14:paraId="53F091E7" w14:textId="41BBA8C5" w:rsidR="00EC49FE" w:rsidRPr="00892167" w:rsidRDefault="00EC49FE" w:rsidP="00EE70EF">
      <w:pPr>
        <w:pStyle w:val="Ttulo1"/>
      </w:pPr>
      <w:r w:rsidRPr="00892167">
        <w:t xml:space="preserve">1. </w:t>
      </w:r>
      <w:r w:rsidR="00293A75" w:rsidRPr="00892167">
        <w:t>Introdução</w:t>
      </w:r>
      <w:r w:rsidR="000D7F83" w:rsidRPr="00892167">
        <w:t xml:space="preserve"> (objetivos, justificativas)</w:t>
      </w:r>
    </w:p>
    <w:p w14:paraId="3D118955" w14:textId="3827C8FE" w:rsidR="00EC49FE" w:rsidRDefault="00892167" w:rsidP="00892167">
      <w:r w:rsidRPr="00892167">
        <w:t xml:space="preserve">O clima espacial </w:t>
      </w:r>
      <w:r>
        <w:t>depende das</w:t>
      </w:r>
      <w:r w:rsidRPr="00892167">
        <w:t xml:space="preserve"> interações</w:t>
      </w:r>
      <w:r>
        <w:t xml:space="preserve"> entre o Sol e a Terra</w:t>
      </w:r>
      <w:r w:rsidRPr="00892167">
        <w:t>. (</w:t>
      </w:r>
      <w:proofErr w:type="spellStart"/>
      <w:r w:rsidRPr="00892167">
        <w:t>Denardini</w:t>
      </w:r>
      <w:proofErr w:type="spellEnd"/>
      <w:r w:rsidRPr="00892167">
        <w:t xml:space="preserve"> et al., 2016).</w:t>
      </w:r>
      <w:r>
        <w:t xml:space="preserve"> </w:t>
      </w:r>
      <w:r w:rsidR="00B44D93">
        <w:t>Erupções solares</w:t>
      </w:r>
      <w:r>
        <w:t xml:space="preserve"> (</w:t>
      </w:r>
      <w:proofErr w:type="spellStart"/>
      <w:r w:rsidR="00B44D93">
        <w:t>flares</w:t>
      </w:r>
      <w:proofErr w:type="spellEnd"/>
      <w:r>
        <w:t>) estão associadas a emissões de massa corona</w:t>
      </w:r>
      <w:r w:rsidR="00B44D93">
        <w:t>l</w:t>
      </w:r>
      <w:r>
        <w:t xml:space="preserve"> do Sol. </w:t>
      </w:r>
      <w:r w:rsidRPr="00892167">
        <w:t xml:space="preserve">O plasma de alta energia emitido </w:t>
      </w:r>
      <w:r>
        <w:t xml:space="preserve">nesses eventos interfere com o campo magnético terrestre e sua atmosfera, podendo causar tempestades geomagnéticas que afetam satélites, sistemas de navegação e de fornecimento de energia, além de expor astronautas em órbita a maiores </w:t>
      </w:r>
      <w:r w:rsidR="00B44D93">
        <w:t>doses</w:t>
      </w:r>
      <w:r>
        <w:t xml:space="preserve"> de radiação. </w:t>
      </w:r>
    </w:p>
    <w:p w14:paraId="2987681B" w14:textId="298A0C63" w:rsidR="00B44D93" w:rsidRDefault="00B44D93" w:rsidP="00B44D93">
      <w:r>
        <w:t xml:space="preserve">Erupções solares são classificadas segundo o máximo de </w:t>
      </w:r>
      <w:r>
        <w:t>emiss</w:t>
      </w:r>
      <w:r>
        <w:t>ão</w:t>
      </w:r>
      <w:r>
        <w:t xml:space="preserve"> de raios X no comprimento de onda de 0,1 a 0,8 </w:t>
      </w:r>
      <w:proofErr w:type="spellStart"/>
      <w:r>
        <w:t>nm</w:t>
      </w:r>
      <w:proofErr w:type="spellEnd"/>
      <w:r>
        <w:t>,</w:t>
      </w:r>
      <w:r>
        <w:t xml:space="preserve"> contendo as classes</w:t>
      </w:r>
      <w:r>
        <w:t xml:space="preserve"> A, B, C, M e X (</w:t>
      </w:r>
      <w:proofErr w:type="spellStart"/>
      <w:r>
        <w:t>Messerotti</w:t>
      </w:r>
      <w:proofErr w:type="spellEnd"/>
      <w:r>
        <w:t xml:space="preserve"> et al., 2009). </w:t>
      </w:r>
      <w:r>
        <w:t xml:space="preserve">As de classe M e X são as mais fortes, emitindo grandes quantidades de raios X, UV e rádio que podem causar </w:t>
      </w:r>
      <w:r>
        <w:t>apagões de rádio e tempestades de radiação mais prolongadas</w:t>
      </w:r>
      <w:r>
        <w:t xml:space="preserve"> aqui na Terra.</w:t>
      </w:r>
    </w:p>
    <w:p w14:paraId="0B9099BA" w14:textId="11F9A74D" w:rsidR="00B44D93" w:rsidRDefault="00B44D93" w:rsidP="00003D82">
      <w:r>
        <w:t>Por sua vez, as tempestades geomagnéticas são classificadas segundo o í</w:t>
      </w:r>
      <w:r>
        <w:t xml:space="preserve">ndice de </w:t>
      </w:r>
      <w:r w:rsidR="00003D82">
        <w:t>distúrbio</w:t>
      </w:r>
      <w:r w:rsidR="00003D82">
        <w:t>-</w:t>
      </w:r>
      <w:r w:rsidR="00003D82" w:rsidRPr="00003D82">
        <w:t>tempo de tempestade</w:t>
      </w:r>
      <w:r w:rsidR="00003D82" w:rsidRPr="00003D82">
        <w:t xml:space="preserve"> </w:t>
      </w:r>
      <w:r>
        <w:t>(</w:t>
      </w:r>
      <w:proofErr w:type="spellStart"/>
      <w:r>
        <w:t>d</w:t>
      </w:r>
      <w:r w:rsidRPr="00B44D93">
        <w:t>isturbance</w:t>
      </w:r>
      <w:proofErr w:type="spellEnd"/>
      <w:r w:rsidRPr="00B44D93">
        <w:t xml:space="preserve"> </w:t>
      </w:r>
      <w:proofErr w:type="spellStart"/>
      <w:r>
        <w:t>s</w:t>
      </w:r>
      <w:r w:rsidRPr="00B44D93">
        <w:t>torm</w:t>
      </w:r>
      <w:proofErr w:type="spellEnd"/>
      <w:r w:rsidRPr="00B44D93">
        <w:t>-</w:t>
      </w:r>
      <w:r>
        <w:t>t</w:t>
      </w:r>
      <w:r w:rsidRPr="00B44D93">
        <w:t xml:space="preserve">ime </w:t>
      </w:r>
      <w:r>
        <w:t>i</w:t>
      </w:r>
      <w:r w:rsidRPr="00B44D93">
        <w:t>ndex</w:t>
      </w:r>
      <w:r w:rsidRPr="00B44D93">
        <w:t xml:space="preserve"> </w:t>
      </w:r>
      <w:r>
        <w:t xml:space="preserve">- </w:t>
      </w:r>
      <w:proofErr w:type="spellStart"/>
      <w:r>
        <w:t>Dst</w:t>
      </w:r>
      <w:proofErr w:type="spellEnd"/>
      <w:r>
        <w:t xml:space="preserve">), </w:t>
      </w:r>
      <w:r w:rsidRPr="00B44D93">
        <w:t xml:space="preserve">um índice de atividade magnética derivado de uma rede de observatórios geomagnéticos </w:t>
      </w:r>
      <w:r w:rsidR="00003D82">
        <w:t>na Terra</w:t>
      </w:r>
      <w:r w:rsidRPr="00B44D93">
        <w:t>.</w:t>
      </w:r>
      <w:r w:rsidR="00003D82">
        <w:t xml:space="preserve"> Quanto maior a diferença entre o observado e o valor típico, maior a interferência magnética pela tempestade geomagnética. Valores de </w:t>
      </w:r>
      <w:proofErr w:type="spellStart"/>
      <w:r w:rsidR="00003D82">
        <w:t>Dst</w:t>
      </w:r>
      <w:proofErr w:type="spellEnd"/>
      <w:r w:rsidR="00003D82">
        <w:t xml:space="preserve"> inferiores a -50 </w:t>
      </w:r>
      <w:proofErr w:type="spellStart"/>
      <w:r w:rsidR="00003D82">
        <w:t>nT</w:t>
      </w:r>
      <w:proofErr w:type="spellEnd"/>
      <w:r w:rsidR="00003D82">
        <w:t xml:space="preserve"> indicam uma tempestade geomagnética moderada, quanto valores menores do que -</w:t>
      </w:r>
      <w:r w:rsidR="00003D82" w:rsidRPr="00003D82">
        <w:t xml:space="preserve">250 </w:t>
      </w:r>
      <w:proofErr w:type="spellStart"/>
      <w:r w:rsidR="00003D82" w:rsidRPr="00003D82">
        <w:t>nT</w:t>
      </w:r>
      <w:proofErr w:type="spellEnd"/>
      <w:r w:rsidR="00003D82">
        <w:t xml:space="preserve"> indicam uma</w:t>
      </w:r>
      <w:r w:rsidR="00003D82" w:rsidRPr="00003D82">
        <w:t xml:space="preserve"> supertempestade</w:t>
      </w:r>
      <w:r w:rsidR="00003D82">
        <w:t>.</w:t>
      </w:r>
    </w:p>
    <w:p w14:paraId="332A8F06" w14:textId="20C3DBFB" w:rsidR="00FB36C4" w:rsidRDefault="00FB36C4" w:rsidP="00003D82">
      <w:r>
        <w:t>O Sol tem estações de atividade segundo um ciclo de aproximadamente 11 anos. Durante esse clico,</w:t>
      </w:r>
      <w:r w:rsidR="005B16A0">
        <w:t xml:space="preserve"> as manchas solares e anomalias magnéticas aumentam de frequência, assim como as erupções solares e ejeções de massa coronal, para depois decaírem de novo. Os eventos mais intensos são esperados próximo do pico de atividade do ciclo. Estamos agora passando pela parte ativa do ciclo e o último pico foi ano passado.</w:t>
      </w:r>
    </w:p>
    <w:p w14:paraId="121E3764" w14:textId="47F92403" w:rsidR="00003D82" w:rsidRDefault="00003D82" w:rsidP="00003D82">
      <w:r w:rsidRPr="00003D82">
        <w:t>A tempestade solar de 1859, também conhecida como Evento Carrington,</w:t>
      </w:r>
      <w:r>
        <w:t xml:space="preserve"> </w:t>
      </w:r>
      <w:r w:rsidRPr="00003D82">
        <w:t>foi uma das maiores tempestades geomagnéticas já registradas.</w:t>
      </w:r>
    </w:p>
    <w:p w14:paraId="39B46E42" w14:textId="708B71E1" w:rsidR="00003D82" w:rsidRPr="00892167" w:rsidRDefault="00003D82" w:rsidP="00003D82">
      <w:r w:rsidRPr="00892167">
        <w:t xml:space="preserve">A previsão desses eventos </w:t>
      </w:r>
      <w:r>
        <w:t xml:space="preserve">é importante para </w:t>
      </w:r>
      <w:r>
        <w:t xml:space="preserve">nos dar mais tempo de reação e </w:t>
      </w:r>
      <w:r>
        <w:t>mitigar seus efeitos potencialmente negativos e até catastróficos.</w:t>
      </w:r>
    </w:p>
    <w:p w14:paraId="64CE5F9D" w14:textId="1EB42185" w:rsidR="00EC49FE" w:rsidRPr="000D7F83" w:rsidRDefault="00EC49FE" w:rsidP="00603861">
      <w:pPr>
        <w:pStyle w:val="Ttulo1"/>
      </w:pPr>
      <w:r w:rsidRPr="000D7F83">
        <w:t xml:space="preserve">2. </w:t>
      </w:r>
      <w:r w:rsidR="000D7F83" w:rsidRPr="000D7F83">
        <w:t xml:space="preserve">Abordagem, metodologia (software, </w:t>
      </w:r>
      <w:proofErr w:type="spellStart"/>
      <w:r w:rsidR="000D7F83" w:rsidRPr="000D7F83">
        <w:t>datas</w:t>
      </w:r>
      <w:r w:rsidR="000D7F83">
        <w:t>et</w:t>
      </w:r>
      <w:proofErr w:type="spellEnd"/>
      <w:r w:rsidR="000D7F83">
        <w:t>,</w:t>
      </w:r>
      <w:r w:rsidR="00892167">
        <w:t xml:space="preserve"> </w:t>
      </w:r>
      <w:r w:rsidR="000D7F83">
        <w:t>...)</w:t>
      </w:r>
    </w:p>
    <w:p w14:paraId="4226EAA8" w14:textId="208FBEBC" w:rsidR="00EC49FE" w:rsidRPr="000D7F83" w:rsidRDefault="00293A75">
      <w:proofErr w:type="spellStart"/>
      <w:r w:rsidRPr="000D7F83">
        <w:t>dgdgdgdg</w:t>
      </w:r>
      <w:proofErr w:type="spellEnd"/>
    </w:p>
    <w:p w14:paraId="6A0510BC" w14:textId="128EC5BA" w:rsidR="00EC49FE" w:rsidRPr="000D7F83" w:rsidRDefault="00603861" w:rsidP="00603861">
      <w:pPr>
        <w:pStyle w:val="Ttulo1"/>
      </w:pPr>
      <w:r w:rsidRPr="000D7F83">
        <w:lastRenderedPageBreak/>
        <w:t>3</w:t>
      </w:r>
      <w:r w:rsidR="00EC49FE" w:rsidRPr="000D7F83">
        <w:t xml:space="preserve">. </w:t>
      </w:r>
      <w:r w:rsidR="000D7F83" w:rsidRPr="000D7F83">
        <w:t>Resultados</w:t>
      </w:r>
    </w:p>
    <w:p w14:paraId="5F5FF71A" w14:textId="45F1C596" w:rsidR="00EC49FE" w:rsidRDefault="005B16A0">
      <w:proofErr w:type="spellStart"/>
      <w:r w:rsidRPr="000D7F83">
        <w:t>G</w:t>
      </w:r>
      <w:r w:rsidR="00293A75" w:rsidRPr="000D7F83">
        <w:t>hkghkghkhkhjkjk</w:t>
      </w:r>
      <w:proofErr w:type="spellEnd"/>
    </w:p>
    <w:p w14:paraId="59AF6919" w14:textId="77777777" w:rsidR="005B16A0" w:rsidRDefault="005B16A0">
      <w:r>
        <w:rPr>
          <w:noProof/>
        </w:rPr>
        <w:drawing>
          <wp:inline distT="0" distB="0" distL="0" distR="0" wp14:anchorId="42DD2FC0" wp14:editId="1F5CEC5E">
            <wp:extent cx="5400675" cy="4006215"/>
            <wp:effectExtent l="0" t="0" r="9525" b="0"/>
            <wp:docPr id="1630980704"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675" cy="4006215"/>
                    </a:xfrm>
                    <a:prstGeom prst="rect">
                      <a:avLst/>
                    </a:prstGeom>
                    <a:noFill/>
                    <a:ln>
                      <a:noFill/>
                    </a:ln>
                  </pic:spPr>
                </pic:pic>
              </a:graphicData>
            </a:graphic>
          </wp:inline>
        </w:drawing>
      </w:r>
    </w:p>
    <w:p w14:paraId="25D00761" w14:textId="77777777" w:rsidR="005B16A0" w:rsidRDefault="005B16A0"/>
    <w:p w14:paraId="2B2DBF94" w14:textId="77777777" w:rsidR="005B16A0" w:rsidRDefault="005B16A0">
      <w:r>
        <w:rPr>
          <w:noProof/>
        </w:rPr>
        <w:lastRenderedPageBreak/>
        <w:drawing>
          <wp:inline distT="0" distB="0" distL="0" distR="0" wp14:anchorId="10431669" wp14:editId="30E6BFE8">
            <wp:extent cx="5400675" cy="4008755"/>
            <wp:effectExtent l="0" t="0" r="9525" b="0"/>
            <wp:docPr id="13008718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675" cy="4008755"/>
                    </a:xfrm>
                    <a:prstGeom prst="rect">
                      <a:avLst/>
                    </a:prstGeom>
                    <a:noFill/>
                    <a:ln>
                      <a:noFill/>
                    </a:ln>
                  </pic:spPr>
                </pic:pic>
              </a:graphicData>
            </a:graphic>
          </wp:inline>
        </w:drawing>
      </w:r>
    </w:p>
    <w:p w14:paraId="7E4FFF52" w14:textId="77777777" w:rsidR="005B16A0" w:rsidRDefault="005B16A0"/>
    <w:p w14:paraId="51316235" w14:textId="395FCC4F" w:rsidR="005B16A0" w:rsidRDefault="005B16A0">
      <w:r>
        <w:rPr>
          <w:noProof/>
        </w:rPr>
        <w:drawing>
          <wp:inline distT="0" distB="0" distL="0" distR="0" wp14:anchorId="3A7DB942" wp14:editId="2990BE71">
            <wp:extent cx="5400675" cy="4008755"/>
            <wp:effectExtent l="0" t="0" r="9525" b="0"/>
            <wp:docPr id="95984065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675" cy="4008755"/>
                    </a:xfrm>
                    <a:prstGeom prst="rect">
                      <a:avLst/>
                    </a:prstGeom>
                    <a:noFill/>
                    <a:ln>
                      <a:noFill/>
                    </a:ln>
                  </pic:spPr>
                </pic:pic>
              </a:graphicData>
            </a:graphic>
          </wp:inline>
        </w:drawing>
      </w:r>
    </w:p>
    <w:p w14:paraId="542C7824" w14:textId="77777777" w:rsidR="005B16A0" w:rsidRDefault="005B16A0"/>
    <w:p w14:paraId="33D7B758" w14:textId="75A189D3" w:rsidR="005B16A0" w:rsidRDefault="005B16A0">
      <w:r>
        <w:rPr>
          <w:noProof/>
        </w:rPr>
        <w:drawing>
          <wp:inline distT="0" distB="0" distL="0" distR="0" wp14:anchorId="178310B4" wp14:editId="1A041470">
            <wp:extent cx="5400675" cy="4006215"/>
            <wp:effectExtent l="0" t="0" r="9525" b="0"/>
            <wp:docPr id="209203599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675" cy="4006215"/>
                    </a:xfrm>
                    <a:prstGeom prst="rect">
                      <a:avLst/>
                    </a:prstGeom>
                    <a:noFill/>
                    <a:ln>
                      <a:noFill/>
                    </a:ln>
                  </pic:spPr>
                </pic:pic>
              </a:graphicData>
            </a:graphic>
          </wp:inline>
        </w:drawing>
      </w:r>
    </w:p>
    <w:p w14:paraId="3047E9A9" w14:textId="77777777" w:rsidR="005B16A0" w:rsidRDefault="005B16A0"/>
    <w:p w14:paraId="76006E51" w14:textId="0994FDC2" w:rsidR="005B16A0" w:rsidRDefault="005B16A0">
      <w:r>
        <w:rPr>
          <w:noProof/>
        </w:rPr>
        <w:lastRenderedPageBreak/>
        <w:drawing>
          <wp:inline distT="0" distB="0" distL="0" distR="0" wp14:anchorId="1DC164AC" wp14:editId="07DF3BC1">
            <wp:extent cx="5400675" cy="4008755"/>
            <wp:effectExtent l="0" t="0" r="9525" b="0"/>
            <wp:docPr id="498549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675" cy="4008755"/>
                    </a:xfrm>
                    <a:prstGeom prst="rect">
                      <a:avLst/>
                    </a:prstGeom>
                    <a:noFill/>
                    <a:ln>
                      <a:noFill/>
                    </a:ln>
                  </pic:spPr>
                </pic:pic>
              </a:graphicData>
            </a:graphic>
          </wp:inline>
        </w:drawing>
      </w:r>
    </w:p>
    <w:p w14:paraId="782E8433" w14:textId="77777777" w:rsidR="005B16A0" w:rsidRDefault="005B16A0"/>
    <w:p w14:paraId="2DBD114E" w14:textId="7025D244" w:rsidR="005B16A0" w:rsidRDefault="005B16A0">
      <w:r>
        <w:rPr>
          <w:noProof/>
        </w:rPr>
        <w:drawing>
          <wp:inline distT="0" distB="0" distL="0" distR="0" wp14:anchorId="1A249299" wp14:editId="0C49D78F">
            <wp:extent cx="5400675" cy="4008755"/>
            <wp:effectExtent l="0" t="0" r="9525" b="0"/>
            <wp:docPr id="83104412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675" cy="4008755"/>
                    </a:xfrm>
                    <a:prstGeom prst="rect">
                      <a:avLst/>
                    </a:prstGeom>
                    <a:noFill/>
                    <a:ln>
                      <a:noFill/>
                    </a:ln>
                  </pic:spPr>
                </pic:pic>
              </a:graphicData>
            </a:graphic>
          </wp:inline>
        </w:drawing>
      </w:r>
    </w:p>
    <w:p w14:paraId="316D3618" w14:textId="77777777" w:rsidR="005B16A0" w:rsidRDefault="005B16A0"/>
    <w:p w14:paraId="186EC91A" w14:textId="77777777" w:rsidR="005B16A0" w:rsidRDefault="005B16A0"/>
    <w:p w14:paraId="58058E72" w14:textId="77777777" w:rsidR="005B16A0" w:rsidRDefault="005B16A0"/>
    <w:p w14:paraId="12C4B0B2" w14:textId="77777777" w:rsidR="005B16A0" w:rsidRDefault="005B16A0"/>
    <w:p w14:paraId="159EE87E" w14:textId="77777777" w:rsidR="005B16A0" w:rsidRPr="000D7F83" w:rsidRDefault="005B16A0"/>
    <w:p w14:paraId="7F97957B" w14:textId="547679FD" w:rsidR="00EC49FE" w:rsidRPr="000D7F83" w:rsidRDefault="00603861" w:rsidP="00603861">
      <w:pPr>
        <w:pStyle w:val="Ttulo1"/>
      </w:pPr>
      <w:r w:rsidRPr="000D7F83">
        <w:t>4</w:t>
      </w:r>
      <w:r w:rsidR="00EC49FE" w:rsidRPr="000D7F83">
        <w:t xml:space="preserve">. </w:t>
      </w:r>
      <w:r w:rsidR="000D7F83" w:rsidRPr="000D7F83">
        <w:t xml:space="preserve">Análise e </w:t>
      </w:r>
      <w:r w:rsidR="000D7F83">
        <w:t>discussão dos resultados</w:t>
      </w:r>
    </w:p>
    <w:p w14:paraId="754E853E" w14:textId="77777777" w:rsidR="00EC49FE" w:rsidRPr="00293A75" w:rsidRDefault="00EC49FE">
      <w:pPr>
        <w:rPr>
          <w:lang w:val="en-US"/>
        </w:rPr>
      </w:pPr>
      <w:r w:rsidRPr="00293A75">
        <w:rPr>
          <w:lang w:val="en-US"/>
        </w:rPr>
        <w:t>Section titles must be in boldface, 13pt, flush left. There should be an extra 12 pt of space before each title. Section numbering is optional. The first paragraph of each</w:t>
      </w:r>
      <w:r w:rsidR="00B16E1E" w:rsidRPr="00293A75">
        <w:rPr>
          <w:lang w:val="en-US"/>
        </w:rPr>
        <w:t xml:space="preserve"> section should not be indented, while</w:t>
      </w:r>
      <w:r w:rsidRPr="00293A75">
        <w:rPr>
          <w:lang w:val="en-US"/>
        </w:rPr>
        <w:t xml:space="preserve"> the first lines of subsequent paragraphs should be indented by 1.27 cm. </w:t>
      </w:r>
    </w:p>
    <w:p w14:paraId="605A9B93" w14:textId="77777777" w:rsidR="00EC49FE" w:rsidRPr="00293A75" w:rsidRDefault="00603861" w:rsidP="00603861">
      <w:pPr>
        <w:pStyle w:val="Ttulo2"/>
        <w:rPr>
          <w:lang w:val="en-US"/>
        </w:rPr>
      </w:pPr>
      <w:r w:rsidRPr="00293A75">
        <w:rPr>
          <w:lang w:val="en-US"/>
        </w:rPr>
        <w:t>4</w:t>
      </w:r>
      <w:r w:rsidR="00EC49FE" w:rsidRPr="00293A75">
        <w:rPr>
          <w:lang w:val="en-US"/>
        </w:rPr>
        <w:t>.1. Subsections</w:t>
      </w:r>
    </w:p>
    <w:p w14:paraId="0F0F4094" w14:textId="77777777" w:rsidR="00EC49FE" w:rsidRPr="00293A75" w:rsidRDefault="00EC49FE">
      <w:pPr>
        <w:rPr>
          <w:lang w:val="en-US"/>
        </w:rPr>
      </w:pPr>
      <w:r w:rsidRPr="00293A75">
        <w:rPr>
          <w:lang w:val="en-US"/>
        </w:rPr>
        <w:t>The subsection titles must be in boldface, 12pt, flush left.</w:t>
      </w:r>
    </w:p>
    <w:p w14:paraId="572D3000" w14:textId="0ECBF67C" w:rsidR="00EC49FE" w:rsidRPr="00293A75" w:rsidRDefault="00603861" w:rsidP="00603861">
      <w:pPr>
        <w:pStyle w:val="Ttulo1"/>
        <w:rPr>
          <w:lang w:val="en-US"/>
        </w:rPr>
      </w:pPr>
      <w:r w:rsidRPr="00293A75">
        <w:rPr>
          <w:lang w:val="en-US"/>
        </w:rPr>
        <w:t>5</w:t>
      </w:r>
      <w:r w:rsidR="00EC49FE" w:rsidRPr="00293A75">
        <w:rPr>
          <w:lang w:val="en-US"/>
        </w:rPr>
        <w:t xml:space="preserve">. </w:t>
      </w:r>
      <w:proofErr w:type="spellStart"/>
      <w:r w:rsidR="000D7F83">
        <w:rPr>
          <w:lang w:val="en-US"/>
        </w:rPr>
        <w:t>Conclusão</w:t>
      </w:r>
      <w:proofErr w:type="spellEnd"/>
    </w:p>
    <w:p w14:paraId="7B975FB7" w14:textId="77777777" w:rsidR="00EC49FE" w:rsidRPr="00293A75" w:rsidRDefault="00EC49FE">
      <w:pPr>
        <w:rPr>
          <w:lang w:val="en-US"/>
        </w:rPr>
      </w:pPr>
      <w:r w:rsidRPr="00293A75">
        <w:rPr>
          <w:lang w:val="en-US"/>
        </w:rPr>
        <w:t xml:space="preserve">Figure and table captions should be centered if less than one line (Figure 1), otherwise justified and indented by 0.8cm on both margins, as shown in Figure 2. The </w:t>
      </w:r>
      <w:r w:rsidR="00B16E1E" w:rsidRPr="00293A75">
        <w:rPr>
          <w:lang w:val="en-US"/>
        </w:rPr>
        <w:t xml:space="preserve">caption </w:t>
      </w:r>
      <w:r w:rsidRPr="00293A75">
        <w:rPr>
          <w:lang w:val="en-US"/>
        </w:rPr>
        <w:t xml:space="preserve">font must be Helvetica, </w:t>
      </w:r>
      <w:proofErr w:type="gramStart"/>
      <w:r w:rsidRPr="00293A75">
        <w:rPr>
          <w:lang w:val="en-US"/>
        </w:rPr>
        <w:t>10 point</w:t>
      </w:r>
      <w:proofErr w:type="gramEnd"/>
      <w:r w:rsidRPr="00293A75">
        <w:rPr>
          <w:lang w:val="en-US"/>
        </w:rPr>
        <w:t xml:space="preserve">, boldface, with 6 points of space before and after each caption. </w:t>
      </w:r>
    </w:p>
    <w:p w14:paraId="793FE903" w14:textId="74A7020E" w:rsidR="00B16E1E" w:rsidRPr="008E18AB" w:rsidRDefault="00E55EE1" w:rsidP="00B16E1E">
      <w:pPr>
        <w:pStyle w:val="Figure"/>
        <w:rPr>
          <w:noProof w:val="0"/>
        </w:rPr>
      </w:pPr>
      <w:r w:rsidRPr="008E18AB">
        <w:drawing>
          <wp:inline distT="0" distB="0" distL="0" distR="0" wp14:anchorId="15E2B259" wp14:editId="4CE47D48">
            <wp:extent cx="3114675" cy="2838450"/>
            <wp:effectExtent l="0" t="0" r="0" b="0"/>
            <wp:docPr id="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grayscl/>
                      <a:extLst>
                        <a:ext uri="{28A0092B-C50C-407E-A947-70E740481C1C}">
                          <a14:useLocalDpi xmlns:a14="http://schemas.microsoft.com/office/drawing/2010/main" val="0"/>
                        </a:ext>
                      </a:extLst>
                    </a:blip>
                    <a:srcRect/>
                    <a:stretch>
                      <a:fillRect/>
                    </a:stretch>
                  </pic:blipFill>
                  <pic:spPr bwMode="auto">
                    <a:xfrm>
                      <a:off x="0" y="0"/>
                      <a:ext cx="3114675" cy="2838450"/>
                    </a:xfrm>
                    <a:prstGeom prst="rect">
                      <a:avLst/>
                    </a:prstGeom>
                    <a:noFill/>
                    <a:ln>
                      <a:noFill/>
                    </a:ln>
                  </pic:spPr>
                </pic:pic>
              </a:graphicData>
            </a:graphic>
          </wp:inline>
        </w:drawing>
      </w:r>
    </w:p>
    <w:p w14:paraId="23DB09E8" w14:textId="77777777" w:rsidR="00B16E1E" w:rsidRPr="008E18AB" w:rsidRDefault="00B16E1E" w:rsidP="00B16E1E">
      <w:pPr>
        <w:pStyle w:val="Legenda"/>
      </w:pPr>
      <w:r w:rsidRPr="008E18AB">
        <w:t xml:space="preserve">Figure </w:t>
      </w:r>
      <w:fldSimple w:instr=" SEQ Figure \* ARABIC ">
        <w:r w:rsidR="009C66C4" w:rsidRPr="008E18AB">
          <w:t>1</w:t>
        </w:r>
      </w:fldSimple>
      <w:r w:rsidRPr="008E18AB">
        <w:t xml:space="preserve">. A </w:t>
      </w:r>
      <w:proofErr w:type="spellStart"/>
      <w:r w:rsidRPr="008E18AB">
        <w:t>typical</w:t>
      </w:r>
      <w:proofErr w:type="spellEnd"/>
      <w:r w:rsidRPr="008E18AB">
        <w:t xml:space="preserve"> figure</w:t>
      </w:r>
    </w:p>
    <w:p w14:paraId="2517DFD3" w14:textId="1DE1B548" w:rsidR="00977226" w:rsidRPr="008E18AB" w:rsidRDefault="00E55EE1" w:rsidP="00977226">
      <w:pPr>
        <w:pStyle w:val="Figure"/>
        <w:rPr>
          <w:noProof w:val="0"/>
        </w:rPr>
      </w:pPr>
      <w:r w:rsidRPr="008E18AB">
        <w:lastRenderedPageBreak/>
        <w:drawing>
          <wp:inline distT="0" distB="0" distL="0" distR="0" wp14:anchorId="34E0AE6A" wp14:editId="7026DC63">
            <wp:extent cx="2486025" cy="279082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86025" cy="2790825"/>
                    </a:xfrm>
                    <a:prstGeom prst="rect">
                      <a:avLst/>
                    </a:prstGeom>
                    <a:noFill/>
                    <a:ln>
                      <a:noFill/>
                    </a:ln>
                  </pic:spPr>
                </pic:pic>
              </a:graphicData>
            </a:graphic>
          </wp:inline>
        </w:drawing>
      </w:r>
    </w:p>
    <w:p w14:paraId="1FF273A0" w14:textId="77777777" w:rsidR="00977226" w:rsidRPr="00293A75" w:rsidRDefault="00977226" w:rsidP="00977226">
      <w:pPr>
        <w:pStyle w:val="Legenda"/>
        <w:jc w:val="both"/>
        <w:rPr>
          <w:lang w:val="en-US"/>
        </w:rPr>
      </w:pPr>
      <w:r w:rsidRPr="00293A75">
        <w:rPr>
          <w:lang w:val="en-US"/>
        </w:rPr>
        <w:t>Figure 2. This figure is an example of a figure caption taking more than one line and justified considering margins mentioned in Section 5.</w:t>
      </w:r>
    </w:p>
    <w:p w14:paraId="334A9007" w14:textId="77777777" w:rsidR="0068092C" w:rsidRPr="00293A75" w:rsidRDefault="0068092C" w:rsidP="0068092C">
      <w:pPr>
        <w:rPr>
          <w:lang w:val="en-US"/>
        </w:rPr>
      </w:pPr>
      <w:r w:rsidRPr="00293A75">
        <w:rPr>
          <w:lang w:val="en-US"/>
        </w:rPr>
        <w:tab/>
        <w:t xml:space="preserve">In tables, </w:t>
      </w:r>
      <w:r w:rsidR="00B16E1E" w:rsidRPr="00293A75">
        <w:rPr>
          <w:lang w:val="en-US"/>
        </w:rPr>
        <w:t>try to avoid the</w:t>
      </w:r>
      <w:r w:rsidRPr="00293A75">
        <w:rPr>
          <w:lang w:val="en-US"/>
        </w:rPr>
        <w:t xml:space="preserve"> use </w:t>
      </w:r>
      <w:r w:rsidR="00B16E1E" w:rsidRPr="00293A75">
        <w:rPr>
          <w:lang w:val="en-US"/>
        </w:rPr>
        <w:t xml:space="preserve">of </w:t>
      </w:r>
      <w:r w:rsidRPr="00293A75">
        <w:rPr>
          <w:lang w:val="en-US"/>
        </w:rPr>
        <w:t xml:space="preserve">colored or shaded backgrounds, and avoid thick, doubled, or unnecessary framing lines. When reporting empirical data, do not use more decimal digits than warranted by their precision and reproducibility. Table caption must be placed before the table (see Table 1) and the font used must also be Helvetica, </w:t>
      </w:r>
      <w:proofErr w:type="gramStart"/>
      <w:r w:rsidRPr="00293A75">
        <w:rPr>
          <w:lang w:val="en-US"/>
        </w:rPr>
        <w:t>10 point</w:t>
      </w:r>
      <w:proofErr w:type="gramEnd"/>
      <w:r w:rsidRPr="00293A75">
        <w:rPr>
          <w:lang w:val="en-US"/>
        </w:rPr>
        <w:t>, boldface, with 6 points of space before and after each caption.</w:t>
      </w:r>
    </w:p>
    <w:p w14:paraId="4E841A49" w14:textId="77777777" w:rsidR="00977226" w:rsidRPr="00293A75" w:rsidRDefault="00977226" w:rsidP="00977226">
      <w:pPr>
        <w:pStyle w:val="Legenda"/>
        <w:rPr>
          <w:lang w:val="en-US"/>
        </w:rPr>
      </w:pPr>
      <w:r w:rsidRPr="00293A75">
        <w:rPr>
          <w:lang w:val="en-US"/>
        </w:rPr>
        <w:t>Table 1. Variables to be considered on the evaluation of interaction techniques</w:t>
      </w:r>
    </w:p>
    <w:p w14:paraId="3CF12FC5" w14:textId="69BAB21F" w:rsidR="00977226" w:rsidRPr="008E18AB" w:rsidRDefault="00E55EE1" w:rsidP="00977226">
      <w:pPr>
        <w:pStyle w:val="Figure"/>
        <w:rPr>
          <w:noProof w:val="0"/>
        </w:rPr>
      </w:pPr>
      <w:r w:rsidRPr="008E18AB">
        <w:drawing>
          <wp:inline distT="0" distB="0" distL="0" distR="0" wp14:anchorId="5249140B" wp14:editId="2EBB7D17">
            <wp:extent cx="3924300" cy="2333625"/>
            <wp:effectExtent l="0" t="0" r="0" b="0"/>
            <wp:docPr id="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l="1799" t="2260" r="1126" b="1131"/>
                    <a:stretch>
                      <a:fillRect/>
                    </a:stretch>
                  </pic:blipFill>
                  <pic:spPr bwMode="auto">
                    <a:xfrm>
                      <a:off x="0" y="0"/>
                      <a:ext cx="3924300" cy="2333625"/>
                    </a:xfrm>
                    <a:prstGeom prst="rect">
                      <a:avLst/>
                    </a:prstGeom>
                    <a:noFill/>
                    <a:ln>
                      <a:noFill/>
                    </a:ln>
                  </pic:spPr>
                </pic:pic>
              </a:graphicData>
            </a:graphic>
          </wp:inline>
        </w:drawing>
      </w:r>
    </w:p>
    <w:p w14:paraId="0BC27CD3" w14:textId="77777777" w:rsidR="00EC49FE" w:rsidRPr="00293A75" w:rsidRDefault="00603861" w:rsidP="00603861">
      <w:pPr>
        <w:pStyle w:val="Ttulo1"/>
        <w:rPr>
          <w:lang w:val="en-US"/>
        </w:rPr>
      </w:pPr>
      <w:r w:rsidRPr="00293A75">
        <w:rPr>
          <w:lang w:val="en-US"/>
        </w:rPr>
        <w:t>6</w:t>
      </w:r>
      <w:r w:rsidR="00EC49FE" w:rsidRPr="00293A75">
        <w:rPr>
          <w:lang w:val="en-US"/>
        </w:rPr>
        <w:t>. Images</w:t>
      </w:r>
    </w:p>
    <w:p w14:paraId="3F3B5F7A" w14:textId="77777777" w:rsidR="00EC49FE" w:rsidRPr="00293A75" w:rsidRDefault="00EC49FE">
      <w:pPr>
        <w:rPr>
          <w:lang w:val="en-US"/>
        </w:rPr>
      </w:pPr>
      <w:r w:rsidRPr="00293A75">
        <w:rPr>
          <w:lang w:val="en-US"/>
        </w:rPr>
        <w:t>All images and illustrations should be in black-and-white, or gray tones</w:t>
      </w:r>
      <w:r w:rsidR="00011B17" w:rsidRPr="00293A75">
        <w:rPr>
          <w:lang w:val="en-US"/>
        </w:rPr>
        <w:t>, excepting for the papers that will be electronically available (on CD-ROMs, internet, etc.)</w:t>
      </w:r>
      <w:r w:rsidRPr="00293A75">
        <w:rPr>
          <w:lang w:val="en-US"/>
        </w:rPr>
        <w:t>. The image resolution on paper should be about 600 dpi for black-and-white images, and 150-</w:t>
      </w:r>
      <w:r w:rsidR="00011B17" w:rsidRPr="00293A75">
        <w:rPr>
          <w:lang w:val="en-US"/>
        </w:rPr>
        <w:t>3</w:t>
      </w:r>
      <w:r w:rsidRPr="00293A75">
        <w:rPr>
          <w:lang w:val="en-US"/>
        </w:rPr>
        <w:t>00 dpi for grayscale images.  Do not include images with excessive resolution, as they may take hours to print, without any visible difference in the result.</w:t>
      </w:r>
    </w:p>
    <w:p w14:paraId="63CAA755" w14:textId="77777777" w:rsidR="00EC49FE" w:rsidRPr="00293A75" w:rsidRDefault="00603861" w:rsidP="00603861">
      <w:pPr>
        <w:pStyle w:val="Ttulo1"/>
        <w:rPr>
          <w:lang w:val="en-US"/>
        </w:rPr>
      </w:pPr>
      <w:r w:rsidRPr="00293A75">
        <w:rPr>
          <w:lang w:val="en-US"/>
        </w:rPr>
        <w:lastRenderedPageBreak/>
        <w:t>7</w:t>
      </w:r>
      <w:r w:rsidR="00EC49FE" w:rsidRPr="00293A75">
        <w:rPr>
          <w:lang w:val="en-US"/>
        </w:rPr>
        <w:t>. References</w:t>
      </w:r>
    </w:p>
    <w:p w14:paraId="708243D0" w14:textId="77777777" w:rsidR="00EC49FE" w:rsidRPr="00293A75" w:rsidRDefault="00EC49FE">
      <w:pPr>
        <w:rPr>
          <w:lang w:val="en-US"/>
        </w:rPr>
      </w:pPr>
      <w:r w:rsidRPr="00293A75">
        <w:rPr>
          <w:lang w:val="en-US"/>
        </w:rPr>
        <w:t>Bibliographic references must be unambiguous and uniform.  We recommend giving the author names references in brackets, e.g. [Knuth 1984], [</w:t>
      </w:r>
      <w:proofErr w:type="spellStart"/>
      <w:r w:rsidR="002469A4" w:rsidRPr="00293A75">
        <w:rPr>
          <w:lang w:val="en-US"/>
        </w:rPr>
        <w:t>Boulic</w:t>
      </w:r>
      <w:proofErr w:type="spellEnd"/>
      <w:r w:rsidR="002469A4" w:rsidRPr="00293A75">
        <w:rPr>
          <w:lang w:val="en-US"/>
        </w:rPr>
        <w:t xml:space="preserve"> and Renault 1991</w:t>
      </w:r>
      <w:r w:rsidRPr="00293A75">
        <w:rPr>
          <w:lang w:val="en-US"/>
        </w:rPr>
        <w:t xml:space="preserve">]; or dates in parentheses, e.g. Knuth (1984), </w:t>
      </w:r>
      <w:r w:rsidR="002469A4" w:rsidRPr="00293A75">
        <w:rPr>
          <w:lang w:val="en-US"/>
        </w:rPr>
        <w:t xml:space="preserve">Smith and Jones </w:t>
      </w:r>
      <w:r w:rsidRPr="00293A75">
        <w:rPr>
          <w:lang w:val="en-US"/>
        </w:rPr>
        <w:t>(19</w:t>
      </w:r>
      <w:r w:rsidR="002469A4" w:rsidRPr="00293A75">
        <w:rPr>
          <w:lang w:val="en-US"/>
        </w:rPr>
        <w:t>9</w:t>
      </w:r>
      <w:r w:rsidRPr="00293A75">
        <w:rPr>
          <w:lang w:val="en-US"/>
        </w:rPr>
        <w:t>9).</w:t>
      </w:r>
    </w:p>
    <w:p w14:paraId="50707DE5" w14:textId="77777777" w:rsidR="00011B17" w:rsidRPr="00293A75" w:rsidRDefault="00011B17">
      <w:pPr>
        <w:rPr>
          <w:lang w:val="en-US"/>
        </w:rPr>
      </w:pPr>
      <w:r w:rsidRPr="00293A75">
        <w:rPr>
          <w:lang w:val="en-US"/>
        </w:rPr>
        <w:tab/>
        <w:t xml:space="preserve">The references must be listed using </w:t>
      </w:r>
      <w:proofErr w:type="gramStart"/>
      <w:r w:rsidRPr="00293A75">
        <w:rPr>
          <w:lang w:val="en-US"/>
        </w:rPr>
        <w:t>12 point</w:t>
      </w:r>
      <w:proofErr w:type="gramEnd"/>
      <w:r w:rsidRPr="00293A75">
        <w:rPr>
          <w:lang w:val="en-US"/>
        </w:rPr>
        <w:t xml:space="preserve"> font size, with 6 points of space before each reference. The first line of each reference should not be indented, while the subsequent should be indented by 0.5 cm.</w:t>
      </w:r>
    </w:p>
    <w:p w14:paraId="069A936F" w14:textId="7B4EB6F0" w:rsidR="00EC49FE" w:rsidRPr="00293A75" w:rsidRDefault="00EC49FE" w:rsidP="00603861">
      <w:pPr>
        <w:pStyle w:val="Ttulo1"/>
        <w:rPr>
          <w:lang w:val="en-US"/>
        </w:rPr>
      </w:pPr>
      <w:proofErr w:type="spellStart"/>
      <w:r w:rsidRPr="00293A75">
        <w:rPr>
          <w:lang w:val="en-US"/>
        </w:rPr>
        <w:t>R</w:t>
      </w:r>
      <w:r w:rsidR="008E18AB" w:rsidRPr="00293A75">
        <w:rPr>
          <w:lang w:val="en-US"/>
        </w:rPr>
        <w:t>eferências</w:t>
      </w:r>
      <w:proofErr w:type="spellEnd"/>
    </w:p>
    <w:p w14:paraId="77F4C389" w14:textId="77777777" w:rsidR="008E18AB" w:rsidRPr="00293A75" w:rsidRDefault="008E18AB" w:rsidP="008E18AB">
      <w:pPr>
        <w:rPr>
          <w:lang w:val="en-US"/>
        </w:rPr>
      </w:pPr>
    </w:p>
    <w:p w14:paraId="2C01A5C8" w14:textId="77777777" w:rsidR="008E18AB" w:rsidRPr="00293A75" w:rsidRDefault="008E18AB" w:rsidP="008E18AB">
      <w:pPr>
        <w:rPr>
          <w:lang w:val="en-US"/>
        </w:rPr>
      </w:pPr>
    </w:p>
    <w:p w14:paraId="322CA55F" w14:textId="77777777" w:rsidR="008E18AB" w:rsidRPr="00293A75" w:rsidRDefault="008E18AB" w:rsidP="008E18AB">
      <w:pPr>
        <w:rPr>
          <w:lang w:val="en-US"/>
        </w:rPr>
      </w:pPr>
    </w:p>
    <w:p w14:paraId="6F7874D7" w14:textId="77777777" w:rsidR="008E18AB" w:rsidRPr="00293A75" w:rsidRDefault="008E18AB" w:rsidP="008E18AB">
      <w:pPr>
        <w:rPr>
          <w:lang w:val="en-US"/>
        </w:rPr>
      </w:pPr>
    </w:p>
    <w:p w14:paraId="2BA08767" w14:textId="77777777" w:rsidR="008E18AB" w:rsidRPr="00293A75" w:rsidRDefault="008E18AB" w:rsidP="008E18AB">
      <w:pPr>
        <w:rPr>
          <w:lang w:val="en-US"/>
        </w:rPr>
      </w:pPr>
    </w:p>
    <w:p w14:paraId="22029B04" w14:textId="77777777" w:rsidR="008E18AB" w:rsidRPr="00293A75" w:rsidRDefault="008E18AB" w:rsidP="008E18AB">
      <w:pPr>
        <w:rPr>
          <w:lang w:val="en-US"/>
        </w:rPr>
      </w:pPr>
    </w:p>
    <w:p w14:paraId="31D29C94" w14:textId="77777777" w:rsidR="008E18AB" w:rsidRPr="00293A75" w:rsidRDefault="008E18AB" w:rsidP="008E18AB">
      <w:pPr>
        <w:rPr>
          <w:lang w:val="en-US"/>
        </w:rPr>
      </w:pPr>
    </w:p>
    <w:p w14:paraId="2582003F" w14:textId="77777777" w:rsidR="008E18AB" w:rsidRPr="00293A75" w:rsidRDefault="008E18AB" w:rsidP="008E18AB">
      <w:pPr>
        <w:rPr>
          <w:lang w:val="en-US"/>
        </w:rPr>
      </w:pPr>
    </w:p>
    <w:p w14:paraId="7316C99C" w14:textId="77777777" w:rsidR="00EC49FE" w:rsidRPr="00293A75" w:rsidRDefault="00EC49FE" w:rsidP="0025722C">
      <w:pPr>
        <w:pStyle w:val="Reference"/>
        <w:rPr>
          <w:lang w:val="en-US"/>
        </w:rPr>
      </w:pPr>
      <w:proofErr w:type="spellStart"/>
      <w:r w:rsidRPr="00293A75">
        <w:rPr>
          <w:lang w:val="en-US"/>
        </w:rPr>
        <w:t>Boulic</w:t>
      </w:r>
      <w:proofErr w:type="spellEnd"/>
      <w:r w:rsidRPr="00293A75">
        <w:rPr>
          <w:lang w:val="en-US"/>
        </w:rPr>
        <w:t>, R. and Renault, O. (1991) “3D Hierarchies for Animation”, In: New Trends in Animation and Visualization, Edited by Nadia Magnenat-Thalmann and Daniel Thalmann, John Wiley &amp; Sons ltd., England.</w:t>
      </w:r>
    </w:p>
    <w:p w14:paraId="4C416008" w14:textId="77777777" w:rsidR="00EC49FE" w:rsidRPr="00293A75" w:rsidRDefault="00EC49FE" w:rsidP="0025722C">
      <w:pPr>
        <w:pStyle w:val="Reference"/>
        <w:rPr>
          <w:lang w:val="en-US"/>
        </w:rPr>
      </w:pPr>
      <w:r w:rsidRPr="00293A75">
        <w:rPr>
          <w:lang w:val="en-US"/>
        </w:rPr>
        <w:t xml:space="preserve">Dyer, S., Martin, J. and Zulauf, J. (1995) “Motion Capture White Paper”, </w:t>
      </w:r>
      <w:hyperlink r:id="rId20" w:history="1">
        <w:r w:rsidRPr="00293A75">
          <w:rPr>
            <w:lang w:val="en-US"/>
          </w:rPr>
          <w:t>http://reality.sgi.com/employees/jam_sb/mocap/MoCapWP_v2.0.html</w:t>
        </w:r>
      </w:hyperlink>
      <w:r w:rsidRPr="00293A75">
        <w:rPr>
          <w:lang w:val="en-US"/>
        </w:rPr>
        <w:t>, December.</w:t>
      </w:r>
    </w:p>
    <w:p w14:paraId="030DDE37" w14:textId="77777777" w:rsidR="00EC49FE" w:rsidRPr="00293A75" w:rsidRDefault="00EC49FE" w:rsidP="0025722C">
      <w:pPr>
        <w:pStyle w:val="Reference"/>
        <w:rPr>
          <w:lang w:val="en-US"/>
        </w:rPr>
      </w:pPr>
      <w:r w:rsidRPr="00293A75">
        <w:rPr>
          <w:lang w:val="en-US"/>
        </w:rPr>
        <w:t>Holton, M. and Alexander, S. (1995) “Soft Cellular Modeling: A Technique for the Simulation of Non-rigid Materials”, Computer Graphics: Developments in Virtual Environments, R. A. Earnshaw and J. A. Vince, England, Academic Press Ltd., p. 449-460.</w:t>
      </w:r>
    </w:p>
    <w:p w14:paraId="46128626" w14:textId="77777777" w:rsidR="00EC49FE" w:rsidRPr="00293A75" w:rsidRDefault="00EC49FE" w:rsidP="0025722C">
      <w:pPr>
        <w:pStyle w:val="Reference"/>
        <w:rPr>
          <w:lang w:val="en-US"/>
        </w:rPr>
      </w:pPr>
      <w:r w:rsidRPr="00293A75">
        <w:rPr>
          <w:lang w:val="en-US"/>
        </w:rPr>
        <w:t>Knuth, D. E.</w:t>
      </w:r>
      <w:r w:rsidR="00C66FED" w:rsidRPr="00293A75">
        <w:rPr>
          <w:lang w:val="en-US"/>
        </w:rPr>
        <w:t xml:space="preserve"> (1984)</w:t>
      </w:r>
      <w:r w:rsidRPr="00293A75">
        <w:rPr>
          <w:lang w:val="en-US"/>
        </w:rPr>
        <w:t>, T</w:t>
      </w:r>
      <w:r w:rsidR="00C66FED" w:rsidRPr="00293A75">
        <w:rPr>
          <w:lang w:val="en-US"/>
        </w:rPr>
        <w:t xml:space="preserve">he </w:t>
      </w:r>
      <w:proofErr w:type="spellStart"/>
      <w:r w:rsidR="00C66FED" w:rsidRPr="00293A75">
        <w:rPr>
          <w:lang w:val="en-US"/>
        </w:rPr>
        <w:t>TeXbook</w:t>
      </w:r>
      <w:proofErr w:type="spellEnd"/>
      <w:r w:rsidR="00C66FED" w:rsidRPr="00293A75">
        <w:rPr>
          <w:lang w:val="en-US"/>
        </w:rPr>
        <w:t>, Addison Wesley, 15</w:t>
      </w:r>
      <w:r w:rsidR="00C66FED" w:rsidRPr="00293A75">
        <w:rPr>
          <w:vertAlign w:val="superscript"/>
          <w:lang w:val="en-US"/>
        </w:rPr>
        <w:t>th</w:t>
      </w:r>
      <w:r w:rsidR="00C66FED" w:rsidRPr="00293A75">
        <w:rPr>
          <w:lang w:val="en-US"/>
        </w:rPr>
        <w:t xml:space="preserve"> edition</w:t>
      </w:r>
      <w:r w:rsidRPr="00293A75">
        <w:rPr>
          <w:lang w:val="en-US"/>
        </w:rPr>
        <w:t xml:space="preserve">. </w:t>
      </w:r>
    </w:p>
    <w:p w14:paraId="4FB1330D" w14:textId="77777777" w:rsidR="002469A4" w:rsidRPr="008E18AB" w:rsidRDefault="002469A4" w:rsidP="002469A4">
      <w:pPr>
        <w:pStyle w:val="Reference"/>
        <w:rPr>
          <w:sz w:val="20"/>
          <w:lang w:eastAsia="en-US"/>
        </w:rPr>
      </w:pPr>
      <w:r w:rsidRPr="00293A75">
        <w:rPr>
          <w:lang w:val="en-US" w:eastAsia="en-US"/>
        </w:rPr>
        <w:t xml:space="preserve">Smith, A. and Jones, B. (1999). On the complexity of computing. In </w:t>
      </w:r>
      <w:r w:rsidRPr="00293A75">
        <w:rPr>
          <w:i/>
          <w:iCs/>
          <w:lang w:val="en-US" w:eastAsia="en-US"/>
        </w:rPr>
        <w:t>Advances in Computer Science</w:t>
      </w:r>
      <w:r w:rsidRPr="00293A75">
        <w:rPr>
          <w:lang w:val="en-US" w:eastAsia="en-US"/>
        </w:rPr>
        <w:t xml:space="preserve">, pages 555–566. </w:t>
      </w:r>
      <w:proofErr w:type="spellStart"/>
      <w:r w:rsidRPr="008E18AB">
        <w:rPr>
          <w:lang w:eastAsia="en-US"/>
        </w:rPr>
        <w:t>Publishing</w:t>
      </w:r>
      <w:proofErr w:type="spellEnd"/>
      <w:r w:rsidRPr="008E18AB">
        <w:rPr>
          <w:lang w:eastAsia="en-US"/>
        </w:rPr>
        <w:t xml:space="preserve"> Press.</w:t>
      </w:r>
    </w:p>
    <w:p w14:paraId="5C0062FF" w14:textId="77777777" w:rsidR="002469A4" w:rsidRDefault="002469A4" w:rsidP="0025722C">
      <w:pPr>
        <w:pStyle w:val="Reference"/>
      </w:pPr>
    </w:p>
    <w:sectPr w:rsidR="002469A4">
      <w:headerReference w:type="even" r:id="rId21"/>
      <w:headerReference w:type="default" r:id="rId22"/>
      <w:footerReference w:type="even" r:id="rId23"/>
      <w:footerReference w:type="first" r:id="rId24"/>
      <w:type w:val="continuous"/>
      <w:pgSz w:w="11907" w:h="16840" w:code="9"/>
      <w:pgMar w:top="1985" w:right="1701" w:bottom="1418" w:left="1701" w:header="964" w:footer="964" w:gutter="0"/>
      <w:pgNumType w:start="101"/>
      <w:cols w:space="454" w:equalWidth="0">
        <w:col w:w="8505"/>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7BECD" w14:textId="77777777" w:rsidR="00914AEA" w:rsidRPr="008E18AB" w:rsidRDefault="00914AEA">
      <w:r w:rsidRPr="008E18AB">
        <w:separator/>
      </w:r>
    </w:p>
  </w:endnote>
  <w:endnote w:type="continuationSeparator" w:id="0">
    <w:p w14:paraId="5CE0376A" w14:textId="77777777" w:rsidR="00914AEA" w:rsidRPr="008E18AB" w:rsidRDefault="00914AEA">
      <w:r w:rsidRPr="008E18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A0002AAF" w:usb1="40000048" w:usb2="00000000"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CBABF" w14:textId="77777777" w:rsidR="0092301E" w:rsidRPr="00293A75" w:rsidRDefault="0092301E">
    <w:pPr>
      <w:jc w:val="left"/>
      <w:rPr>
        <w:lang w:val="en-US"/>
      </w:rPr>
    </w:pPr>
    <w:r w:rsidRPr="00293A75">
      <w:rPr>
        <w:lang w:val="en-US"/>
      </w:rPr>
      <w:t>Proceedings of the XII SIBGRAPI (October 1999)</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1D37" w14:textId="77777777" w:rsidR="0092301E" w:rsidRPr="00293A75" w:rsidRDefault="0092301E">
    <w:pPr>
      <w:rPr>
        <w:lang w:val="en-US"/>
      </w:rPr>
    </w:pPr>
    <w:r w:rsidRPr="00293A75">
      <w:rPr>
        <w:lang w:val="en-US"/>
      </w:rPr>
      <w:t>Proceedings of the XII SIBGRAPI (October 1999) 101-104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32F46" w14:textId="77777777" w:rsidR="0092301E" w:rsidRPr="00293A75" w:rsidRDefault="0092301E">
    <w:pPr>
      <w:jc w:val="left"/>
      <w:rPr>
        <w:lang w:val="en-US"/>
      </w:rPr>
    </w:pPr>
    <w:r w:rsidRPr="00293A75">
      <w:rPr>
        <w:lang w:val="en-US"/>
      </w:rPr>
      <w:t>Proceedings of the XII SIBGRAPI (October 1999)</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7D749" w14:textId="77777777" w:rsidR="0092301E" w:rsidRPr="00293A75" w:rsidRDefault="0092301E">
    <w:pPr>
      <w:rPr>
        <w:lang w:val="en-US"/>
      </w:rPr>
    </w:pPr>
    <w:r w:rsidRPr="00293A75">
      <w:rPr>
        <w:lang w:val="en-US"/>
      </w:rPr>
      <w:t>Proceedings of the XII SIBGRAPI (October 1999) 101-104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ECA16" w14:textId="77777777" w:rsidR="00914AEA" w:rsidRPr="008E18AB" w:rsidRDefault="00914AEA">
      <w:r w:rsidRPr="008E18AB">
        <w:separator/>
      </w:r>
    </w:p>
  </w:footnote>
  <w:footnote w:type="continuationSeparator" w:id="0">
    <w:p w14:paraId="74739128" w14:textId="77777777" w:rsidR="00914AEA" w:rsidRPr="008E18AB" w:rsidRDefault="00914AEA">
      <w:r w:rsidRPr="008E18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45F2C" w14:textId="77777777" w:rsidR="0092301E" w:rsidRPr="008E18AB" w:rsidRDefault="0092301E">
    <w:pPr>
      <w:framePr w:wrap="around" w:vAnchor="text" w:hAnchor="margin" w:xAlign="inside" w:y="1"/>
    </w:pPr>
    <w:r w:rsidRPr="008E18AB">
      <w:fldChar w:fldCharType="begin"/>
    </w:r>
    <w:r w:rsidRPr="008E18AB">
      <w:instrText xml:space="preserve">PAGE  </w:instrText>
    </w:r>
    <w:r w:rsidRPr="008E18AB">
      <w:fldChar w:fldCharType="separate"/>
    </w:r>
    <w:r w:rsidRPr="008E18AB">
      <w:t>102</w:t>
    </w:r>
    <w:r w:rsidRPr="008E18AB">
      <w:fldChar w:fldCharType="end"/>
    </w:r>
  </w:p>
  <w:p w14:paraId="15F3D3D1" w14:textId="77777777" w:rsidR="0092301E" w:rsidRPr="008E18AB" w:rsidRDefault="0092301E">
    <w:pPr>
      <w:jc w:val="right"/>
    </w:pPr>
    <w:r w:rsidRPr="008E18AB">
      <w:t xml:space="preserve">S. Sandri, J. Stolfi, </w:t>
    </w:r>
    <w:proofErr w:type="spellStart"/>
    <w:proofErr w:type="gramStart"/>
    <w:r w:rsidRPr="008E18AB">
      <w:t>L.Velho</w:t>
    </w:r>
    <w:proofErr w:type="spellEnd"/>
    <w:proofErr w:type="gram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13C62" w14:textId="77777777" w:rsidR="0092301E" w:rsidRPr="008E18AB" w:rsidRDefault="0092301E">
    <w:pPr>
      <w:framePr w:wrap="around" w:vAnchor="text" w:hAnchor="margin" w:xAlign="inside" w:y="1"/>
    </w:pPr>
  </w:p>
  <w:p w14:paraId="6BA64F38" w14:textId="77777777" w:rsidR="0092301E" w:rsidRPr="008E18AB" w:rsidRDefault="0092301E">
    <w:pPr>
      <w:tabs>
        <w:tab w:val="right" w:pos="9356"/>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8BAD4" w14:textId="77777777" w:rsidR="0092301E" w:rsidRPr="008E18AB" w:rsidRDefault="0092301E">
    <w:pPr>
      <w:framePr w:wrap="around" w:vAnchor="text" w:hAnchor="margin" w:xAlign="inside" w:y="1"/>
    </w:pPr>
    <w:r w:rsidRPr="008E18AB">
      <w:fldChar w:fldCharType="begin"/>
    </w:r>
    <w:r w:rsidRPr="008E18AB">
      <w:instrText xml:space="preserve">PAGE  </w:instrText>
    </w:r>
    <w:r w:rsidRPr="008E18AB">
      <w:fldChar w:fldCharType="separate"/>
    </w:r>
    <w:r w:rsidRPr="008E18AB">
      <w:t>102</w:t>
    </w:r>
    <w:r w:rsidRPr="008E18AB">
      <w:fldChar w:fldCharType="end"/>
    </w:r>
  </w:p>
  <w:p w14:paraId="46C4410A" w14:textId="77777777" w:rsidR="0092301E" w:rsidRPr="008E18AB" w:rsidRDefault="0092301E">
    <w:pPr>
      <w:jc w:val="right"/>
    </w:pPr>
    <w:r w:rsidRPr="008E18AB">
      <w:t xml:space="preserve">S. Sandri, J. Stolfi, </w:t>
    </w:r>
    <w:proofErr w:type="spellStart"/>
    <w:proofErr w:type="gramStart"/>
    <w:r w:rsidRPr="008E18AB">
      <w:t>L.Velho</w:t>
    </w:r>
    <w:proofErr w:type="spellEnd"/>
    <w:proofErr w:type="gramEnd"/>
  </w:p>
  <w:p w14:paraId="71FFF74B" w14:textId="77777777" w:rsidR="0092301E" w:rsidRPr="008E18AB" w:rsidRDefault="0092301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1F3C0" w14:textId="77777777" w:rsidR="0092301E" w:rsidRPr="008E18AB" w:rsidRDefault="0092301E">
    <w:pPr>
      <w:framePr w:wrap="around" w:vAnchor="text" w:hAnchor="margin" w:xAlign="inside" w:y="1"/>
    </w:pPr>
  </w:p>
  <w:p w14:paraId="7EC0E610" w14:textId="77777777" w:rsidR="0092301E" w:rsidRPr="008E18AB" w:rsidRDefault="0092301E">
    <w:pPr>
      <w:tabs>
        <w:tab w:val="right" w:pos="935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1F626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CFEE35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32487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D7CE2E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24673D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B5E512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2F2F1E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87A3C2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D4E5D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8DA9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9553307"/>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D884FB4"/>
    <w:multiLevelType w:val="singleLevel"/>
    <w:tmpl w:val="E070A6F2"/>
    <w:lvl w:ilvl="0">
      <w:start w:val="2"/>
      <w:numFmt w:val="decimal"/>
      <w:lvlText w:val="%1"/>
      <w:lvlJc w:val="left"/>
      <w:pPr>
        <w:tabs>
          <w:tab w:val="num" w:pos="360"/>
        </w:tabs>
        <w:ind w:left="360" w:hanging="360"/>
      </w:pPr>
      <w:rPr>
        <w:rFonts w:hint="default"/>
      </w:rPr>
    </w:lvl>
  </w:abstractNum>
  <w:abstractNum w:abstractNumId="12" w15:restartNumberingAfterBreak="0">
    <w:nsid w:val="11441B5D"/>
    <w:multiLevelType w:val="singleLevel"/>
    <w:tmpl w:val="0C09000F"/>
    <w:lvl w:ilvl="0">
      <w:start w:val="3"/>
      <w:numFmt w:val="decimal"/>
      <w:lvlText w:val="%1."/>
      <w:lvlJc w:val="left"/>
      <w:pPr>
        <w:tabs>
          <w:tab w:val="num" w:pos="360"/>
        </w:tabs>
        <w:ind w:left="360" w:hanging="360"/>
      </w:pPr>
      <w:rPr>
        <w:rFonts w:hint="default"/>
      </w:rPr>
    </w:lvl>
  </w:abstractNum>
  <w:abstractNum w:abstractNumId="13" w15:restartNumberingAfterBreak="0">
    <w:nsid w:val="15FE65C0"/>
    <w:multiLevelType w:val="singleLevel"/>
    <w:tmpl w:val="E070A6F2"/>
    <w:lvl w:ilvl="0">
      <w:start w:val="2"/>
      <w:numFmt w:val="decimal"/>
      <w:lvlText w:val="%1"/>
      <w:lvlJc w:val="left"/>
      <w:pPr>
        <w:tabs>
          <w:tab w:val="num" w:pos="360"/>
        </w:tabs>
        <w:ind w:left="360" w:hanging="360"/>
      </w:pPr>
      <w:rPr>
        <w:rFonts w:hint="default"/>
      </w:rPr>
    </w:lvl>
  </w:abstractNum>
  <w:abstractNum w:abstractNumId="14" w15:restartNumberingAfterBreak="0">
    <w:nsid w:val="20673CCC"/>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26374747"/>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3B05641A"/>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54C31057"/>
    <w:multiLevelType w:val="singleLevel"/>
    <w:tmpl w:val="E070A6F2"/>
    <w:lvl w:ilvl="0">
      <w:start w:val="1"/>
      <w:numFmt w:val="decimal"/>
      <w:lvlText w:val="%1"/>
      <w:lvlJc w:val="left"/>
      <w:pPr>
        <w:tabs>
          <w:tab w:val="num" w:pos="360"/>
        </w:tabs>
        <w:ind w:left="360" w:hanging="360"/>
      </w:pPr>
      <w:rPr>
        <w:rFonts w:hint="default"/>
      </w:rPr>
    </w:lvl>
  </w:abstractNum>
  <w:abstractNum w:abstractNumId="18" w15:restartNumberingAfterBreak="0">
    <w:nsid w:val="5719105E"/>
    <w:multiLevelType w:val="singleLevel"/>
    <w:tmpl w:val="E070A6F2"/>
    <w:lvl w:ilvl="0">
      <w:start w:val="2"/>
      <w:numFmt w:val="decimal"/>
      <w:lvlText w:val="%1"/>
      <w:lvlJc w:val="left"/>
      <w:pPr>
        <w:tabs>
          <w:tab w:val="num" w:pos="360"/>
        </w:tabs>
        <w:ind w:left="360" w:hanging="360"/>
      </w:pPr>
      <w:rPr>
        <w:rFonts w:hint="default"/>
      </w:rPr>
    </w:lvl>
  </w:abstractNum>
  <w:num w:numId="1" w16cid:durableId="481696304">
    <w:abstractNumId w:val="11"/>
  </w:num>
  <w:num w:numId="2" w16cid:durableId="1334190145">
    <w:abstractNumId w:val="14"/>
  </w:num>
  <w:num w:numId="3" w16cid:durableId="458842621">
    <w:abstractNumId w:val="15"/>
  </w:num>
  <w:num w:numId="4" w16cid:durableId="1662273138">
    <w:abstractNumId w:val="16"/>
  </w:num>
  <w:num w:numId="5" w16cid:durableId="1064060155">
    <w:abstractNumId w:val="10"/>
  </w:num>
  <w:num w:numId="6" w16cid:durableId="118384180">
    <w:abstractNumId w:val="18"/>
  </w:num>
  <w:num w:numId="7" w16cid:durableId="631908894">
    <w:abstractNumId w:val="13"/>
  </w:num>
  <w:num w:numId="8" w16cid:durableId="1967272888">
    <w:abstractNumId w:val="17"/>
  </w:num>
  <w:num w:numId="9" w16cid:durableId="1652249185">
    <w:abstractNumId w:val="12"/>
  </w:num>
  <w:num w:numId="10" w16cid:durableId="603077358">
    <w:abstractNumId w:val="9"/>
  </w:num>
  <w:num w:numId="11" w16cid:durableId="1904556986">
    <w:abstractNumId w:val="7"/>
  </w:num>
  <w:num w:numId="12" w16cid:durableId="271403363">
    <w:abstractNumId w:val="6"/>
  </w:num>
  <w:num w:numId="13" w16cid:durableId="540286826">
    <w:abstractNumId w:val="5"/>
  </w:num>
  <w:num w:numId="14" w16cid:durableId="1705598191">
    <w:abstractNumId w:val="4"/>
  </w:num>
  <w:num w:numId="15" w16cid:durableId="191000854">
    <w:abstractNumId w:val="8"/>
  </w:num>
  <w:num w:numId="16" w16cid:durableId="838278361">
    <w:abstractNumId w:val="3"/>
  </w:num>
  <w:num w:numId="17" w16cid:durableId="1548377376">
    <w:abstractNumId w:val="2"/>
  </w:num>
  <w:num w:numId="18" w16cid:durableId="1581401415">
    <w:abstractNumId w:val="1"/>
  </w:num>
  <w:num w:numId="19" w16cid:durableId="2010521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LE0tjQzMDQwNjI2MjBU0lEKTi0uzszPAykwqgUAG7NVBCwAAAA="/>
  </w:docVars>
  <w:rsids>
    <w:rsidRoot w:val="00EC49FE"/>
    <w:rsid w:val="00003D82"/>
    <w:rsid w:val="00011B17"/>
    <w:rsid w:val="00022497"/>
    <w:rsid w:val="000D7F83"/>
    <w:rsid w:val="00127423"/>
    <w:rsid w:val="001A222E"/>
    <w:rsid w:val="001B0861"/>
    <w:rsid w:val="0022582D"/>
    <w:rsid w:val="002469A4"/>
    <w:rsid w:val="0025722C"/>
    <w:rsid w:val="00290562"/>
    <w:rsid w:val="00293A75"/>
    <w:rsid w:val="003112B6"/>
    <w:rsid w:val="0039084B"/>
    <w:rsid w:val="003C25DE"/>
    <w:rsid w:val="003C5D8E"/>
    <w:rsid w:val="003F4556"/>
    <w:rsid w:val="004023B2"/>
    <w:rsid w:val="004A4FEF"/>
    <w:rsid w:val="004D31C3"/>
    <w:rsid w:val="00556B9F"/>
    <w:rsid w:val="00593861"/>
    <w:rsid w:val="005B16A0"/>
    <w:rsid w:val="00603861"/>
    <w:rsid w:val="00676E05"/>
    <w:rsid w:val="0068092C"/>
    <w:rsid w:val="007C4987"/>
    <w:rsid w:val="00892167"/>
    <w:rsid w:val="00892EFF"/>
    <w:rsid w:val="008B1055"/>
    <w:rsid w:val="008E18AB"/>
    <w:rsid w:val="00914AEA"/>
    <w:rsid w:val="0092301E"/>
    <w:rsid w:val="00977226"/>
    <w:rsid w:val="009C66C4"/>
    <w:rsid w:val="00A8654E"/>
    <w:rsid w:val="00B06EFE"/>
    <w:rsid w:val="00B16E1E"/>
    <w:rsid w:val="00B44D93"/>
    <w:rsid w:val="00BC3338"/>
    <w:rsid w:val="00C3594B"/>
    <w:rsid w:val="00C66FED"/>
    <w:rsid w:val="00CC071E"/>
    <w:rsid w:val="00E55EE1"/>
    <w:rsid w:val="00E96DCA"/>
    <w:rsid w:val="00EC49FE"/>
    <w:rsid w:val="00EE70EF"/>
    <w:rsid w:val="00F652B0"/>
    <w:rsid w:val="00F966A4"/>
    <w:rsid w:val="00FB36C4"/>
    <w:rsid w:val="00FC4CC4"/>
    <w:rsid w:val="00FF1B4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F788D5"/>
  <w15:chartTrackingRefBased/>
  <w15:docId w15:val="{371E7F9F-5144-42A1-B3A2-A2CCDA5EC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tabs>
        <w:tab w:val="left" w:pos="720"/>
      </w:tabs>
      <w:spacing w:before="120"/>
      <w:jc w:val="both"/>
    </w:pPr>
    <w:rPr>
      <w:rFonts w:ascii="Times" w:hAnsi="Times"/>
      <w:sz w:val="24"/>
    </w:rPr>
  </w:style>
  <w:style w:type="paragraph" w:styleId="Ttulo1">
    <w:name w:val="heading 1"/>
    <w:basedOn w:val="Normal"/>
    <w:next w:val="Normal"/>
    <w:qFormat/>
    <w:pPr>
      <w:keepNext/>
      <w:spacing w:before="240"/>
      <w:jc w:val="left"/>
      <w:outlineLvl w:val="0"/>
    </w:pPr>
    <w:rPr>
      <w:b/>
      <w:kern w:val="28"/>
      <w:sz w:val="26"/>
    </w:rPr>
  </w:style>
  <w:style w:type="paragraph" w:styleId="Ttulo2">
    <w:name w:val="heading 2"/>
    <w:basedOn w:val="Normal"/>
    <w:next w:val="Normal"/>
    <w:qFormat/>
    <w:pPr>
      <w:keepNext/>
      <w:spacing w:before="240"/>
      <w:jc w:val="left"/>
      <w:outlineLvl w:val="1"/>
    </w:pPr>
    <w:rPr>
      <w:b/>
    </w:rPr>
  </w:style>
  <w:style w:type="paragraph" w:styleId="Ttulo3">
    <w:name w:val="heading 3"/>
    <w:basedOn w:val="Normal"/>
    <w:next w:val="Normal"/>
    <w:qFormat/>
    <w:pPr>
      <w:keepNext/>
      <w:spacing w:before="240"/>
      <w:outlineLvl w:val="2"/>
    </w:pPr>
    <w:rPr>
      <w:rFonts w:ascii="Helvetica" w:hAnsi="Helvetica"/>
      <w:b/>
    </w:rPr>
  </w:style>
  <w:style w:type="paragraph" w:styleId="Ttulo4">
    <w:name w:val="heading 4"/>
    <w:basedOn w:val="Normal"/>
    <w:next w:val="Normal"/>
    <w:qFormat/>
    <w:pPr>
      <w:keepNext/>
      <w:spacing w:before="240"/>
      <w:outlineLvl w:val="3"/>
    </w:pPr>
    <w:rPr>
      <w:rFonts w:ascii="Arial" w:hAnsi="Arial"/>
      <w:b/>
    </w:rPr>
  </w:style>
  <w:style w:type="paragraph" w:styleId="Ttulo5">
    <w:name w:val="heading 5"/>
    <w:basedOn w:val="Normal"/>
    <w:next w:val="Normal"/>
    <w:qFormat/>
    <w:pPr>
      <w:spacing w:before="240"/>
      <w:outlineLvl w:val="4"/>
    </w:pPr>
    <w:rPr>
      <w:sz w:val="22"/>
    </w:rPr>
  </w:style>
  <w:style w:type="paragraph" w:styleId="Ttulo6">
    <w:name w:val="heading 6"/>
    <w:basedOn w:val="Normal"/>
    <w:next w:val="Normal"/>
    <w:qFormat/>
    <w:rsid w:val="0068092C"/>
    <w:pPr>
      <w:spacing w:before="240" w:after="60"/>
      <w:outlineLvl w:val="5"/>
    </w:pPr>
    <w:rPr>
      <w:rFonts w:ascii="Times New Roman" w:hAnsi="Times New Roman"/>
      <w:b/>
      <w:bCs/>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Author">
    <w:name w:val="Author"/>
    <w:basedOn w:val="Normal"/>
    <w:rsid w:val="0039084B"/>
    <w:pPr>
      <w:spacing w:before="240"/>
      <w:jc w:val="center"/>
    </w:pPr>
    <w:rPr>
      <w:b/>
      <w:szCs w:val="24"/>
    </w:rPr>
  </w:style>
  <w:style w:type="paragraph" w:customStyle="1" w:styleId="Address">
    <w:name w:val="Address"/>
    <w:basedOn w:val="Normal"/>
    <w:link w:val="AddressChar"/>
    <w:autoRedefine/>
    <w:rsid w:val="003C25DE"/>
    <w:pPr>
      <w:spacing w:before="240"/>
      <w:jc w:val="center"/>
    </w:pPr>
  </w:style>
  <w:style w:type="character" w:customStyle="1" w:styleId="AddressChar">
    <w:name w:val="Address Char"/>
    <w:basedOn w:val="Fontepargpadro"/>
    <w:link w:val="Address"/>
    <w:rsid w:val="003C25DE"/>
    <w:rPr>
      <w:rFonts w:ascii="Times" w:hAnsi="Times"/>
      <w:sz w:val="24"/>
      <w:lang w:val="pt-BR" w:eastAsia="pt-BR" w:bidi="ar-SA"/>
    </w:rPr>
  </w:style>
  <w:style w:type="paragraph" w:customStyle="1" w:styleId="Email">
    <w:name w:val="Email"/>
    <w:basedOn w:val="Normal"/>
    <w:rsid w:val="00EE70EF"/>
    <w:pPr>
      <w:spacing w:after="120"/>
      <w:jc w:val="center"/>
    </w:pPr>
    <w:rPr>
      <w:rFonts w:ascii="Courier New" w:hAnsi="Courier New"/>
      <w:sz w:val="20"/>
    </w:rPr>
  </w:style>
  <w:style w:type="paragraph" w:customStyle="1" w:styleId="Abstract">
    <w:name w:val="Abstract"/>
    <w:basedOn w:val="Normal"/>
    <w:rsid w:val="00676E05"/>
    <w:pPr>
      <w:spacing w:after="120"/>
      <w:ind w:left="454" w:right="454"/>
    </w:pPr>
    <w:rPr>
      <w:i/>
      <w:szCs w:val="24"/>
    </w:rPr>
  </w:style>
  <w:style w:type="paragraph" w:customStyle="1" w:styleId="Figure">
    <w:name w:val="Figure"/>
    <w:basedOn w:val="Normal"/>
    <w:rsid w:val="00603861"/>
    <w:pPr>
      <w:jc w:val="center"/>
    </w:pPr>
    <w:rPr>
      <w:noProof/>
    </w:rPr>
  </w:style>
  <w:style w:type="paragraph" w:customStyle="1" w:styleId="Reference">
    <w:name w:val="Reference"/>
    <w:basedOn w:val="Normal"/>
    <w:rsid w:val="0025722C"/>
    <w:pPr>
      <w:ind w:left="284" w:hanging="284"/>
    </w:pPr>
  </w:style>
  <w:style w:type="character" w:styleId="Hyperlink">
    <w:name w:val="Hyperlink"/>
    <w:basedOn w:val="Fontepargpadro"/>
    <w:rsid w:val="00290562"/>
    <w:rPr>
      <w:color w:val="0000FF"/>
      <w:u w:val="single"/>
    </w:rPr>
  </w:style>
  <w:style w:type="paragraph" w:styleId="Ttulo">
    <w:name w:val="Title"/>
    <w:basedOn w:val="Normal"/>
    <w:qFormat/>
    <w:rsid w:val="0039084B"/>
    <w:pPr>
      <w:spacing w:before="240"/>
      <w:ind w:firstLine="397"/>
      <w:jc w:val="center"/>
    </w:pPr>
    <w:rPr>
      <w:rFonts w:cs="Arial"/>
      <w:b/>
      <w:bCs/>
      <w:sz w:val="32"/>
      <w:szCs w:val="32"/>
    </w:rPr>
  </w:style>
  <w:style w:type="paragraph" w:styleId="Legenda">
    <w:name w:val="caption"/>
    <w:basedOn w:val="Normal"/>
    <w:next w:val="Normal"/>
    <w:qFormat/>
    <w:rsid w:val="0022582D"/>
    <w:pPr>
      <w:spacing w:after="120"/>
      <w:ind w:left="454" w:right="454"/>
      <w:jc w:val="center"/>
    </w:pPr>
    <w:rPr>
      <w:rFonts w:ascii="Helvetica" w:hAnsi="Helvetica"/>
      <w:b/>
      <w:bCs/>
      <w:sz w:val="20"/>
    </w:rPr>
  </w:style>
  <w:style w:type="paragraph" w:styleId="Pr-formataoHTML">
    <w:name w:val="HTML Preformatted"/>
    <w:basedOn w:val="Normal"/>
    <w:rsid w:val="00556B9F"/>
    <w:p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jc w:val="left"/>
    </w:pPr>
    <w:rPr>
      <w:rFonts w:ascii="Courier New" w:hAnsi="Courier New" w:cs="Courier New"/>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505492">
      <w:bodyDiv w:val="1"/>
      <w:marLeft w:val="0"/>
      <w:marRight w:val="0"/>
      <w:marTop w:val="0"/>
      <w:marBottom w:val="0"/>
      <w:divBdr>
        <w:top w:val="none" w:sz="0" w:space="0" w:color="auto"/>
        <w:left w:val="none" w:sz="0" w:space="0" w:color="auto"/>
        <w:bottom w:val="none" w:sz="0" w:space="0" w:color="auto"/>
        <w:right w:val="none" w:sz="0" w:space="0" w:color="auto"/>
      </w:divBdr>
    </w:div>
    <w:div w:id="1660041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reality.sgi.com/employees/jam_sb/mocap/MoCapWP_v2.0.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footer" Target="footer3.xml"/><Relationship Id="rId10" Type="http://schemas.openxmlformats.org/officeDocument/2006/relationships/footer" Target="footer2.xml"/><Relationship Id="rId19" Type="http://schemas.openxmlformats.org/officeDocument/2006/relationships/image" Target="media/image9.jpe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sirlei\CONFIG~1\Temp\Diret&#243;rio%20tempor&#225;rio%202%20para%20template-word.zip\sbc-template.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sbc-template.dot</Template>
  <TotalTime>295</TotalTime>
  <Pages>8</Pages>
  <Words>878</Words>
  <Characters>4744</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Instruções aos Autores de Contribuições para o SIBGRAPI</vt:lpstr>
    </vt:vector>
  </TitlesOfParts>
  <Company> </Company>
  <LinksUpToDate>false</LinksUpToDate>
  <CharactersWithSpaces>5611</CharactersWithSpaces>
  <SharedDoc>false</SharedDoc>
  <HLinks>
    <vt:vector size="6" baseType="variant">
      <vt:variant>
        <vt:i4>720975</vt:i4>
      </vt:variant>
      <vt:variant>
        <vt:i4>3</vt:i4>
      </vt:variant>
      <vt:variant>
        <vt:i4>0</vt:i4>
      </vt:variant>
      <vt:variant>
        <vt:i4>5</vt:i4>
      </vt:variant>
      <vt:variant>
        <vt:lpwstr>http://reality.sgi.com/employees/jam_sb/mocap/MoCapWP_v2.0.html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Instruções aos Autores de Contribuições para o SIBGRAPI</dc:title>
  <dc:subject/>
  <dc:creator>Sociedade Brasileira de Computação</dc:creator>
  <cp:keywords/>
  <cp:lastModifiedBy>Fernando Mello</cp:lastModifiedBy>
  <cp:revision>9</cp:revision>
  <cp:lastPrinted>2005-03-17T02:14:00Z</cp:lastPrinted>
  <dcterms:created xsi:type="dcterms:W3CDTF">2025-10-14T19:14:00Z</dcterms:created>
  <dcterms:modified xsi:type="dcterms:W3CDTF">2025-10-15T23:14:00Z</dcterms:modified>
</cp:coreProperties>
</file>