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3236" w:rsidRPr="007254E3" w:rsidRDefault="004148AF">
      <w:pPr>
        <w:spacing w:after="200"/>
        <w:jc w:val="center"/>
      </w:pPr>
      <w:r w:rsidRPr="007254E3">
        <w:rPr>
          <w:b/>
          <w:bCs/>
          <w:caps/>
          <w:sz w:val="32"/>
          <w:szCs w:val="32"/>
        </w:rPr>
        <w:t>CHAPTER FOUR</w:t>
      </w:r>
    </w:p>
    <w:p w:rsidR="00C63236" w:rsidRPr="007254E3" w:rsidRDefault="004148AF">
      <w:pPr>
        <w:spacing w:after="120"/>
        <w:jc w:val="center"/>
      </w:pPr>
      <w:r w:rsidRPr="007254E3">
        <w:rPr>
          <w:b/>
          <w:bCs/>
          <w:caps/>
          <w:sz w:val="28"/>
          <w:szCs w:val="28"/>
        </w:rPr>
        <w:t>RESULTS AND FINDINGS</w:t>
      </w:r>
    </w:p>
    <w:p w:rsidR="00C63236" w:rsidRPr="007254E3" w:rsidRDefault="004148AF">
      <w:pPr>
        <w:pStyle w:val="Heading1"/>
        <w:rPr>
          <w:color w:val="auto"/>
        </w:rPr>
      </w:pPr>
      <w:r w:rsidRPr="007254E3">
        <w:rPr>
          <w:color w:val="auto"/>
        </w:rPr>
        <w:t>4.1 Introduction</w:t>
      </w:r>
    </w:p>
    <w:p w:rsidR="00C63236" w:rsidRPr="007254E3" w:rsidRDefault="004148AF">
      <w:pPr>
        <w:spacing w:before="80" w:after="80" w:line="360" w:lineRule="auto"/>
        <w:ind w:firstLine="720"/>
        <w:jc w:val="both"/>
      </w:pPr>
      <w:r w:rsidRPr="007254E3">
        <w:t xml:space="preserve">This chapter presents the empirical outcomes of the investigation into selected physicochemical and heavy metal parameters and their influence on plankton distribution across ten sampling stations (Stn1–Stn10) over three sampling months: July, September, and November. Aquatic ecosystems are inherently dynamic environments in which the physicochemical milieu exercises a fundamental regulatory role over the structure, composition, and abundance of planktonic communities (Wetzel, 2001). Shifts in water quality indicators such as pH, dissolved oxygen (DO), turbidity, and trace metal concentrations can selectively </w:t>
      </w:r>
      <w:proofErr w:type="spellStart"/>
      <w:r w:rsidRPr="007254E3">
        <w:t>favour</w:t>
      </w:r>
      <w:proofErr w:type="spellEnd"/>
      <w:r w:rsidRPr="007254E3">
        <w:t xml:space="preserve"> certain taxa while excluding others, ultimately shaping biodiversity patterns at both the local station level and the system-wide scale (Carpenter et al., 2011). Results are </w:t>
      </w:r>
      <w:proofErr w:type="spellStart"/>
      <w:r w:rsidRPr="007254E3">
        <w:t>organised</w:t>
      </w:r>
      <w:proofErr w:type="spellEnd"/>
      <w:r w:rsidRPr="007254E3">
        <w:t xml:space="preserve"> into sections addressing (</w:t>
      </w:r>
      <w:proofErr w:type="spellStart"/>
      <w:r w:rsidRPr="007254E3">
        <w:t>i</w:t>
      </w:r>
      <w:proofErr w:type="spellEnd"/>
      <w:r w:rsidRPr="007254E3">
        <w:t xml:space="preserve">) physicochemical water quality parameters, (ii) heavy metal concentrations, (iii) phytoplankton community dynamics, </w:t>
      </w:r>
      <w:proofErr w:type="gramStart"/>
      <w:r w:rsidRPr="007254E3">
        <w:t>(iv) zooplankton</w:t>
      </w:r>
      <w:proofErr w:type="gramEnd"/>
      <w:r w:rsidRPr="007254E3">
        <w:t xml:space="preserve"> community dynamics, (v) species richness patterns, and (vi) correlative relationships between environmental parameters and plankton distributions. Charts are embedded throughout as additional visual references to support interpretation of the tabulated data.</w:t>
      </w:r>
    </w:p>
    <w:p w:rsidR="00C63236" w:rsidRPr="007254E3" w:rsidRDefault="004148AF">
      <w:pPr>
        <w:pStyle w:val="Heading1"/>
        <w:rPr>
          <w:color w:val="auto"/>
        </w:rPr>
      </w:pPr>
      <w:r w:rsidRPr="007254E3">
        <w:rPr>
          <w:color w:val="auto"/>
        </w:rPr>
        <w:t>4.2 Physicochemical Parameters</w:t>
      </w:r>
    </w:p>
    <w:p w:rsidR="00C63236" w:rsidRPr="007254E3" w:rsidRDefault="004148AF">
      <w:pPr>
        <w:spacing w:before="80" w:after="80" w:line="360" w:lineRule="auto"/>
        <w:ind w:firstLine="720"/>
        <w:jc w:val="both"/>
      </w:pPr>
      <w:r w:rsidRPr="007254E3">
        <w:t>Seven physicochemical parameters were evaluated across all ten stations during the three sampling months: hydrogen ion concentration (pH), water temperature, dissolved oxygen (DO), biochemical oxygen demand (BOD), turbidity, total suspended solids (TSS), and electrical conductivity (EC). Together these indicators constitute the primary environmental template structuring aquatic biological communities (</w:t>
      </w:r>
      <w:proofErr w:type="spellStart"/>
      <w:r w:rsidRPr="007254E3">
        <w:t>Dodds</w:t>
      </w:r>
      <w:proofErr w:type="spellEnd"/>
      <w:r w:rsidRPr="007254E3">
        <w:t xml:space="preserve"> &amp; Whiles, 2019). The data revealed a pronounced spatial gradient from upstream stations (Stn1–Stn3) to downstream stations (Stn8–Stn10), alongside marked temporal oscillations across the three months, as documented in the tables and charts that follow.</w:t>
      </w:r>
    </w:p>
    <w:p w:rsidR="00C63236" w:rsidRPr="007254E3" w:rsidRDefault="004148AF">
      <w:pPr>
        <w:pStyle w:val="Heading2"/>
        <w:rPr>
          <w:color w:val="auto"/>
        </w:rPr>
      </w:pPr>
      <w:r w:rsidRPr="007254E3">
        <w:rPr>
          <w:color w:val="auto"/>
        </w:rPr>
        <w:t>4.2.1 Hydrogen Ion Concentration (pH)</w:t>
      </w:r>
    </w:p>
    <w:p w:rsidR="00C63236" w:rsidRPr="007254E3" w:rsidRDefault="004148AF" w:rsidP="00344DE4">
      <w:pPr>
        <w:spacing w:before="80" w:after="80" w:line="360" w:lineRule="auto"/>
        <w:ind w:firstLine="720"/>
        <w:jc w:val="both"/>
      </w:pPr>
      <w:r w:rsidRPr="007254E3">
        <w:lastRenderedPageBreak/>
        <w:t>Hydrogen ion concentration (pH) is among the most diagnostically informative physicochemical descriptors of water quality, directly influencing nutrient availability, metal solubility, and the physiological function of aquatic biota (</w:t>
      </w:r>
      <w:proofErr w:type="spellStart"/>
      <w:r w:rsidRPr="007254E3">
        <w:t>Stumm</w:t>
      </w:r>
      <w:proofErr w:type="spellEnd"/>
      <w:r w:rsidRPr="007254E3">
        <w:t xml:space="preserve"> &amp; Morgan, 2012). Recorded pH values ranged from 6.0 at Stn10 during November to 7.4 at Stn1 during September, indicating near-neutral to mildly acidic conditions consistent with findings for organically influenced tropical freshwaters (</w:t>
      </w:r>
      <w:proofErr w:type="spellStart"/>
      <w:r w:rsidRPr="007254E3">
        <w:t>Akpan</w:t>
      </w:r>
      <w:proofErr w:type="spellEnd"/>
      <w:r w:rsidRPr="007254E3">
        <w:t xml:space="preserve"> &amp; </w:t>
      </w:r>
      <w:proofErr w:type="spellStart"/>
      <w:r w:rsidRPr="007254E3">
        <w:t>Offem</w:t>
      </w:r>
      <w:proofErr w:type="spellEnd"/>
      <w:r w:rsidRPr="007254E3">
        <w:t>, 2020).</w:t>
      </w:r>
    </w:p>
    <w:p w:rsidR="00C63236" w:rsidRPr="007254E3" w:rsidRDefault="004148AF">
      <w:pPr>
        <w:spacing w:before="160" w:after="60"/>
        <w:jc w:val="center"/>
      </w:pPr>
      <w:r w:rsidRPr="007254E3">
        <w:rPr>
          <w:noProof/>
        </w:rPr>
        <w:drawing>
          <wp:inline distT="0" distB="0" distL="0" distR="0" wp14:anchorId="1AFB7A0F" wp14:editId="3C865256">
            <wp:extent cx="581025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3238500"/>
                    </a:xfrm>
                    <a:prstGeom prst="rect">
                      <a:avLst/>
                    </a:prstGeom>
                  </pic:spPr>
                </pic:pic>
              </a:graphicData>
            </a:graphic>
          </wp:inline>
        </w:drawing>
      </w:r>
    </w:p>
    <w:p w:rsidR="00C63236" w:rsidRPr="007254E3" w:rsidRDefault="004148AF">
      <w:pPr>
        <w:spacing w:before="100" w:after="240"/>
        <w:jc w:val="center"/>
      </w:pPr>
      <w:r w:rsidRPr="007254E3">
        <w:rPr>
          <w:b/>
          <w:bCs/>
        </w:rPr>
        <w:t xml:space="preserve">Figure 1. </w:t>
      </w:r>
      <w:r w:rsidRPr="007254E3">
        <w:rPr>
          <w:i/>
          <w:iCs/>
          <w:sz w:val="22"/>
          <w:szCs w:val="22"/>
        </w:rPr>
        <w:t>Spatial and temporal variation in pH across ten sampling stations for July, September, and November. The dashed amber line marks the lower physiological tolerance threshold of pH 6.5 for most phytoplankton (Reynolds, 2006).</w:t>
      </w:r>
    </w:p>
    <w:p w:rsidR="00C63236" w:rsidRPr="007254E3" w:rsidRDefault="004148AF">
      <w:pPr>
        <w:spacing w:before="80" w:after="80" w:line="360" w:lineRule="auto"/>
        <w:ind w:firstLine="720"/>
        <w:jc w:val="both"/>
      </w:pPr>
      <w:r w:rsidRPr="007254E3">
        <w:t>As illustrated in F</w:t>
      </w:r>
      <w:r w:rsidR="00555920">
        <w:t>igure 1</w:t>
      </w:r>
      <w:r w:rsidRPr="007254E3">
        <w:t>, pH declined consistently from upstream to downs</w:t>
      </w:r>
      <w:r w:rsidR="00DB0BA3">
        <w:t xml:space="preserve">tream across all three months </w:t>
      </w:r>
      <w:r w:rsidRPr="007254E3">
        <w:t xml:space="preserve">a gradient driven by progressive organic matter decomposition, microbial CO₂ production, and the accumulation of acidic byproducts (Olayinka &amp; Uyimadu, 2019). September recorded marginally higher pH values at all stations relative to July and November, possibly reflecting dilution of acidic inputs by seasonal rainfall. The decline </w:t>
      </w:r>
      <w:r w:rsidR="007254E3">
        <w:t>to pH 6.0 at Stn10 in November the lowest value in the study</w:t>
      </w:r>
      <w:r w:rsidRPr="007254E3">
        <w:t xml:space="preserve"> is ecologically significant because pH values below 6.5 can limit the growth of sensitive phytoplankton groups including many diatom species (Reynolds, 2006). Correlation analysis confirmed a very strong negative relationship between pH and EC (r = −0.980) and pH and temperature (r = −0.964), indicating that downstream stations were simultaneously more acidic, more conductive, and warmer.</w:t>
      </w:r>
    </w:p>
    <w:p w:rsidR="00C63236" w:rsidRPr="007254E3" w:rsidRDefault="004148AF">
      <w:pPr>
        <w:pStyle w:val="Heading2"/>
        <w:rPr>
          <w:color w:val="auto"/>
        </w:rPr>
      </w:pPr>
      <w:r w:rsidRPr="007254E3">
        <w:rPr>
          <w:color w:val="auto"/>
        </w:rPr>
        <w:lastRenderedPageBreak/>
        <w:t>4.2.2 Water Temperature</w:t>
      </w:r>
    </w:p>
    <w:p w:rsidR="00C63236" w:rsidRPr="007254E3" w:rsidRDefault="004148AF">
      <w:pPr>
        <w:spacing w:before="80" w:after="80" w:line="360" w:lineRule="auto"/>
        <w:ind w:firstLine="720"/>
        <w:jc w:val="both"/>
      </w:pPr>
      <w:r w:rsidRPr="007254E3">
        <w:t>Water temperature exerts broad influence on metabolic rates, dissolved gas concentrations, and the reproductive phenology of aquatic organisms (Allan &amp; Castillo, 2007). Mean temperature across all stations and months was 27.40°C (SD = 0.91), reflecting the warm trop</w:t>
      </w:r>
      <w:r w:rsidR="002B4ED7">
        <w:t xml:space="preserve">ical character of </w:t>
      </w:r>
      <w:proofErr w:type="spellStart"/>
      <w:r w:rsidR="002B4ED7">
        <w:t>Ekpan</w:t>
      </w:r>
      <w:proofErr w:type="spellEnd"/>
      <w:r w:rsidR="002B4ED7">
        <w:t xml:space="preserve"> river</w:t>
      </w:r>
      <w:r w:rsidRPr="007254E3">
        <w:t xml:space="preserve">. Temperature increased progressively from Stn1 to </w:t>
      </w:r>
      <w:r w:rsidR="007254E3">
        <w:t xml:space="preserve">Stn10 across all three months </w:t>
      </w:r>
      <w:r w:rsidRPr="007254E3">
        <w:t>a spatial gradient attributable to reduced riparian shading and shallower water depth at downstream sites (Poole &amp; Berman, 2001). The strong positive correlation between temperature and EC (r = 0.966) indicates that warmer downstream stations are also more ion-rich, while the negative correlation between temperature and pH (r = −0.964) confirms that elevated temperatures accelerate decomposition and acidification.</w:t>
      </w:r>
    </w:p>
    <w:p w:rsidR="00C63236" w:rsidRPr="007254E3" w:rsidRDefault="00C63236">
      <w:pPr>
        <w:spacing w:before="60" w:after="60"/>
      </w:pP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7254E3" w:rsidRPr="007254E3">
        <w:trPr>
          <w:tblHeader/>
        </w:trPr>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Station</w:t>
            </w:r>
          </w:p>
        </w:tc>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July Temp (°C)</w:t>
            </w:r>
          </w:p>
        </w:tc>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Sept Temp (°C)</w:t>
            </w:r>
          </w:p>
        </w:tc>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Nov Temp (°C)</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Stn1</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26.5</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25.8</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26.2</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26.8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26.0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26.5</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Stn3</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27.0</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26.2</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26.8</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27.2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26.5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27.0</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Stn5</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27.4</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26.7</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27.2</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27.5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26.8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27.3</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Stn7</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27.6</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27.0</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27.5</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28.5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27.3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27.9</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Stn9</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28.8</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27.6</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28.5</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Stn10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29.0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28.0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28.8</w:t>
            </w:r>
          </w:p>
        </w:tc>
      </w:tr>
    </w:tbl>
    <w:p w:rsidR="00C63236" w:rsidRPr="007254E3" w:rsidRDefault="004148AF">
      <w:pPr>
        <w:spacing w:before="100" w:after="200"/>
        <w:jc w:val="center"/>
      </w:pPr>
      <w:r w:rsidRPr="007254E3">
        <w:rPr>
          <w:b/>
          <w:bCs/>
        </w:rPr>
        <w:t xml:space="preserve">Table 2. </w:t>
      </w:r>
      <w:r w:rsidRPr="007254E3">
        <w:rPr>
          <w:i/>
          <w:iCs/>
          <w:sz w:val="22"/>
          <w:szCs w:val="22"/>
        </w:rPr>
        <w:t>Water Temperature (°C) Across Sampling Stations and Months</w:t>
      </w:r>
    </w:p>
    <w:p w:rsidR="00C63236" w:rsidRPr="007254E3" w:rsidRDefault="00C63236">
      <w:pPr>
        <w:spacing w:before="60" w:after="60"/>
      </w:pPr>
    </w:p>
    <w:p w:rsidR="00C63236" w:rsidRPr="007254E3" w:rsidRDefault="004148AF">
      <w:pPr>
        <w:pStyle w:val="Heading2"/>
        <w:rPr>
          <w:color w:val="auto"/>
        </w:rPr>
      </w:pPr>
      <w:r w:rsidRPr="007254E3">
        <w:rPr>
          <w:color w:val="auto"/>
        </w:rPr>
        <w:t>4.2.3 Dissolved Oxygen (DO)</w:t>
      </w:r>
    </w:p>
    <w:p w:rsidR="00C63236" w:rsidRPr="007254E3" w:rsidRDefault="004148AF" w:rsidP="00344DE4">
      <w:pPr>
        <w:spacing w:before="80" w:after="80" w:line="360" w:lineRule="auto"/>
        <w:ind w:firstLine="720"/>
        <w:jc w:val="both"/>
      </w:pPr>
      <w:r w:rsidRPr="007254E3">
        <w:t xml:space="preserve">Dissolved oxygen is a master variable governing aerobic biological processes and redox-sensitive biogeochemical cycling (Diaz &amp; Rosenberg, 2008). The DO data in this study exhibited the most dramatic temporal variation of any parameter measured. July recorded exceptionally high DO values (32.40–65.30 mg/L), potentially reflecting photosynthetic </w:t>
      </w:r>
      <w:r w:rsidR="007254E3" w:rsidRPr="007254E3">
        <w:t>super saturation</w:t>
      </w:r>
      <w:r w:rsidRPr="007254E3">
        <w:t xml:space="preserve"> during peak algal productivity. September and November saw a precipitous decline, with values falling to 5.00 mg/L (Stn10, September) an</w:t>
      </w:r>
      <w:r w:rsidR="00DB0BA3">
        <w:t xml:space="preserve">d 4.50 mg/L (Stn10, November) </w:t>
      </w:r>
      <w:r w:rsidRPr="007254E3">
        <w:t xml:space="preserve">at or </w:t>
      </w:r>
      <w:r w:rsidRPr="007254E3">
        <w:lastRenderedPageBreak/>
        <w:t>below the WHO threshold of 5.0 mg/L for sustaining sensitive aquatic organisms (WHO, 2017).</w:t>
      </w:r>
    </w:p>
    <w:p w:rsidR="00C63236" w:rsidRPr="007254E3" w:rsidRDefault="004148AF">
      <w:pPr>
        <w:spacing w:before="160" w:after="60"/>
        <w:jc w:val="center"/>
      </w:pPr>
      <w:r w:rsidRPr="007254E3">
        <w:rPr>
          <w:noProof/>
        </w:rPr>
        <w:drawing>
          <wp:inline distT="0" distB="0" distL="0" distR="0" wp14:anchorId="081192A0" wp14:editId="2532AE63">
            <wp:extent cx="581025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3238500"/>
                    </a:xfrm>
                    <a:prstGeom prst="rect">
                      <a:avLst/>
                    </a:prstGeom>
                  </pic:spPr>
                </pic:pic>
              </a:graphicData>
            </a:graphic>
          </wp:inline>
        </w:drawing>
      </w:r>
    </w:p>
    <w:p w:rsidR="00C63236" w:rsidRPr="007254E3" w:rsidRDefault="004148AF">
      <w:pPr>
        <w:spacing w:before="100" w:after="240"/>
        <w:jc w:val="center"/>
      </w:pPr>
      <w:r w:rsidRPr="007254E3">
        <w:rPr>
          <w:b/>
          <w:bCs/>
        </w:rPr>
        <w:t xml:space="preserve">Figure 2. </w:t>
      </w:r>
      <w:r w:rsidRPr="007254E3">
        <w:rPr>
          <w:i/>
          <w:iCs/>
          <w:sz w:val="22"/>
          <w:szCs w:val="22"/>
        </w:rPr>
        <w:t>Dissolved oxygen (DO) concentrations across ten sampling stations for three months. The dashed red line marks the WHO critical threshold of 5.0 mg/L below which aquatic life becomes severely stressed (WHO, 2017).</w:t>
      </w:r>
    </w:p>
    <w:p w:rsidR="00C63236" w:rsidRPr="007254E3" w:rsidRDefault="004148AF">
      <w:pPr>
        <w:spacing w:before="80" w:after="80" w:line="360" w:lineRule="auto"/>
        <w:ind w:firstLine="720"/>
        <w:jc w:val="both"/>
      </w:pPr>
      <w:r w:rsidRPr="007254E3">
        <w:t>Figure 2 dramatically illustrates the seasonal oxygen crash between July and the subsequent two months. The high July DO values reflect active phytoplankton photosynthesis, while the sharp decline to near-threshold levels in September and November aligns with elevated microbial oxygen consumption driven by the large BOD loads recorded in July. This temporal pattern has direct consequences for DO-sensitive zooplankton, particularly crustacean groups such as Cladocera and Copepoda, whose declines in September and November are discussed in Section 4.5.</w:t>
      </w:r>
    </w:p>
    <w:p w:rsidR="00C63236" w:rsidRPr="007254E3" w:rsidRDefault="004148AF">
      <w:pPr>
        <w:pStyle w:val="Heading2"/>
        <w:rPr>
          <w:color w:val="auto"/>
        </w:rPr>
      </w:pPr>
      <w:r w:rsidRPr="007254E3">
        <w:rPr>
          <w:color w:val="auto"/>
        </w:rPr>
        <w:t>4.2.4 Biochemical Oxygen Demand (BOD)</w:t>
      </w:r>
    </w:p>
    <w:p w:rsidR="00C63236" w:rsidRPr="007254E3" w:rsidRDefault="004148AF" w:rsidP="00344DE4">
      <w:pPr>
        <w:spacing w:before="80" w:after="80" w:line="360" w:lineRule="auto"/>
        <w:ind w:firstLine="720"/>
        <w:jc w:val="both"/>
      </w:pPr>
      <w:r w:rsidRPr="007254E3">
        <w:t xml:space="preserve">Biochemical oxygen demand (BOD) provides a </w:t>
      </w:r>
      <w:r w:rsidR="007254E3" w:rsidRPr="007254E3">
        <w:t>standardized</w:t>
      </w:r>
      <w:r w:rsidRPr="007254E3">
        <w:t xml:space="preserve"> index of organic matter loading, reflecting the oxygen consumed by microbial decomposition over five days (APHA, 2017). BOD showed the strongest downstream-increasing pattern of any parameter in this study, with July values </w:t>
      </w:r>
      <w:r w:rsidR="00DB0BA3">
        <w:t xml:space="preserve">at Stn10 reaching 124.60 mg/L </w:t>
      </w:r>
      <w:r w:rsidRPr="007254E3">
        <w:t xml:space="preserve">substantially above the 10 mg/L threshold that demarcates moderately polluted water (Chapman, 1996). Agricultural runoff and </w:t>
      </w:r>
      <w:r w:rsidRPr="007254E3">
        <w:lastRenderedPageBreak/>
        <w:t>domestic effluents, typically elevated during the wet season, are probable contributing sources at downstream stations (Ogamba et al., 2020).</w:t>
      </w:r>
    </w:p>
    <w:p w:rsidR="00C63236" w:rsidRPr="007254E3" w:rsidRDefault="004148AF">
      <w:pPr>
        <w:spacing w:before="160" w:after="60"/>
        <w:jc w:val="center"/>
      </w:pPr>
      <w:r w:rsidRPr="007254E3">
        <w:rPr>
          <w:noProof/>
        </w:rPr>
        <w:drawing>
          <wp:inline distT="0" distB="0" distL="0" distR="0" wp14:anchorId="2458D087" wp14:editId="7E44863C">
            <wp:extent cx="581025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3238500"/>
                    </a:xfrm>
                    <a:prstGeom prst="rect">
                      <a:avLst/>
                    </a:prstGeom>
                  </pic:spPr>
                </pic:pic>
              </a:graphicData>
            </a:graphic>
          </wp:inline>
        </w:drawing>
      </w:r>
    </w:p>
    <w:p w:rsidR="00C63236" w:rsidRPr="007254E3" w:rsidRDefault="004148AF">
      <w:pPr>
        <w:spacing w:before="100" w:after="240"/>
        <w:jc w:val="center"/>
      </w:pPr>
      <w:r w:rsidRPr="007254E3">
        <w:rPr>
          <w:b/>
          <w:bCs/>
        </w:rPr>
        <w:t xml:space="preserve">Figure 3. </w:t>
      </w:r>
      <w:r w:rsidRPr="007254E3">
        <w:rPr>
          <w:i/>
          <w:iCs/>
          <w:sz w:val="22"/>
          <w:szCs w:val="22"/>
        </w:rPr>
        <w:t>Biochemical oxygen demand (BOD) in mg/L across ten sampling stations for July, September, and November. The dashed amber line marks the 10 mg/L pollution threshold (Chapman, 1996).</w:t>
      </w:r>
    </w:p>
    <w:p w:rsidR="00C63236" w:rsidRPr="007254E3" w:rsidRDefault="004148AF">
      <w:pPr>
        <w:spacing w:before="80" w:after="80" w:line="360" w:lineRule="auto"/>
        <w:ind w:firstLine="720"/>
        <w:jc w:val="both"/>
      </w:pPr>
      <w:r w:rsidRPr="007254E3">
        <w:t>Figure 3 makes clear that July BOD values at downstream stations (Stn6–Stn10) were in a different magnitude class from September and November, indicating a peak organic loading event during the July wet season. All downstream stations exceeded the 10 mg/L pollution threshold in July, and Stn8–Stn10 remained above threshold even in November, confirming persistent organic enrichment at those sites across all three months of the study.</w:t>
      </w:r>
    </w:p>
    <w:p w:rsidR="00C63236" w:rsidRPr="007254E3" w:rsidRDefault="004148AF">
      <w:pPr>
        <w:pStyle w:val="Heading2"/>
        <w:rPr>
          <w:color w:val="auto"/>
        </w:rPr>
      </w:pPr>
      <w:r w:rsidRPr="007254E3">
        <w:rPr>
          <w:color w:val="auto"/>
        </w:rPr>
        <w:t>4.2.5 Turbidity, Total Suspended Solids (TSS), and Electrical Conductivity (EC)</w:t>
      </w:r>
    </w:p>
    <w:p w:rsidR="00C63236" w:rsidRPr="007254E3" w:rsidRDefault="004148AF" w:rsidP="00344DE4">
      <w:pPr>
        <w:spacing w:before="80" w:after="80" w:line="360" w:lineRule="auto"/>
        <w:ind w:firstLine="720"/>
        <w:jc w:val="both"/>
      </w:pPr>
      <w:r w:rsidRPr="007254E3">
        <w:t>Turbidity, TSS, and EC constitute complementary indicators of particulate and dissolved matter loads in the water column. Turbidity was highest at upstream stations in July (Stn1: 68 NTU)</w:t>
      </w:r>
      <w:r w:rsidR="007254E3">
        <w:t>, declining to 30 NTU at Stn10</w:t>
      </w:r>
      <w:r w:rsidRPr="007254E3">
        <w:t xml:space="preserve"> a reverse gradient relative to BOD and EC, reflecting greater allochthonous particle input at upper reaches from catchment surface runoff. Mean TSS ranged from 2.1 mg/L (Stn1, July) to 11.0 mg/L (Stn10, November), with a very strong positive correlation with EC (r = 0.976). Electrical conductivity, which integrates the total dissolved ion load, is pres</w:t>
      </w:r>
      <w:r w:rsidR="00344DE4">
        <w:t>ented in</w:t>
      </w:r>
      <w:r w:rsidRPr="007254E3">
        <w:t xml:space="preserve"> Figure 4.</w:t>
      </w:r>
    </w:p>
    <w:p w:rsidR="00C63236" w:rsidRPr="007254E3" w:rsidRDefault="004148AF">
      <w:pPr>
        <w:spacing w:before="160" w:after="60"/>
        <w:jc w:val="center"/>
      </w:pPr>
      <w:r w:rsidRPr="007254E3">
        <w:rPr>
          <w:noProof/>
        </w:rPr>
        <w:lastRenderedPageBreak/>
        <w:drawing>
          <wp:inline distT="0" distB="0" distL="0" distR="0" wp14:anchorId="25DE98AB" wp14:editId="6793AF1C">
            <wp:extent cx="581025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3238500"/>
                    </a:xfrm>
                    <a:prstGeom prst="rect">
                      <a:avLst/>
                    </a:prstGeom>
                  </pic:spPr>
                </pic:pic>
              </a:graphicData>
            </a:graphic>
          </wp:inline>
        </w:drawing>
      </w:r>
    </w:p>
    <w:p w:rsidR="00C63236" w:rsidRPr="007254E3" w:rsidRDefault="004148AF">
      <w:pPr>
        <w:spacing w:before="100" w:after="240"/>
        <w:jc w:val="center"/>
      </w:pPr>
      <w:r w:rsidRPr="007254E3">
        <w:rPr>
          <w:b/>
          <w:bCs/>
        </w:rPr>
        <w:t xml:space="preserve">Figure 4. </w:t>
      </w:r>
      <w:r w:rsidRPr="007254E3">
        <w:rPr>
          <w:i/>
          <w:iCs/>
          <w:sz w:val="22"/>
          <w:szCs w:val="22"/>
        </w:rPr>
        <w:t>Electrical conductivity (EC) in μS/cm across ten sampling stations for July, September, and November. The dashed amber line marks 700 μS/cm, above which osmotic stress effects on aquatic biota become increasingly likely (Kefford et al., 2016).</w:t>
      </w:r>
    </w:p>
    <w:p w:rsidR="00C63236" w:rsidRPr="007254E3" w:rsidRDefault="004148AF">
      <w:pPr>
        <w:spacing w:before="80" w:after="80" w:line="360" w:lineRule="auto"/>
        <w:ind w:firstLine="720"/>
        <w:jc w:val="both"/>
      </w:pPr>
      <w:r w:rsidRPr="007254E3">
        <w:t>Figure 4 reinforces the consistent upstream-to-downstream enrichment gradient across all three months, with November recording the highest EC at every station. EC values exceeded 700 μS/cm at Stn7–Stn10 during July and at Stn6–Stn10 during November, indicating elevated ionic stress across a large proportion of the sampled reach during these periods. The strong negative correlation between EC and pH (r = −0.980) and the strong positive association between EC and temperature (r = 0.966) confirm that EC, temperature, and pH together define the primary environmental axis structuring biological communities in this water body.</w:t>
      </w:r>
    </w:p>
    <w:p w:rsidR="00C63236" w:rsidRPr="007254E3" w:rsidRDefault="00C63236">
      <w:pPr>
        <w:spacing w:before="60" w:after="60"/>
      </w:pP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7254E3" w:rsidRPr="007254E3">
        <w:trPr>
          <w:tblHeader/>
        </w:trPr>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Station</w:t>
            </w:r>
          </w:p>
        </w:tc>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July TSS (mg/L)</w:t>
            </w:r>
          </w:p>
        </w:tc>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September TSS (mg/L)</w:t>
            </w:r>
          </w:p>
        </w:tc>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November TSS (mg/L)</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Stn1</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2.1</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2.5</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3.2</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3.0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3.4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4.1</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Stn3</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3.8</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4.0</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5.0</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4.6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4.8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5.9</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Stn5</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5.3</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5.5</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6.8</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6.1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6.3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7.9</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Stn7</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6.8</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7.0</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8.8</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7.6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7.7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9.5</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lastRenderedPageBreak/>
              <w:t>Stn9</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8.4</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8.4</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10.2</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Stn10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9.0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8.9</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11.0</w:t>
            </w:r>
          </w:p>
        </w:tc>
      </w:tr>
    </w:tbl>
    <w:p w:rsidR="00C63236" w:rsidRPr="007254E3" w:rsidRDefault="004148AF">
      <w:pPr>
        <w:spacing w:before="100" w:after="200"/>
        <w:jc w:val="center"/>
      </w:pPr>
      <w:r w:rsidRPr="007254E3">
        <w:rPr>
          <w:b/>
          <w:bCs/>
        </w:rPr>
        <w:t xml:space="preserve">Table 6. </w:t>
      </w:r>
      <w:r w:rsidRPr="007254E3">
        <w:rPr>
          <w:i/>
          <w:iCs/>
          <w:sz w:val="22"/>
          <w:szCs w:val="22"/>
        </w:rPr>
        <w:t>Total Suspended Solids (TSS) Across Sampling Stations and Months</w:t>
      </w:r>
    </w:p>
    <w:p w:rsidR="00C63236" w:rsidRPr="007254E3" w:rsidRDefault="00C63236">
      <w:pPr>
        <w:spacing w:before="60" w:after="60"/>
      </w:pPr>
    </w:p>
    <w:p w:rsidR="00C63236" w:rsidRPr="007254E3" w:rsidRDefault="004148AF">
      <w:pPr>
        <w:pStyle w:val="Heading1"/>
        <w:rPr>
          <w:color w:val="auto"/>
        </w:rPr>
      </w:pPr>
      <w:r w:rsidRPr="007254E3">
        <w:rPr>
          <w:color w:val="auto"/>
        </w:rPr>
        <w:t>4.3 Heavy Metal Concentrations</w:t>
      </w:r>
    </w:p>
    <w:p w:rsidR="00C63236" w:rsidRPr="007254E3" w:rsidRDefault="004148AF">
      <w:pPr>
        <w:spacing w:before="80" w:after="80" w:line="360" w:lineRule="auto"/>
        <w:ind w:firstLine="720"/>
        <w:jc w:val="both"/>
      </w:pPr>
      <w:r w:rsidRPr="007254E3">
        <w:t>Six heavy metals were evaluated across all stations and months: copper (Cu), chromium (Cr), manganese (Mn), nickel (Ni), lead (Pb), and zinc (Zn). Heavy metals in freshwater systems arise from both geogenic weathering and anthropogenic inputs including agricultural chemicals and domestic effluents (Järup, 2003). Even at sub-lethal concentrations, trace metals can disrupt enzymatic function, reproductive capacity, and osmoregulation in aquatic organisms, generating detectable community-level responses (Rainbow, 2002). Table 7 summarises detection status and WHO comparisons for each metal.</w:t>
      </w:r>
    </w:p>
    <w:p w:rsidR="00C63236" w:rsidRPr="007254E3" w:rsidRDefault="00C63236">
      <w:pPr>
        <w:spacing w:before="60" w:after="60"/>
      </w:pP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200"/>
        <w:gridCol w:w="3160"/>
      </w:tblGrid>
      <w:tr w:rsidR="007254E3" w:rsidRPr="007254E3">
        <w:trPr>
          <w:tblHeader/>
        </w:trPr>
        <w:tc>
          <w:tcPr>
            <w:tcW w:w="14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Metal</w:t>
            </w:r>
          </w:p>
        </w:tc>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Range (mg/L)</w:t>
            </w:r>
          </w:p>
        </w:tc>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WHO Limit (mg/L)</w:t>
            </w:r>
          </w:p>
        </w:tc>
        <w:tc>
          <w:tcPr>
            <w:tcW w:w="31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Status</w:t>
            </w:r>
          </w:p>
        </w:tc>
      </w:tr>
      <w:tr w:rsidR="007254E3" w:rsidRPr="007254E3">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Cu</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&lt;0.001 – 0.014</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2.0</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All below limit</w:t>
            </w:r>
          </w:p>
        </w:tc>
      </w:tr>
      <w:tr w:rsidR="007254E3" w:rsidRPr="007254E3">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Cr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&lt;0.001 (all)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0.05</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Not detected</w:t>
            </w:r>
          </w:p>
        </w:tc>
      </w:tr>
      <w:tr w:rsidR="007254E3" w:rsidRPr="007254E3">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Mn</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0.031 – 0.537</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0.40</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Stn1 Sept exceeded (0.537)</w:t>
            </w:r>
          </w:p>
        </w:tc>
      </w:tr>
      <w:tr w:rsidR="007254E3" w:rsidRPr="007254E3">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Ni</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&lt;0.001 – 0.035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0.07</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All below limit</w:t>
            </w:r>
          </w:p>
        </w:tc>
      </w:tr>
      <w:tr w:rsidR="007254E3" w:rsidRPr="007254E3">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Pb</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&lt;0.001 (all)</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0.01</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Not detected</w:t>
            </w:r>
          </w:p>
        </w:tc>
      </w:tr>
      <w:tr w:rsidR="007254E3" w:rsidRPr="007254E3">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Zn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0.019 – 0.243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3.0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All below limit</w:t>
            </w:r>
          </w:p>
        </w:tc>
      </w:tr>
    </w:tbl>
    <w:p w:rsidR="00C63236" w:rsidRPr="007254E3" w:rsidRDefault="004148AF">
      <w:pPr>
        <w:spacing w:before="100" w:after="200"/>
        <w:jc w:val="center"/>
      </w:pPr>
      <w:r w:rsidRPr="007254E3">
        <w:rPr>
          <w:b/>
          <w:bCs/>
        </w:rPr>
        <w:t xml:space="preserve">Table 7. </w:t>
      </w:r>
      <w:r w:rsidRPr="007254E3">
        <w:rPr>
          <w:i/>
          <w:iCs/>
          <w:sz w:val="22"/>
          <w:szCs w:val="22"/>
        </w:rPr>
        <w:t>Heavy Metal Detection Range, WHO Guideline Values, and Compliance Status</w:t>
      </w:r>
    </w:p>
    <w:p w:rsidR="00C63236" w:rsidRPr="007254E3" w:rsidRDefault="00C63236">
      <w:pPr>
        <w:spacing w:before="60" w:after="60"/>
      </w:pPr>
    </w:p>
    <w:p w:rsidR="00C63236" w:rsidRPr="007254E3" w:rsidRDefault="004148AF">
      <w:pPr>
        <w:pStyle w:val="Heading2"/>
        <w:rPr>
          <w:color w:val="auto"/>
        </w:rPr>
      </w:pPr>
      <w:r w:rsidRPr="007254E3">
        <w:rPr>
          <w:color w:val="auto"/>
        </w:rPr>
        <w:t>4.3.1 Copper (Cu) and Chromium (Cr)</w:t>
      </w:r>
    </w:p>
    <w:p w:rsidR="00C63236" w:rsidRPr="007254E3" w:rsidRDefault="004148AF">
      <w:pPr>
        <w:spacing w:before="80" w:after="80" w:line="360" w:lineRule="auto"/>
        <w:ind w:firstLine="720"/>
        <w:jc w:val="both"/>
      </w:pPr>
      <w:r w:rsidRPr="007254E3">
        <w:t>Copper was detected at trace le</w:t>
      </w:r>
      <w:r w:rsidR="00DB0BA3">
        <w:t xml:space="preserve">vels at selected stations only </w:t>
      </w:r>
      <w:r w:rsidRPr="007254E3">
        <w:t xml:space="preserve">primarily Stn9 (0.014 mg/L, July and September), Stn10 (0.008 mg/L, July), Stn2 (0.005 mg/L, July), and Stn7 (0.007 mg/L, November). All values were well below the WHO guideline of 2.0 mg/L. Sub-lethal Cu concentrations have been documented to inhibit phytoplankton photosynthesis at levels as low as 0.01 mg/L under certain pH conditions (Franklin et al., 2002), though Cu at the concentrations detected here is unlikely to be acutely toxic. Chromium was not detected </w:t>
      </w:r>
      <w:r w:rsidRPr="007254E3">
        <w:lastRenderedPageBreak/>
        <w:t>above the 0.001 mg/L analytical threshold at any station during any month, indicating negligible chromium loading across the sampled water body.</w:t>
      </w:r>
    </w:p>
    <w:p w:rsidR="00C63236" w:rsidRPr="007254E3" w:rsidRDefault="004148AF">
      <w:pPr>
        <w:pStyle w:val="Heading2"/>
        <w:rPr>
          <w:color w:val="auto"/>
        </w:rPr>
      </w:pPr>
      <w:r w:rsidRPr="007254E3">
        <w:rPr>
          <w:color w:val="auto"/>
        </w:rPr>
        <w:t>4.3.2 Manganese (Mn)</w:t>
      </w:r>
    </w:p>
    <w:p w:rsidR="00C63236" w:rsidRPr="007254E3" w:rsidRDefault="004148AF" w:rsidP="00344DE4">
      <w:pPr>
        <w:spacing w:before="80" w:after="80" w:line="360" w:lineRule="auto"/>
        <w:ind w:firstLine="720"/>
        <w:jc w:val="both"/>
      </w:pPr>
      <w:r w:rsidRPr="007254E3">
        <w:t>Manganese was the most pervasive and ecologically relevant heavy metal detected, with measurable concentrations at all ten stations acro</w:t>
      </w:r>
      <w:r w:rsidR="00344DE4">
        <w:t>ss all three months.</w:t>
      </w:r>
      <w:r w:rsidRPr="007254E3">
        <w:t xml:space="preserve"> Figure 5 present the full spatial and temporal distribution of </w:t>
      </w:r>
      <w:proofErr w:type="spellStart"/>
      <w:r w:rsidRPr="007254E3">
        <w:t>Mn</w:t>
      </w:r>
      <w:proofErr w:type="spellEnd"/>
      <w:r w:rsidRPr="007254E3">
        <w:t xml:space="preserve"> concentrations.</w:t>
      </w:r>
    </w:p>
    <w:p w:rsidR="00C63236" w:rsidRPr="007254E3" w:rsidRDefault="004148AF">
      <w:pPr>
        <w:spacing w:before="160" w:after="60"/>
        <w:jc w:val="center"/>
      </w:pPr>
      <w:r w:rsidRPr="007254E3">
        <w:rPr>
          <w:noProof/>
        </w:rPr>
        <w:drawing>
          <wp:inline distT="0" distB="0" distL="0" distR="0" wp14:anchorId="27B1C0F5" wp14:editId="69442D2D">
            <wp:extent cx="5810250"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3238500"/>
                    </a:xfrm>
                    <a:prstGeom prst="rect">
                      <a:avLst/>
                    </a:prstGeom>
                  </pic:spPr>
                </pic:pic>
              </a:graphicData>
            </a:graphic>
          </wp:inline>
        </w:drawing>
      </w:r>
    </w:p>
    <w:p w:rsidR="00C63236" w:rsidRPr="007254E3" w:rsidRDefault="004148AF">
      <w:pPr>
        <w:spacing w:before="100" w:after="240"/>
        <w:jc w:val="center"/>
      </w:pPr>
      <w:r w:rsidRPr="007254E3">
        <w:rPr>
          <w:b/>
          <w:bCs/>
        </w:rPr>
        <w:t xml:space="preserve">Figure 5. </w:t>
      </w:r>
      <w:r w:rsidRPr="007254E3">
        <w:rPr>
          <w:i/>
          <w:iCs/>
          <w:sz w:val="22"/>
          <w:szCs w:val="22"/>
        </w:rPr>
        <w:t>Manganese (Mn) concentrations (mg/L) across ten sampling stations for three months. The dashed red line marks the WHO guideline of 0.40 mg/L for drinking water (WHO, 2017).</w:t>
      </w:r>
    </w:p>
    <w:p w:rsidR="00C63236" w:rsidRPr="007254E3" w:rsidRDefault="004148AF">
      <w:pPr>
        <w:spacing w:before="80" w:after="80" w:line="360" w:lineRule="auto"/>
        <w:ind w:firstLine="720"/>
        <w:jc w:val="both"/>
      </w:pPr>
      <w:r w:rsidRPr="007254E3">
        <w:t xml:space="preserve">Figure 5 highlights the variable and station-specific nature of Mn distribution, which does not follow a simple linear upstream-to-downstream gradient. The sole </w:t>
      </w:r>
      <w:proofErr w:type="spellStart"/>
      <w:r w:rsidRPr="007254E3">
        <w:t>exceedance</w:t>
      </w:r>
      <w:proofErr w:type="spellEnd"/>
      <w:r w:rsidRPr="007254E3">
        <w:t xml:space="preserve"> of the WHO guideline occurred at Stn1 during September (0.537 mg/L), possibly reflecting sediment </w:t>
      </w:r>
      <w:proofErr w:type="spellStart"/>
      <w:r w:rsidRPr="007254E3">
        <w:t>Mn</w:t>
      </w:r>
      <w:proofErr w:type="spellEnd"/>
      <w:r w:rsidRPr="007254E3">
        <w:t xml:space="preserve"> </w:t>
      </w:r>
      <w:proofErr w:type="spellStart"/>
      <w:r w:rsidRPr="007254E3">
        <w:t>mobilisation</w:t>
      </w:r>
      <w:proofErr w:type="spellEnd"/>
      <w:r w:rsidRPr="007254E3">
        <w:t xml:space="preserve"> under reduced-oxygen conditions that can develop following high-BOD periods — a redox-driven </w:t>
      </w:r>
      <w:proofErr w:type="spellStart"/>
      <w:r w:rsidRPr="007254E3">
        <w:t>solubilisation</w:t>
      </w:r>
      <w:proofErr w:type="spellEnd"/>
      <w:r w:rsidRPr="007254E3">
        <w:t xml:space="preserve"> mechanism documented in tropical lentic systems (</w:t>
      </w:r>
      <w:proofErr w:type="spellStart"/>
      <w:r w:rsidRPr="007254E3">
        <w:t>Naeher</w:t>
      </w:r>
      <w:proofErr w:type="spellEnd"/>
      <w:r w:rsidRPr="007254E3">
        <w:t xml:space="preserve"> et al., 2013). Stn9 recorded consistently elevated Mn across all months (July: 0.315, September: 0.134, November: 0.286 mg/L), suggesting a </w:t>
      </w:r>
      <w:proofErr w:type="spellStart"/>
      <w:r w:rsidRPr="007254E3">
        <w:t>localised</w:t>
      </w:r>
      <w:proofErr w:type="spellEnd"/>
      <w:r w:rsidRPr="007254E3">
        <w:t xml:space="preserve"> source contribution at that station. The positive correlation between </w:t>
      </w:r>
      <w:proofErr w:type="spellStart"/>
      <w:r w:rsidRPr="007254E3">
        <w:t>Mn</w:t>
      </w:r>
      <w:proofErr w:type="spellEnd"/>
      <w:r w:rsidRPr="007254E3">
        <w:t xml:space="preserve"> and </w:t>
      </w:r>
      <w:proofErr w:type="spellStart"/>
      <w:r w:rsidRPr="007254E3">
        <w:t>Rotifera</w:t>
      </w:r>
      <w:proofErr w:type="spellEnd"/>
      <w:r w:rsidRPr="007254E3">
        <w:t xml:space="preserve"> abundance (r = 0.454) may reflect rotifer exploitation of microbial communities that are stimulated by Mn-cycling processes (Wallace &amp; Snell, 2010).</w:t>
      </w:r>
    </w:p>
    <w:p w:rsidR="00C63236" w:rsidRPr="007254E3" w:rsidRDefault="004148AF">
      <w:pPr>
        <w:pStyle w:val="Heading2"/>
        <w:rPr>
          <w:color w:val="auto"/>
        </w:rPr>
      </w:pPr>
      <w:r w:rsidRPr="007254E3">
        <w:rPr>
          <w:color w:val="auto"/>
        </w:rPr>
        <w:lastRenderedPageBreak/>
        <w:t>4.3.3 Nickel (Ni), Lead (Pb), and Zinc (Zn)</w:t>
      </w:r>
    </w:p>
    <w:p w:rsidR="00C63236" w:rsidRPr="007254E3" w:rsidRDefault="004148AF" w:rsidP="00344DE4">
      <w:pPr>
        <w:spacing w:before="80" w:after="80" w:line="360" w:lineRule="auto"/>
        <w:ind w:firstLine="720"/>
        <w:jc w:val="both"/>
      </w:pPr>
      <w:r w:rsidRPr="007254E3">
        <w:t>Nickel concentrations were consistently low (mean = 0.0107 mg/L; range: &lt;0.001–0.035 mg/L), well within the WHO guideline of 0.07 mg/L. Lead was not detected above the analytical threshold at any station or month, indicating an absence of significant Pb point sources in this catchment (</w:t>
      </w:r>
      <w:proofErr w:type="spellStart"/>
      <w:r w:rsidRPr="007254E3">
        <w:t>Ikem</w:t>
      </w:r>
      <w:proofErr w:type="spellEnd"/>
      <w:r w:rsidRPr="007254E3">
        <w:t xml:space="preserve"> et al., 2019). Zinc conce</w:t>
      </w:r>
      <w:r w:rsidR="00344DE4">
        <w:t xml:space="preserve">ntrations, presented in </w:t>
      </w:r>
      <w:r w:rsidRPr="007254E3">
        <w:t>Figure 6, were the most ecologically informative of the remaining metals.</w:t>
      </w:r>
    </w:p>
    <w:p w:rsidR="00C63236" w:rsidRPr="007254E3" w:rsidRDefault="004148AF">
      <w:pPr>
        <w:spacing w:before="160" w:after="60"/>
        <w:jc w:val="center"/>
      </w:pPr>
      <w:r w:rsidRPr="007254E3">
        <w:rPr>
          <w:noProof/>
        </w:rPr>
        <w:drawing>
          <wp:inline distT="0" distB="0" distL="0" distR="0" wp14:anchorId="7785FDB2" wp14:editId="6A629A82">
            <wp:extent cx="581025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3238500"/>
                    </a:xfrm>
                    <a:prstGeom prst="rect">
                      <a:avLst/>
                    </a:prstGeom>
                  </pic:spPr>
                </pic:pic>
              </a:graphicData>
            </a:graphic>
          </wp:inline>
        </w:drawing>
      </w:r>
    </w:p>
    <w:p w:rsidR="00C63236" w:rsidRPr="007254E3" w:rsidRDefault="004148AF">
      <w:pPr>
        <w:spacing w:before="100" w:after="240"/>
        <w:jc w:val="center"/>
      </w:pPr>
      <w:r w:rsidRPr="007254E3">
        <w:rPr>
          <w:b/>
          <w:bCs/>
        </w:rPr>
        <w:t xml:space="preserve">Figure 6. </w:t>
      </w:r>
      <w:r w:rsidRPr="007254E3">
        <w:rPr>
          <w:i/>
          <w:iCs/>
          <w:sz w:val="22"/>
          <w:szCs w:val="22"/>
        </w:rPr>
        <w:t>Zinc (Zn) concentrations (mg/L) across ten stations for three months. The dashed amber line marks 0.10 mg/L, below which chronic sub-lethal effects on Daphnia have been documented (</w:t>
      </w:r>
      <w:proofErr w:type="spellStart"/>
      <w:r w:rsidRPr="007254E3">
        <w:rPr>
          <w:i/>
          <w:iCs/>
          <w:sz w:val="22"/>
          <w:szCs w:val="22"/>
        </w:rPr>
        <w:t>Muyssen</w:t>
      </w:r>
      <w:proofErr w:type="spellEnd"/>
      <w:r w:rsidRPr="007254E3">
        <w:rPr>
          <w:i/>
          <w:iCs/>
          <w:sz w:val="22"/>
          <w:szCs w:val="22"/>
        </w:rPr>
        <w:t xml:space="preserve"> &amp; Janssen, 2001).</w:t>
      </w:r>
    </w:p>
    <w:p w:rsidR="00C63236" w:rsidRPr="007254E3" w:rsidRDefault="004148AF">
      <w:pPr>
        <w:spacing w:before="80" w:after="80" w:line="360" w:lineRule="auto"/>
        <w:ind w:firstLine="720"/>
        <w:jc w:val="both"/>
      </w:pPr>
      <w:r w:rsidRPr="007254E3">
        <w:t xml:space="preserve">Figure 6 shows Stn9 as a persistent Zn hotspot, recording the highest values in both July (0.243 mg/L) and November (0.131 mg/L), while September was uniformly low across all stations. All Zn values were below the WHO guideline of 3.0 mg/L; however, the negative correlations between Zn and </w:t>
      </w:r>
      <w:proofErr w:type="spellStart"/>
      <w:r w:rsidRPr="007254E3">
        <w:t>Cladocera</w:t>
      </w:r>
      <w:proofErr w:type="spellEnd"/>
      <w:r w:rsidRPr="007254E3">
        <w:t xml:space="preserve"> richness (r = −0.434) and Zn and </w:t>
      </w:r>
      <w:proofErr w:type="spellStart"/>
      <w:r w:rsidRPr="007254E3">
        <w:t>Copepoda</w:t>
      </w:r>
      <w:proofErr w:type="spellEnd"/>
      <w:r w:rsidRPr="007254E3">
        <w:t xml:space="preserve"> richness (r = −0.417) indicate that crustacean zooplankton were adversely affected at sub-regulatory concentrations, consistent with laboratory evidence that Daphnia magna shows reproductive impairment at chronic Zn exposures below 0.10 mg/L (</w:t>
      </w:r>
      <w:proofErr w:type="spellStart"/>
      <w:r w:rsidRPr="007254E3">
        <w:t>Muyssen</w:t>
      </w:r>
      <w:proofErr w:type="spellEnd"/>
      <w:r w:rsidRPr="007254E3">
        <w:t xml:space="preserve"> &amp; Janssen, 2001). The positive correlation between Zn and BOD (r = 0.624) implies a shared organic waste source for both variables, warranting integrated catchment investigation.</w:t>
      </w:r>
    </w:p>
    <w:p w:rsidR="00C63236" w:rsidRPr="007254E3" w:rsidRDefault="004148AF">
      <w:pPr>
        <w:pStyle w:val="Heading1"/>
        <w:rPr>
          <w:color w:val="auto"/>
        </w:rPr>
      </w:pPr>
      <w:r w:rsidRPr="007254E3">
        <w:rPr>
          <w:color w:val="auto"/>
        </w:rPr>
        <w:lastRenderedPageBreak/>
        <w:t>4.4 Phytoplankton Community Composition and Distribution</w:t>
      </w:r>
    </w:p>
    <w:p w:rsidR="00C63236" w:rsidRPr="007254E3" w:rsidRDefault="004148AF" w:rsidP="00555920">
      <w:pPr>
        <w:spacing w:before="80" w:after="80" w:line="360" w:lineRule="auto"/>
        <w:ind w:firstLine="720"/>
        <w:jc w:val="both"/>
      </w:pPr>
      <w:r w:rsidRPr="007254E3">
        <w:t xml:space="preserve">A total of 54 phytoplankton species were identified across all sampling months, distributed among four taxonomic divisions: </w:t>
      </w:r>
      <w:proofErr w:type="spellStart"/>
      <w:r w:rsidRPr="007254E3">
        <w:t>Bacillariophyta</w:t>
      </w:r>
      <w:proofErr w:type="spellEnd"/>
      <w:r w:rsidRPr="007254E3">
        <w:t xml:space="preserve"> (16 species), </w:t>
      </w:r>
      <w:proofErr w:type="spellStart"/>
      <w:r w:rsidRPr="007254E3">
        <w:t>Chlorophyta</w:t>
      </w:r>
      <w:proofErr w:type="spellEnd"/>
      <w:r w:rsidRPr="007254E3">
        <w:t xml:space="preserve"> (16 species), </w:t>
      </w:r>
      <w:proofErr w:type="spellStart"/>
      <w:r w:rsidRPr="007254E3">
        <w:t>Cyanophyta</w:t>
      </w:r>
      <w:proofErr w:type="spellEnd"/>
      <w:r w:rsidRPr="007254E3">
        <w:t xml:space="preserve"> (12 species), and </w:t>
      </w:r>
      <w:proofErr w:type="spellStart"/>
      <w:r w:rsidRPr="007254E3">
        <w:t>Euglenophyta</w:t>
      </w:r>
      <w:proofErr w:type="spellEnd"/>
      <w:r w:rsidRPr="007254E3">
        <w:t xml:space="preserve"> (13 species). This species richness level is consistent with </w:t>
      </w:r>
      <w:proofErr w:type="spellStart"/>
      <w:r w:rsidRPr="007254E3">
        <w:t>mesotrophic</w:t>
      </w:r>
      <w:proofErr w:type="spellEnd"/>
      <w:r w:rsidRPr="007254E3">
        <w:t xml:space="preserve"> to eutrophic tropical freshwater bodies where physical disturbance, nutrient enrichment, and hydraulic mixing maintain diverse phytoplankton assemblages (</w:t>
      </w:r>
      <w:proofErr w:type="spellStart"/>
      <w:r w:rsidRPr="007254E3">
        <w:t>Padisák</w:t>
      </w:r>
      <w:proofErr w:type="spellEnd"/>
      <w:r w:rsidRPr="007254E3">
        <w:t xml:space="preserve"> et al., 2016). Figure 7 illustrates the relative contribution of each phytoplankton group across the three sampling months.</w:t>
      </w:r>
    </w:p>
    <w:p w:rsidR="00C63236" w:rsidRPr="007254E3" w:rsidRDefault="004148AF">
      <w:pPr>
        <w:spacing w:before="160" w:after="60"/>
        <w:jc w:val="center"/>
      </w:pPr>
      <w:r w:rsidRPr="007254E3">
        <w:rPr>
          <w:noProof/>
        </w:rPr>
        <w:drawing>
          <wp:inline distT="0" distB="0" distL="0" distR="0" wp14:anchorId="63CE6F60" wp14:editId="0193A346">
            <wp:extent cx="47625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429000"/>
                    </a:xfrm>
                    <a:prstGeom prst="rect">
                      <a:avLst/>
                    </a:prstGeom>
                  </pic:spPr>
                </pic:pic>
              </a:graphicData>
            </a:graphic>
          </wp:inline>
        </w:drawing>
      </w:r>
    </w:p>
    <w:p w:rsidR="00C63236" w:rsidRPr="007254E3" w:rsidRDefault="004148AF">
      <w:pPr>
        <w:spacing w:before="100" w:after="240"/>
        <w:jc w:val="center"/>
      </w:pPr>
      <w:r w:rsidRPr="007254E3">
        <w:rPr>
          <w:b/>
          <w:bCs/>
        </w:rPr>
        <w:t xml:space="preserve">Figure 7. </w:t>
      </w:r>
      <w:r w:rsidRPr="007254E3">
        <w:rPr>
          <w:i/>
          <w:iCs/>
          <w:sz w:val="22"/>
          <w:szCs w:val="22"/>
        </w:rPr>
        <w:t xml:space="preserve">Stacked bar chart showing the abundance of phytoplankton taxonomic groups across the three sampling months. Each </w:t>
      </w:r>
      <w:proofErr w:type="spellStart"/>
      <w:r w:rsidRPr="007254E3">
        <w:rPr>
          <w:i/>
          <w:iCs/>
          <w:sz w:val="22"/>
          <w:szCs w:val="22"/>
        </w:rPr>
        <w:t>colour</w:t>
      </w:r>
      <w:proofErr w:type="spellEnd"/>
      <w:r w:rsidRPr="007254E3">
        <w:rPr>
          <w:i/>
          <w:iCs/>
          <w:sz w:val="22"/>
          <w:szCs w:val="22"/>
        </w:rPr>
        <w:t xml:space="preserve"> represents one division; bar height reflects total species count for that month.</w:t>
      </w:r>
    </w:p>
    <w:p w:rsidR="00C63236" w:rsidRPr="007254E3" w:rsidRDefault="004148AF">
      <w:pPr>
        <w:spacing w:before="80" w:after="80" w:line="360" w:lineRule="auto"/>
        <w:ind w:firstLine="720"/>
        <w:jc w:val="both"/>
      </w:pPr>
      <w:r w:rsidRPr="007254E3">
        <w:t xml:space="preserve">Figure 7 demonstrates that </w:t>
      </w:r>
      <w:proofErr w:type="spellStart"/>
      <w:r w:rsidRPr="007254E3">
        <w:t>Bacillariophyta</w:t>
      </w:r>
      <w:proofErr w:type="spellEnd"/>
      <w:r w:rsidRPr="007254E3">
        <w:t xml:space="preserve"> (diatoms) remained the most abundant phytoplankton division across all three months, with total abundance increasing from July to September before declining slightly in November. </w:t>
      </w:r>
      <w:proofErr w:type="spellStart"/>
      <w:r w:rsidRPr="007254E3">
        <w:t>Cyanophyta</w:t>
      </w:r>
      <w:proofErr w:type="spellEnd"/>
      <w:r w:rsidRPr="007254E3">
        <w:t xml:space="preserve"> and </w:t>
      </w:r>
      <w:proofErr w:type="spellStart"/>
      <w:r w:rsidRPr="007254E3">
        <w:t>Chlorophyta</w:t>
      </w:r>
      <w:proofErr w:type="spellEnd"/>
      <w:r w:rsidRPr="007254E3">
        <w:t xml:space="preserve"> contributed similar proportions in each month, while </w:t>
      </w:r>
      <w:proofErr w:type="spellStart"/>
      <w:r w:rsidRPr="007254E3">
        <w:t>Euglenophyta</w:t>
      </w:r>
      <w:proofErr w:type="spellEnd"/>
      <w:r w:rsidRPr="007254E3">
        <w:t xml:space="preserve"> consistently represented the smallest fraction. The overall increase in phytoplankton abundance from July to September mirrors the </w:t>
      </w:r>
      <w:proofErr w:type="spellStart"/>
      <w:r w:rsidRPr="007254E3">
        <w:t>stabilisation</w:t>
      </w:r>
      <w:proofErr w:type="spellEnd"/>
      <w:r w:rsidRPr="007254E3">
        <w:t xml:space="preserve"> of physicochemical conditions following the</w:t>
      </w:r>
      <w:r w:rsidR="00DB0BA3">
        <w:t xml:space="preserve"> high-disturbance July period </w:t>
      </w:r>
      <w:r w:rsidRPr="007254E3">
        <w:lastRenderedPageBreak/>
        <w:t>consistent with the intermediate disturbance hypothesis, which predicts peak community establishment at moderate environmental stress levels (Connell, 1978).</w:t>
      </w:r>
    </w:p>
    <w:p w:rsidR="00C63236" w:rsidRPr="007254E3" w:rsidRDefault="00C63236">
      <w:pPr>
        <w:spacing w:before="60" w:after="60"/>
      </w:pPr>
    </w:p>
    <w:tbl>
      <w:tblPr>
        <w:tblW w:w="102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000"/>
        <w:gridCol w:w="2060"/>
        <w:gridCol w:w="1250"/>
        <w:gridCol w:w="1250"/>
      </w:tblGrid>
      <w:tr w:rsidR="007254E3" w:rsidRPr="007254E3">
        <w:trPr>
          <w:tblHeader/>
        </w:trPr>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Phytoplankton Division</w:t>
            </w:r>
          </w:p>
        </w:tc>
        <w:tc>
          <w:tcPr>
            <w:tcW w:w="1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No. of Species</w:t>
            </w:r>
          </w:p>
        </w:tc>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Total Abundance</w:t>
            </w:r>
          </w:p>
        </w:tc>
        <w:tc>
          <w:tcPr>
            <w:tcW w:w="20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Mean ± SD</w:t>
            </w:r>
          </w:p>
        </w:tc>
        <w:tc>
          <w:tcPr>
            <w:tcW w:w="125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Maximum</w:t>
            </w:r>
          </w:p>
        </w:tc>
        <w:tc>
          <w:tcPr>
            <w:tcW w:w="125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Minimum</w:t>
            </w:r>
          </w:p>
        </w:tc>
      </w:tr>
      <w:tr w:rsidR="007254E3" w:rsidRPr="007254E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proofErr w:type="spellStart"/>
            <w:r w:rsidRPr="007254E3">
              <w:rPr>
                <w:sz w:val="22"/>
                <w:szCs w:val="22"/>
              </w:rPr>
              <w:t>Bacillariophyta</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16</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92</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3.07 ± 1.84</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6</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0</w:t>
            </w:r>
          </w:p>
        </w:tc>
      </w:tr>
      <w:tr w:rsidR="007254E3" w:rsidRPr="007254E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proofErr w:type="spellStart"/>
            <w:r w:rsidRPr="007254E3">
              <w:rPr>
                <w:sz w:val="22"/>
                <w:szCs w:val="22"/>
              </w:rPr>
              <w:t>Chlorophyta</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68</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2.27 ± 1.66</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6</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0</w:t>
            </w:r>
          </w:p>
        </w:tc>
      </w:tr>
      <w:tr w:rsidR="007254E3" w:rsidRPr="007254E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proofErr w:type="spellStart"/>
            <w:r w:rsidRPr="007254E3">
              <w:rPr>
                <w:sz w:val="22"/>
                <w:szCs w:val="22"/>
              </w:rPr>
              <w:t>Cyanophyta</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72</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2.40 ± 1.57</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7</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0</w:t>
            </w:r>
          </w:p>
        </w:tc>
      </w:tr>
      <w:tr w:rsidR="007254E3" w:rsidRPr="007254E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proofErr w:type="spellStart"/>
            <w:r w:rsidRPr="007254E3">
              <w:rPr>
                <w:sz w:val="22"/>
                <w:szCs w:val="22"/>
              </w:rPr>
              <w:t>Euglenophyta</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44</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1.47 ± 1.33</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5</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0</w:t>
            </w:r>
          </w:p>
        </w:tc>
      </w:tr>
    </w:tbl>
    <w:p w:rsidR="00C63236" w:rsidRPr="007254E3" w:rsidRDefault="004148AF" w:rsidP="00555920">
      <w:pPr>
        <w:spacing w:before="100" w:after="200"/>
        <w:jc w:val="center"/>
      </w:pPr>
      <w:r w:rsidRPr="007254E3">
        <w:rPr>
          <w:b/>
          <w:bCs/>
        </w:rPr>
        <w:t xml:space="preserve">Table 10. </w:t>
      </w:r>
      <w:r w:rsidRPr="007254E3">
        <w:rPr>
          <w:i/>
          <w:iCs/>
          <w:sz w:val="22"/>
          <w:szCs w:val="22"/>
        </w:rPr>
        <w:t xml:space="preserve">Summary Statistics for Phytoplankton Group Abundance </w:t>
      </w:r>
      <w:proofErr w:type="gramStart"/>
      <w:r w:rsidRPr="007254E3">
        <w:rPr>
          <w:i/>
          <w:iCs/>
          <w:sz w:val="22"/>
          <w:szCs w:val="22"/>
        </w:rPr>
        <w:t>Across</w:t>
      </w:r>
      <w:proofErr w:type="gramEnd"/>
      <w:r w:rsidRPr="007254E3">
        <w:rPr>
          <w:i/>
          <w:iCs/>
          <w:sz w:val="22"/>
          <w:szCs w:val="22"/>
        </w:rPr>
        <w:t xml:space="preserve"> All Stations and Months</w:t>
      </w:r>
    </w:p>
    <w:p w:rsidR="00C63236" w:rsidRPr="007254E3" w:rsidRDefault="004148AF">
      <w:pPr>
        <w:pStyle w:val="Heading2"/>
        <w:rPr>
          <w:color w:val="auto"/>
        </w:rPr>
      </w:pPr>
      <w:r w:rsidRPr="007254E3">
        <w:rPr>
          <w:color w:val="auto"/>
        </w:rPr>
        <w:t xml:space="preserve">4.4.1 </w:t>
      </w:r>
      <w:proofErr w:type="spellStart"/>
      <w:r w:rsidRPr="007254E3">
        <w:rPr>
          <w:color w:val="auto"/>
        </w:rPr>
        <w:t>Bacillariophyta</w:t>
      </w:r>
      <w:proofErr w:type="spellEnd"/>
      <w:r w:rsidRPr="007254E3">
        <w:rPr>
          <w:color w:val="auto"/>
        </w:rPr>
        <w:t xml:space="preserve"> (Diatoms)</w:t>
      </w:r>
    </w:p>
    <w:p w:rsidR="00C63236" w:rsidRPr="007254E3" w:rsidRDefault="004148AF">
      <w:pPr>
        <w:spacing w:before="80" w:after="80" w:line="360" w:lineRule="auto"/>
        <w:ind w:firstLine="720"/>
        <w:jc w:val="both"/>
      </w:pPr>
      <w:proofErr w:type="spellStart"/>
      <w:r w:rsidRPr="007254E3">
        <w:t>Bacillariophyta</w:t>
      </w:r>
      <w:proofErr w:type="spellEnd"/>
      <w:r w:rsidRPr="007254E3">
        <w:t xml:space="preserve"> were the dominant phytoplankton division throughout the study (total = 92; mean = 3.07 ± 1.84 per station-month). The most widely recorded species was </w:t>
      </w:r>
      <w:proofErr w:type="spellStart"/>
      <w:r w:rsidRPr="007254E3">
        <w:t>Aulacoseira</w:t>
      </w:r>
      <w:proofErr w:type="spellEnd"/>
      <w:r w:rsidRPr="007254E3">
        <w:t xml:space="preserve"> </w:t>
      </w:r>
      <w:proofErr w:type="spellStart"/>
      <w:r w:rsidRPr="007254E3">
        <w:t>granulata</w:t>
      </w:r>
      <w:proofErr w:type="spellEnd"/>
      <w:r w:rsidRPr="007254E3">
        <w:t xml:space="preserve"> (20 station-month occurrences), consistent with its known preference for turbulent, nutrient-enriched waters with sufficient silica availability (</w:t>
      </w:r>
      <w:proofErr w:type="spellStart"/>
      <w:r w:rsidRPr="007254E3">
        <w:t>Kilham</w:t>
      </w:r>
      <w:proofErr w:type="spellEnd"/>
      <w:r w:rsidRPr="007254E3">
        <w:t xml:space="preserve"> et al., 1986). Other notable taxa included </w:t>
      </w:r>
      <w:proofErr w:type="spellStart"/>
      <w:r w:rsidRPr="007254E3">
        <w:t>Navicula</w:t>
      </w:r>
      <w:proofErr w:type="spellEnd"/>
      <w:r w:rsidRPr="007254E3">
        <w:t xml:space="preserve"> sp. and </w:t>
      </w:r>
      <w:proofErr w:type="spellStart"/>
      <w:r w:rsidRPr="007254E3">
        <w:t>Nitzschia</w:t>
      </w:r>
      <w:proofErr w:type="spellEnd"/>
      <w:r w:rsidRPr="007254E3">
        <w:t xml:space="preserve"> </w:t>
      </w:r>
      <w:proofErr w:type="spellStart"/>
      <w:r w:rsidRPr="007254E3">
        <w:t>palae</w:t>
      </w:r>
      <w:proofErr w:type="spellEnd"/>
      <w:r w:rsidRPr="007254E3">
        <w:t xml:space="preserve">, both recorded at 8 station-months each. The strong positive correlation between </w:t>
      </w:r>
      <w:proofErr w:type="spellStart"/>
      <w:r w:rsidRPr="007254E3">
        <w:t>Bacillariophyta</w:t>
      </w:r>
      <w:proofErr w:type="spellEnd"/>
      <w:r w:rsidRPr="007254E3">
        <w:t xml:space="preserve"> richness and overall species richness (r = 0.673) confirms diatoms as the principal driver of community diversity in this water body. Diatoms are widely used as </w:t>
      </w:r>
      <w:proofErr w:type="spellStart"/>
      <w:r w:rsidRPr="007254E3">
        <w:t>bioindicators</w:t>
      </w:r>
      <w:proofErr w:type="spellEnd"/>
      <w:r w:rsidRPr="007254E3">
        <w:t xml:space="preserve"> of water quality due to their sensitivity to pH, salinity, and organic loading (Round et al., 2007), a</w:t>
      </w:r>
      <w:r w:rsidR="00DB0BA3">
        <w:t xml:space="preserve">nd their distribution pattern </w:t>
      </w:r>
      <w:r w:rsidRPr="007254E3">
        <w:t>with greater richness at Stn1–Stn</w:t>
      </w:r>
      <w:r w:rsidR="00DB0BA3">
        <w:t>2 and Stn9–Stn10</w:t>
      </w:r>
      <w:r w:rsidRPr="007254E3">
        <w:t xml:space="preserve"> is consistent with the moderating DO and pH conditions at those stations relative to the mid-reach stations.</w:t>
      </w:r>
    </w:p>
    <w:p w:rsidR="00C63236" w:rsidRPr="007254E3" w:rsidRDefault="004148AF">
      <w:pPr>
        <w:pStyle w:val="Heading2"/>
        <w:rPr>
          <w:color w:val="auto"/>
        </w:rPr>
      </w:pPr>
      <w:r w:rsidRPr="007254E3">
        <w:rPr>
          <w:color w:val="auto"/>
        </w:rPr>
        <w:t xml:space="preserve">4.4.2 </w:t>
      </w:r>
      <w:proofErr w:type="spellStart"/>
      <w:r w:rsidRPr="007254E3">
        <w:rPr>
          <w:color w:val="auto"/>
        </w:rPr>
        <w:t>Chlorophyta</w:t>
      </w:r>
      <w:proofErr w:type="spellEnd"/>
      <w:r w:rsidRPr="007254E3">
        <w:rPr>
          <w:color w:val="auto"/>
        </w:rPr>
        <w:t xml:space="preserve"> and </w:t>
      </w:r>
      <w:proofErr w:type="spellStart"/>
      <w:r w:rsidRPr="007254E3">
        <w:rPr>
          <w:color w:val="auto"/>
        </w:rPr>
        <w:t>Euglenophyta</w:t>
      </w:r>
      <w:proofErr w:type="spellEnd"/>
    </w:p>
    <w:p w:rsidR="00C63236" w:rsidRPr="007254E3" w:rsidRDefault="004148AF">
      <w:pPr>
        <w:spacing w:before="80" w:after="80" w:line="360" w:lineRule="auto"/>
        <w:ind w:firstLine="720"/>
        <w:jc w:val="both"/>
      </w:pPr>
      <w:r w:rsidRPr="007254E3">
        <w:t xml:space="preserve">Sixteen </w:t>
      </w:r>
      <w:proofErr w:type="spellStart"/>
      <w:r w:rsidRPr="007254E3">
        <w:t>Chlorophyta</w:t>
      </w:r>
      <w:proofErr w:type="spellEnd"/>
      <w:r w:rsidRPr="007254E3">
        <w:t xml:space="preserve"> species were identified, including </w:t>
      </w:r>
      <w:proofErr w:type="spellStart"/>
      <w:r w:rsidRPr="007254E3">
        <w:t>Actinastrum</w:t>
      </w:r>
      <w:proofErr w:type="spellEnd"/>
      <w:r w:rsidRPr="007254E3">
        <w:t xml:space="preserve"> sp. (9 occurrences), </w:t>
      </w:r>
      <w:proofErr w:type="spellStart"/>
      <w:r w:rsidRPr="007254E3">
        <w:t>Ankistrodesmus</w:t>
      </w:r>
      <w:proofErr w:type="spellEnd"/>
      <w:r w:rsidRPr="007254E3">
        <w:t xml:space="preserve"> </w:t>
      </w:r>
      <w:proofErr w:type="spellStart"/>
      <w:r w:rsidRPr="007254E3">
        <w:t>falcatus</w:t>
      </w:r>
      <w:proofErr w:type="spellEnd"/>
      <w:r w:rsidRPr="007254E3">
        <w:t xml:space="preserve"> (8), and </w:t>
      </w:r>
      <w:proofErr w:type="spellStart"/>
      <w:r w:rsidRPr="007254E3">
        <w:t>Scenedesmus</w:t>
      </w:r>
      <w:proofErr w:type="spellEnd"/>
      <w:r w:rsidRPr="007254E3">
        <w:t xml:space="preserve"> </w:t>
      </w:r>
      <w:proofErr w:type="spellStart"/>
      <w:r w:rsidRPr="007254E3">
        <w:t>quadricauda</w:t>
      </w:r>
      <w:proofErr w:type="spellEnd"/>
      <w:r w:rsidRPr="007254E3">
        <w:t xml:space="preserve"> (5). Green algae characteristically thrive under </w:t>
      </w:r>
      <w:proofErr w:type="spellStart"/>
      <w:r w:rsidRPr="007254E3">
        <w:t>mesotrophic</w:t>
      </w:r>
      <w:proofErr w:type="spellEnd"/>
      <w:r w:rsidRPr="007254E3">
        <w:t xml:space="preserve"> to eutrophic conditions and often increase in representation as early-season competitive dominants decline (</w:t>
      </w:r>
      <w:proofErr w:type="spellStart"/>
      <w:r w:rsidRPr="007254E3">
        <w:t>Sommer</w:t>
      </w:r>
      <w:proofErr w:type="spellEnd"/>
      <w:r w:rsidRPr="007254E3">
        <w:t xml:space="preserve"> et al., 2012). The moderate negative correlation between </w:t>
      </w:r>
      <w:proofErr w:type="spellStart"/>
      <w:r w:rsidRPr="007254E3">
        <w:t>Chlorophyta</w:t>
      </w:r>
      <w:proofErr w:type="spellEnd"/>
      <w:r w:rsidRPr="007254E3">
        <w:t xml:space="preserve"> abundance and DO (r = −0.501) suggests proportionally greater green algal diversity during the lower-oxygen September–November period, possibly reflecting competitive release as DO-sensitive species declined. </w:t>
      </w:r>
      <w:proofErr w:type="spellStart"/>
      <w:r w:rsidRPr="007254E3">
        <w:t>Euglenophyta</w:t>
      </w:r>
      <w:proofErr w:type="spellEnd"/>
      <w:r w:rsidRPr="007254E3">
        <w:t xml:space="preserve"> </w:t>
      </w:r>
      <w:r w:rsidRPr="007254E3">
        <w:lastRenderedPageBreak/>
        <w:t xml:space="preserve">(total = 44; mean = 1.47 ± 1.33) were represented by Euglena sp. (8 occurrences), </w:t>
      </w:r>
      <w:proofErr w:type="spellStart"/>
      <w:r w:rsidRPr="007254E3">
        <w:t>Trachelomonas</w:t>
      </w:r>
      <w:proofErr w:type="spellEnd"/>
      <w:r w:rsidRPr="007254E3">
        <w:t xml:space="preserve"> sp. (10), and </w:t>
      </w:r>
      <w:proofErr w:type="spellStart"/>
      <w:r w:rsidRPr="007254E3">
        <w:t>Phacus</w:t>
      </w:r>
      <w:proofErr w:type="spellEnd"/>
      <w:r w:rsidRPr="007254E3">
        <w:t xml:space="preserve"> sp. (4). </w:t>
      </w:r>
      <w:proofErr w:type="spellStart"/>
      <w:r w:rsidRPr="007254E3">
        <w:t>Euglenophytes</w:t>
      </w:r>
      <w:proofErr w:type="spellEnd"/>
      <w:r w:rsidRPr="007254E3">
        <w:t xml:space="preserve"> are well-established </w:t>
      </w:r>
      <w:proofErr w:type="spellStart"/>
      <w:r w:rsidRPr="007254E3">
        <w:t>bioindicators</w:t>
      </w:r>
      <w:proofErr w:type="spellEnd"/>
      <w:r w:rsidRPr="007254E3">
        <w:t xml:space="preserve"> of organic enrichment, and their occurrence was skewed toward downstream stations with the highest BOD values (Stn6–Stn10), providing additional biological corroboration of organic pollution at those sites (</w:t>
      </w:r>
      <w:proofErr w:type="spellStart"/>
      <w:r w:rsidRPr="007254E3">
        <w:t>Wolowski</w:t>
      </w:r>
      <w:proofErr w:type="spellEnd"/>
      <w:r w:rsidRPr="007254E3">
        <w:t xml:space="preserve"> &amp; </w:t>
      </w:r>
      <w:proofErr w:type="spellStart"/>
      <w:r w:rsidRPr="007254E3">
        <w:t>Hindák</w:t>
      </w:r>
      <w:proofErr w:type="spellEnd"/>
      <w:r w:rsidRPr="007254E3">
        <w:t>, 2005).</w:t>
      </w:r>
    </w:p>
    <w:p w:rsidR="00C63236" w:rsidRPr="007254E3" w:rsidRDefault="004148AF">
      <w:pPr>
        <w:pStyle w:val="Heading2"/>
        <w:rPr>
          <w:color w:val="auto"/>
        </w:rPr>
      </w:pPr>
      <w:r w:rsidRPr="007254E3">
        <w:rPr>
          <w:color w:val="auto"/>
        </w:rPr>
        <w:t xml:space="preserve">4.4.3 </w:t>
      </w:r>
      <w:proofErr w:type="spellStart"/>
      <w:r w:rsidRPr="007254E3">
        <w:rPr>
          <w:color w:val="auto"/>
        </w:rPr>
        <w:t>Cyanophyta</w:t>
      </w:r>
      <w:proofErr w:type="spellEnd"/>
      <w:r w:rsidRPr="007254E3">
        <w:rPr>
          <w:color w:val="auto"/>
        </w:rPr>
        <w:t xml:space="preserve"> (Blue-Green Algae)</w:t>
      </w:r>
    </w:p>
    <w:p w:rsidR="00C63236" w:rsidRPr="007254E3" w:rsidRDefault="004148AF">
      <w:pPr>
        <w:spacing w:before="80" w:after="80" w:line="360" w:lineRule="auto"/>
        <w:ind w:firstLine="720"/>
        <w:jc w:val="both"/>
      </w:pPr>
      <w:proofErr w:type="spellStart"/>
      <w:r w:rsidRPr="007254E3">
        <w:t>Cyanophyta</w:t>
      </w:r>
      <w:proofErr w:type="spellEnd"/>
      <w:r w:rsidRPr="007254E3">
        <w:t xml:space="preserve"> (total = 72; mean = 2.40 ± 1.57) were present at all stations across all months. Dominant taxa included </w:t>
      </w:r>
      <w:proofErr w:type="spellStart"/>
      <w:r w:rsidRPr="007254E3">
        <w:t>Oscillatoria</w:t>
      </w:r>
      <w:proofErr w:type="spellEnd"/>
      <w:r w:rsidRPr="007254E3">
        <w:t xml:space="preserve"> </w:t>
      </w:r>
      <w:proofErr w:type="spellStart"/>
      <w:r w:rsidRPr="007254E3">
        <w:t>bornettia</w:t>
      </w:r>
      <w:proofErr w:type="spellEnd"/>
      <w:r w:rsidRPr="007254E3">
        <w:t xml:space="preserve"> (16 occurrences), </w:t>
      </w:r>
      <w:proofErr w:type="spellStart"/>
      <w:r w:rsidRPr="007254E3">
        <w:t>Oscillatoria</w:t>
      </w:r>
      <w:proofErr w:type="spellEnd"/>
      <w:r w:rsidRPr="007254E3">
        <w:t xml:space="preserve"> </w:t>
      </w:r>
      <w:proofErr w:type="spellStart"/>
      <w:r w:rsidRPr="007254E3">
        <w:t>granulata</w:t>
      </w:r>
      <w:proofErr w:type="spellEnd"/>
      <w:r w:rsidRPr="007254E3">
        <w:t xml:space="preserve"> (8), </w:t>
      </w:r>
      <w:proofErr w:type="spellStart"/>
      <w:r w:rsidRPr="007254E3">
        <w:t>Microcystis</w:t>
      </w:r>
      <w:proofErr w:type="spellEnd"/>
      <w:r w:rsidRPr="007254E3">
        <w:t xml:space="preserve"> </w:t>
      </w:r>
      <w:proofErr w:type="spellStart"/>
      <w:r w:rsidRPr="007254E3">
        <w:t>flos-aque</w:t>
      </w:r>
      <w:proofErr w:type="spellEnd"/>
      <w:r w:rsidRPr="007254E3">
        <w:t xml:space="preserve"> (7), and </w:t>
      </w:r>
      <w:proofErr w:type="spellStart"/>
      <w:r w:rsidRPr="007254E3">
        <w:t>Microcystis</w:t>
      </w:r>
      <w:proofErr w:type="spellEnd"/>
      <w:r w:rsidRPr="007254E3">
        <w:t xml:space="preserve"> </w:t>
      </w:r>
      <w:proofErr w:type="spellStart"/>
      <w:r w:rsidRPr="007254E3">
        <w:t>aeruginosa</w:t>
      </w:r>
      <w:proofErr w:type="spellEnd"/>
      <w:r w:rsidRPr="007254E3">
        <w:t xml:space="preserve"> (4). The occurrence of </w:t>
      </w:r>
      <w:proofErr w:type="spellStart"/>
      <w:r w:rsidRPr="007254E3">
        <w:t>Microcystis</w:t>
      </w:r>
      <w:proofErr w:type="spellEnd"/>
      <w:r w:rsidRPr="007254E3">
        <w:t xml:space="preserve"> species is particularly notable, as members of this genus are known producers of hepatotoxic </w:t>
      </w:r>
      <w:proofErr w:type="spellStart"/>
      <w:r w:rsidRPr="007254E3">
        <w:t>microcystins</w:t>
      </w:r>
      <w:proofErr w:type="spellEnd"/>
      <w:r w:rsidRPr="007254E3">
        <w:t xml:space="preserve"> and are </w:t>
      </w:r>
      <w:proofErr w:type="spellStart"/>
      <w:r w:rsidRPr="007254E3">
        <w:t>recognised</w:t>
      </w:r>
      <w:proofErr w:type="spellEnd"/>
      <w:r w:rsidRPr="007254E3">
        <w:t xml:space="preserve"> indicators of eutrophic conditions in African freshwater systems (</w:t>
      </w:r>
      <w:proofErr w:type="spellStart"/>
      <w:r w:rsidRPr="007254E3">
        <w:t>Codd</w:t>
      </w:r>
      <w:proofErr w:type="spellEnd"/>
      <w:r w:rsidRPr="007254E3">
        <w:t xml:space="preserve"> et al., 2005). </w:t>
      </w:r>
      <w:proofErr w:type="spellStart"/>
      <w:r w:rsidRPr="007254E3">
        <w:t>Cyanophyta</w:t>
      </w:r>
      <w:proofErr w:type="spellEnd"/>
      <w:r w:rsidRPr="007254E3">
        <w:t xml:space="preserve"> showed a moderate positive correlation with turbidity (r = 0.374), consistent with their well-documented buoyancy-regulation advantage in turbid, nutrient-enriched environments where they can access near-surface light unavailable to sinking diatoms (Chorus &amp; Bartram, 1999). The November peak of</w:t>
      </w:r>
      <w:r w:rsidR="00DB0BA3">
        <w:t xml:space="preserve"> 7 </w:t>
      </w:r>
      <w:proofErr w:type="spellStart"/>
      <w:r w:rsidR="00DB0BA3">
        <w:t>Cyanophyta</w:t>
      </w:r>
      <w:proofErr w:type="spellEnd"/>
      <w:r w:rsidR="00DB0BA3">
        <w:t xml:space="preserve"> species at Stn2 </w:t>
      </w:r>
      <w:r w:rsidRPr="007254E3">
        <w:t xml:space="preserve">the highest </w:t>
      </w:r>
      <w:proofErr w:type="spellStart"/>
      <w:r w:rsidRPr="007254E3">
        <w:t>cyanoph</w:t>
      </w:r>
      <w:r w:rsidR="00DB0BA3">
        <w:t>yte</w:t>
      </w:r>
      <w:proofErr w:type="spellEnd"/>
      <w:r w:rsidR="00DB0BA3">
        <w:t xml:space="preserve"> count in the entire study </w:t>
      </w:r>
      <w:r w:rsidRPr="007254E3">
        <w:t>signals progressive eutrophication pressure across the study period that warrants ongoing monitoring.</w:t>
      </w:r>
    </w:p>
    <w:p w:rsidR="00C63236" w:rsidRPr="007254E3" w:rsidRDefault="004148AF">
      <w:pPr>
        <w:pStyle w:val="Heading1"/>
        <w:rPr>
          <w:color w:val="auto"/>
        </w:rPr>
      </w:pPr>
      <w:r w:rsidRPr="007254E3">
        <w:rPr>
          <w:color w:val="auto"/>
        </w:rPr>
        <w:t>4.5 Zooplankton Community Composition and Distribution</w:t>
      </w:r>
    </w:p>
    <w:p w:rsidR="00C63236" w:rsidRPr="007254E3" w:rsidRDefault="004148AF">
      <w:pPr>
        <w:spacing w:before="80" w:after="80" w:line="360" w:lineRule="auto"/>
        <w:ind w:firstLine="720"/>
        <w:jc w:val="both"/>
      </w:pPr>
      <w:r w:rsidRPr="007254E3">
        <w:t xml:space="preserve">The zooplankton community comprised four functional groups: </w:t>
      </w:r>
      <w:proofErr w:type="spellStart"/>
      <w:r w:rsidRPr="007254E3">
        <w:t>Rotifera</w:t>
      </w:r>
      <w:proofErr w:type="spellEnd"/>
      <w:r w:rsidRPr="007254E3">
        <w:t xml:space="preserve">, </w:t>
      </w:r>
      <w:proofErr w:type="spellStart"/>
      <w:r w:rsidRPr="007254E3">
        <w:t>Cladocera</w:t>
      </w:r>
      <w:proofErr w:type="spellEnd"/>
      <w:r w:rsidRPr="007254E3">
        <w:t xml:space="preserve">, </w:t>
      </w:r>
      <w:proofErr w:type="spellStart"/>
      <w:r w:rsidRPr="007254E3">
        <w:t>Copepoda</w:t>
      </w:r>
      <w:proofErr w:type="spellEnd"/>
      <w:r w:rsidRPr="007254E3">
        <w:t xml:space="preserve">, and Protozoa, with a grand total abundance of 601 across all stations and months. Zooplankton serve as critical trophic links between primary producers and higher consumers; their community composition therefore reflects both food availability and the cumulative stresses imposed by physicochemical and contaminant gradients (Sterner &amp; </w:t>
      </w:r>
      <w:proofErr w:type="spellStart"/>
      <w:r w:rsidRPr="007254E3">
        <w:t>Elser</w:t>
      </w:r>
      <w:proofErr w:type="spellEnd"/>
      <w:r w:rsidRPr="007254E3">
        <w:t>, 2002). Figure 8 illustrates the relative abundance of each group across the three sampling months.</w:t>
      </w:r>
    </w:p>
    <w:p w:rsidR="00C63236" w:rsidRPr="007254E3" w:rsidRDefault="00C63236">
      <w:pPr>
        <w:spacing w:before="60" w:after="60"/>
      </w:pPr>
    </w:p>
    <w:p w:rsidR="00C63236" w:rsidRPr="007254E3" w:rsidRDefault="004148AF">
      <w:pPr>
        <w:spacing w:before="160" w:after="60"/>
        <w:jc w:val="center"/>
      </w:pPr>
      <w:r w:rsidRPr="007254E3">
        <w:rPr>
          <w:noProof/>
        </w:rPr>
        <w:lastRenderedPageBreak/>
        <w:drawing>
          <wp:inline distT="0" distB="0" distL="0" distR="0" wp14:anchorId="17EB6F67" wp14:editId="3E1D7406">
            <wp:extent cx="47625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429000"/>
                    </a:xfrm>
                    <a:prstGeom prst="rect">
                      <a:avLst/>
                    </a:prstGeom>
                  </pic:spPr>
                </pic:pic>
              </a:graphicData>
            </a:graphic>
          </wp:inline>
        </w:drawing>
      </w:r>
    </w:p>
    <w:p w:rsidR="00C63236" w:rsidRPr="007254E3" w:rsidRDefault="004148AF">
      <w:pPr>
        <w:spacing w:before="100" w:after="240"/>
        <w:jc w:val="center"/>
      </w:pPr>
      <w:r w:rsidRPr="007254E3">
        <w:rPr>
          <w:b/>
          <w:bCs/>
        </w:rPr>
        <w:t xml:space="preserve">Figure 8. </w:t>
      </w:r>
      <w:r w:rsidRPr="007254E3">
        <w:rPr>
          <w:i/>
          <w:iCs/>
          <w:sz w:val="22"/>
          <w:szCs w:val="22"/>
        </w:rPr>
        <w:t xml:space="preserve">Stacked bar chart showing zooplankton group abundance across three sampling months. </w:t>
      </w:r>
      <w:proofErr w:type="spellStart"/>
      <w:r w:rsidRPr="007254E3">
        <w:rPr>
          <w:i/>
          <w:iCs/>
          <w:sz w:val="22"/>
          <w:szCs w:val="22"/>
        </w:rPr>
        <w:t>Rotifera</w:t>
      </w:r>
      <w:proofErr w:type="spellEnd"/>
      <w:r w:rsidRPr="007254E3">
        <w:rPr>
          <w:i/>
          <w:iCs/>
          <w:sz w:val="22"/>
          <w:szCs w:val="22"/>
        </w:rPr>
        <w:t xml:space="preserve"> consistently dominated across all months, reflecting their tolerance of eutrophic and variable-oxygen conditions (Wallace &amp; Snell, 2010).</w:t>
      </w:r>
    </w:p>
    <w:p w:rsidR="00C63236" w:rsidRPr="007254E3" w:rsidRDefault="004148AF">
      <w:pPr>
        <w:spacing w:before="80" w:after="80" w:line="360" w:lineRule="auto"/>
        <w:ind w:firstLine="720"/>
        <w:jc w:val="both"/>
      </w:pPr>
      <w:r w:rsidRPr="007254E3">
        <w:t xml:space="preserve">Figure 8 shows that </w:t>
      </w:r>
      <w:proofErr w:type="spellStart"/>
      <w:r w:rsidRPr="007254E3">
        <w:t>Rotifera</w:t>
      </w:r>
      <w:proofErr w:type="spellEnd"/>
      <w:r w:rsidRPr="007254E3">
        <w:t xml:space="preserve"> dominated the zooplankton assemblage in every month, contributing 87 individuals in July, 100 in September, and 82 in November. Total zooplankton abundance peaked in September (265), corresponding to the period of highest phytoplankton abundance, and declined slightly in November (186). The temporal trajectory of zooplankton mirrors that of phytoplankton (Figure 7), consistent with a bottom-up food web coupling where phytoplankton availability drives zooplankton abundance (Sterner &amp; </w:t>
      </w:r>
      <w:proofErr w:type="spellStart"/>
      <w:r w:rsidRPr="007254E3">
        <w:t>Elser</w:t>
      </w:r>
      <w:proofErr w:type="spellEnd"/>
      <w:r w:rsidRPr="007254E3">
        <w:t>, 2002).</w:t>
      </w:r>
    </w:p>
    <w:p w:rsidR="00C63236" w:rsidRPr="007254E3" w:rsidRDefault="00C63236">
      <w:pPr>
        <w:spacing w:before="60" w:after="60"/>
      </w:pPr>
    </w:p>
    <w:tbl>
      <w:tblPr>
        <w:tblW w:w="102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000"/>
        <w:gridCol w:w="2060"/>
        <w:gridCol w:w="1250"/>
        <w:gridCol w:w="1250"/>
      </w:tblGrid>
      <w:tr w:rsidR="007254E3" w:rsidRPr="007254E3">
        <w:trPr>
          <w:tblHeader/>
        </w:trPr>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Zooplankton Group</w:t>
            </w:r>
          </w:p>
        </w:tc>
        <w:tc>
          <w:tcPr>
            <w:tcW w:w="1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No. of Species</w:t>
            </w:r>
          </w:p>
        </w:tc>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Total Abundance</w:t>
            </w:r>
          </w:p>
        </w:tc>
        <w:tc>
          <w:tcPr>
            <w:tcW w:w="20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Mean ± SD</w:t>
            </w:r>
          </w:p>
        </w:tc>
        <w:tc>
          <w:tcPr>
            <w:tcW w:w="125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Maximum</w:t>
            </w:r>
          </w:p>
        </w:tc>
        <w:tc>
          <w:tcPr>
            <w:tcW w:w="125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Minimum</w:t>
            </w:r>
          </w:p>
        </w:tc>
      </w:tr>
      <w:tr w:rsidR="007254E3" w:rsidRPr="007254E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proofErr w:type="spellStart"/>
            <w:r w:rsidRPr="007254E3">
              <w:rPr>
                <w:sz w:val="22"/>
                <w:szCs w:val="22"/>
              </w:rPr>
              <w:t>Rotifera</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269</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8.97 ± 2.46</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13</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5</w:t>
            </w:r>
          </w:p>
        </w:tc>
      </w:tr>
      <w:tr w:rsidR="007254E3" w:rsidRPr="007254E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proofErr w:type="spellStart"/>
            <w:r w:rsidRPr="007254E3">
              <w:rPr>
                <w:sz w:val="22"/>
                <w:szCs w:val="22"/>
              </w:rPr>
              <w:t>Cladocera</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118</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3.93 ± 1.36</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6</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w:t>
            </w:r>
          </w:p>
        </w:tc>
      </w:tr>
      <w:tr w:rsidR="007254E3" w:rsidRPr="007254E3">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proofErr w:type="spellStart"/>
            <w:r w:rsidRPr="007254E3">
              <w:rPr>
                <w:sz w:val="22"/>
                <w:szCs w:val="22"/>
              </w:rPr>
              <w:t>Copepoda</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107</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3.57 ± 1.33</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6</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w:t>
            </w:r>
          </w:p>
        </w:tc>
      </w:tr>
      <w:tr w:rsidR="007254E3" w:rsidRPr="007254E3">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Protozoa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107</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3.57 ± 1.59</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7</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w:t>
            </w:r>
          </w:p>
        </w:tc>
      </w:tr>
    </w:tbl>
    <w:p w:rsidR="00C63236" w:rsidRPr="007254E3" w:rsidRDefault="004148AF">
      <w:pPr>
        <w:spacing w:before="100" w:after="200"/>
        <w:jc w:val="center"/>
      </w:pPr>
      <w:r w:rsidRPr="007254E3">
        <w:rPr>
          <w:b/>
          <w:bCs/>
        </w:rPr>
        <w:t xml:space="preserve">Table 11. </w:t>
      </w:r>
      <w:r w:rsidRPr="007254E3">
        <w:rPr>
          <w:i/>
          <w:iCs/>
          <w:sz w:val="22"/>
          <w:szCs w:val="22"/>
        </w:rPr>
        <w:t xml:space="preserve">Summary Statistics for Zooplankton Group Abundance </w:t>
      </w:r>
      <w:proofErr w:type="gramStart"/>
      <w:r w:rsidRPr="007254E3">
        <w:rPr>
          <w:i/>
          <w:iCs/>
          <w:sz w:val="22"/>
          <w:szCs w:val="22"/>
        </w:rPr>
        <w:t>Across</w:t>
      </w:r>
      <w:proofErr w:type="gramEnd"/>
      <w:r w:rsidRPr="007254E3">
        <w:rPr>
          <w:i/>
          <w:iCs/>
          <w:sz w:val="22"/>
          <w:szCs w:val="22"/>
        </w:rPr>
        <w:t xml:space="preserve"> All Stations and Months</w:t>
      </w:r>
    </w:p>
    <w:p w:rsidR="00C63236" w:rsidRPr="007254E3" w:rsidRDefault="00C63236">
      <w:pPr>
        <w:spacing w:before="60" w:after="60"/>
      </w:pPr>
    </w:p>
    <w:p w:rsidR="00C63236" w:rsidRPr="007254E3" w:rsidRDefault="004148AF">
      <w:pPr>
        <w:pStyle w:val="Heading2"/>
        <w:rPr>
          <w:color w:val="auto"/>
        </w:rPr>
      </w:pPr>
      <w:r w:rsidRPr="007254E3">
        <w:rPr>
          <w:color w:val="auto"/>
        </w:rPr>
        <w:lastRenderedPageBreak/>
        <w:t xml:space="preserve">4.5.1 </w:t>
      </w:r>
      <w:proofErr w:type="spellStart"/>
      <w:r w:rsidRPr="007254E3">
        <w:rPr>
          <w:color w:val="auto"/>
        </w:rPr>
        <w:t>Rotifera</w:t>
      </w:r>
      <w:proofErr w:type="spellEnd"/>
    </w:p>
    <w:p w:rsidR="00C63236" w:rsidRPr="007254E3" w:rsidRDefault="004148AF">
      <w:pPr>
        <w:spacing w:before="80" w:after="80" w:line="360" w:lineRule="auto"/>
        <w:ind w:firstLine="720"/>
        <w:jc w:val="both"/>
      </w:pPr>
      <w:proofErr w:type="spellStart"/>
      <w:r w:rsidRPr="007254E3">
        <w:t>Rotifera</w:t>
      </w:r>
      <w:proofErr w:type="spellEnd"/>
      <w:r w:rsidRPr="007254E3">
        <w:t xml:space="preserve"> dominated the zooplankton community with a total abundance of 269 (mean = 8</w:t>
      </w:r>
      <w:r w:rsidR="00DB0BA3">
        <w:t xml:space="preserve">.97 ± 2.46 per station-month) </w:t>
      </w:r>
      <w:r w:rsidRPr="007254E3">
        <w:t xml:space="preserve">the highest mean among all biological groups assessed. Key taxa included </w:t>
      </w:r>
      <w:proofErr w:type="spellStart"/>
      <w:r w:rsidRPr="007254E3">
        <w:t>Keratella</w:t>
      </w:r>
      <w:proofErr w:type="spellEnd"/>
      <w:r w:rsidRPr="007254E3">
        <w:t xml:space="preserve"> </w:t>
      </w:r>
      <w:proofErr w:type="spellStart"/>
      <w:r w:rsidRPr="007254E3">
        <w:t>quadrata</w:t>
      </w:r>
      <w:proofErr w:type="spellEnd"/>
      <w:r w:rsidRPr="007254E3">
        <w:t xml:space="preserve">, </w:t>
      </w:r>
      <w:proofErr w:type="spellStart"/>
      <w:r w:rsidRPr="007254E3">
        <w:t>Asplanchna</w:t>
      </w:r>
      <w:proofErr w:type="spellEnd"/>
      <w:r w:rsidRPr="007254E3">
        <w:t xml:space="preserve"> </w:t>
      </w:r>
      <w:proofErr w:type="spellStart"/>
      <w:r w:rsidRPr="007254E3">
        <w:t>brightwelli</w:t>
      </w:r>
      <w:proofErr w:type="spellEnd"/>
      <w:r w:rsidRPr="007254E3">
        <w:t xml:space="preserve">, </w:t>
      </w:r>
      <w:proofErr w:type="spellStart"/>
      <w:r w:rsidRPr="007254E3">
        <w:t>Brachionus</w:t>
      </w:r>
      <w:proofErr w:type="spellEnd"/>
      <w:r w:rsidRPr="007254E3">
        <w:t xml:space="preserve"> </w:t>
      </w:r>
      <w:proofErr w:type="spellStart"/>
      <w:r w:rsidRPr="007254E3">
        <w:t>angularis</w:t>
      </w:r>
      <w:proofErr w:type="spellEnd"/>
      <w:r w:rsidRPr="007254E3">
        <w:t xml:space="preserve">, and </w:t>
      </w:r>
      <w:proofErr w:type="spellStart"/>
      <w:r w:rsidRPr="007254E3">
        <w:t>Rotaria</w:t>
      </w:r>
      <w:proofErr w:type="spellEnd"/>
      <w:r w:rsidRPr="007254E3">
        <w:t xml:space="preserve"> </w:t>
      </w:r>
      <w:proofErr w:type="spellStart"/>
      <w:r w:rsidRPr="007254E3">
        <w:t>rotatoria</w:t>
      </w:r>
      <w:proofErr w:type="spellEnd"/>
      <w:r w:rsidRPr="007254E3">
        <w:t>. Rotifers are widely documented as resilient, early-</w:t>
      </w:r>
      <w:proofErr w:type="spellStart"/>
      <w:r w:rsidRPr="007254E3">
        <w:t>colonising</w:t>
      </w:r>
      <w:proofErr w:type="spellEnd"/>
      <w:r w:rsidRPr="007254E3">
        <w:t xml:space="preserve"> organisms in eutrophic and organically enriched systems, owing to their short generation times, </w:t>
      </w:r>
      <w:proofErr w:type="spellStart"/>
      <w:r w:rsidRPr="007254E3">
        <w:t>parthenogenetic</w:t>
      </w:r>
      <w:proofErr w:type="spellEnd"/>
      <w:r w:rsidRPr="007254E3">
        <w:t xml:space="preserve"> reproduction, and broad physiological tolerance ranges (Wallace &amp; Snell, 2010). Their persistence at high abundance across all ten stations, including those with near-threshold DO and elevated BOD, reflects these adaptive attributes. The positive correlation between </w:t>
      </w:r>
      <w:proofErr w:type="spellStart"/>
      <w:r w:rsidRPr="007254E3">
        <w:t>Rotifera</w:t>
      </w:r>
      <w:proofErr w:type="spellEnd"/>
      <w:r w:rsidRPr="007254E3">
        <w:t xml:space="preserve"> and </w:t>
      </w:r>
      <w:proofErr w:type="spellStart"/>
      <w:r w:rsidRPr="007254E3">
        <w:t>Mn</w:t>
      </w:r>
      <w:proofErr w:type="spellEnd"/>
      <w:r w:rsidRPr="007254E3">
        <w:t xml:space="preserve"> (r = 0.454) may reflect rotifer exploitation of Mn-cycling microbial communities, providing an indirect energetic benefit in metal-enriched microenvironments (</w:t>
      </w:r>
      <w:proofErr w:type="spellStart"/>
      <w:r w:rsidRPr="007254E3">
        <w:t>Adakole</w:t>
      </w:r>
      <w:proofErr w:type="spellEnd"/>
      <w:r w:rsidRPr="007254E3">
        <w:t xml:space="preserve"> &amp; </w:t>
      </w:r>
      <w:proofErr w:type="spellStart"/>
      <w:r w:rsidRPr="007254E3">
        <w:t>Ande</w:t>
      </w:r>
      <w:proofErr w:type="spellEnd"/>
      <w:r w:rsidRPr="007254E3">
        <w:t>, 2021).</w:t>
      </w:r>
    </w:p>
    <w:p w:rsidR="00C63236" w:rsidRPr="007254E3" w:rsidRDefault="004148AF">
      <w:pPr>
        <w:pStyle w:val="Heading2"/>
        <w:rPr>
          <w:color w:val="auto"/>
        </w:rPr>
      </w:pPr>
      <w:r w:rsidRPr="007254E3">
        <w:rPr>
          <w:color w:val="auto"/>
        </w:rPr>
        <w:t xml:space="preserve">4.5.2 </w:t>
      </w:r>
      <w:proofErr w:type="spellStart"/>
      <w:r w:rsidRPr="007254E3">
        <w:rPr>
          <w:color w:val="auto"/>
        </w:rPr>
        <w:t>Cladocera</w:t>
      </w:r>
      <w:proofErr w:type="spellEnd"/>
      <w:r w:rsidRPr="007254E3">
        <w:rPr>
          <w:color w:val="auto"/>
        </w:rPr>
        <w:t xml:space="preserve"> and </w:t>
      </w:r>
      <w:proofErr w:type="spellStart"/>
      <w:r w:rsidRPr="007254E3">
        <w:rPr>
          <w:color w:val="auto"/>
        </w:rPr>
        <w:t>Copepoda</w:t>
      </w:r>
      <w:proofErr w:type="spellEnd"/>
    </w:p>
    <w:p w:rsidR="00C63236" w:rsidRPr="007254E3" w:rsidRDefault="004148AF">
      <w:pPr>
        <w:spacing w:before="80" w:after="80" w:line="360" w:lineRule="auto"/>
        <w:ind w:firstLine="720"/>
        <w:jc w:val="both"/>
      </w:pPr>
      <w:proofErr w:type="spellStart"/>
      <w:r w:rsidRPr="007254E3">
        <w:t>Cladocera</w:t>
      </w:r>
      <w:proofErr w:type="spellEnd"/>
      <w:r w:rsidRPr="007254E3">
        <w:t xml:space="preserve"> (total = 118; mean = 3.93 ± 1.36) were represented by Daphnia </w:t>
      </w:r>
      <w:proofErr w:type="spellStart"/>
      <w:r w:rsidRPr="007254E3">
        <w:t>longispina</w:t>
      </w:r>
      <w:proofErr w:type="spellEnd"/>
      <w:r w:rsidRPr="007254E3">
        <w:t xml:space="preserve">, Daphnia </w:t>
      </w:r>
      <w:proofErr w:type="spellStart"/>
      <w:r w:rsidRPr="007254E3">
        <w:t>pulex</w:t>
      </w:r>
      <w:proofErr w:type="spellEnd"/>
      <w:r w:rsidRPr="007254E3">
        <w:t xml:space="preserve">, </w:t>
      </w:r>
      <w:proofErr w:type="spellStart"/>
      <w:r w:rsidRPr="007254E3">
        <w:t>Moina</w:t>
      </w:r>
      <w:proofErr w:type="spellEnd"/>
      <w:r w:rsidRPr="007254E3">
        <w:t xml:space="preserve"> </w:t>
      </w:r>
      <w:proofErr w:type="spellStart"/>
      <w:r w:rsidRPr="007254E3">
        <w:t>micrura</w:t>
      </w:r>
      <w:proofErr w:type="spellEnd"/>
      <w:r w:rsidRPr="007254E3">
        <w:t xml:space="preserve">, and </w:t>
      </w:r>
      <w:proofErr w:type="spellStart"/>
      <w:r w:rsidRPr="007254E3">
        <w:t>Moina</w:t>
      </w:r>
      <w:proofErr w:type="spellEnd"/>
      <w:r w:rsidRPr="007254E3">
        <w:t xml:space="preserve"> </w:t>
      </w:r>
      <w:proofErr w:type="spellStart"/>
      <w:r w:rsidRPr="007254E3">
        <w:t>macrocopa</w:t>
      </w:r>
      <w:proofErr w:type="spellEnd"/>
      <w:r w:rsidRPr="007254E3">
        <w:t xml:space="preserve">, among others. Daphnia species are widely </w:t>
      </w:r>
      <w:proofErr w:type="spellStart"/>
      <w:r w:rsidRPr="007254E3">
        <w:t>recognised</w:t>
      </w:r>
      <w:proofErr w:type="spellEnd"/>
      <w:r w:rsidRPr="007254E3">
        <w:t xml:space="preserve"> as sensitive </w:t>
      </w:r>
      <w:proofErr w:type="spellStart"/>
      <w:r w:rsidRPr="007254E3">
        <w:t>bioindicators</w:t>
      </w:r>
      <w:proofErr w:type="spellEnd"/>
      <w:r w:rsidRPr="007254E3">
        <w:t>, with documented reproductive impairment at chronic Zn concentrations below 0.10 mg/L (</w:t>
      </w:r>
      <w:proofErr w:type="spellStart"/>
      <w:r w:rsidRPr="007254E3">
        <w:t>Muyssen</w:t>
      </w:r>
      <w:proofErr w:type="spellEnd"/>
      <w:r w:rsidRPr="007254E3">
        <w:t xml:space="preserve"> &amp; Janssen, 2001). The negative correlation between </w:t>
      </w:r>
      <w:proofErr w:type="spellStart"/>
      <w:r w:rsidRPr="007254E3">
        <w:t>Cladocera</w:t>
      </w:r>
      <w:proofErr w:type="spellEnd"/>
      <w:r w:rsidRPr="007254E3">
        <w:t xml:space="preserve"> and Zn (r = −0.434) provides empirical support for Zn-driven </w:t>
      </w:r>
      <w:proofErr w:type="spellStart"/>
      <w:r w:rsidRPr="007254E3">
        <w:t>cladoceran</w:t>
      </w:r>
      <w:proofErr w:type="spellEnd"/>
      <w:r w:rsidRPr="007254E3">
        <w:t xml:space="preserve"> stress in this study, particularly at Stn9 whe</w:t>
      </w:r>
      <w:r w:rsidR="00DB0BA3">
        <w:t>re July Zn reached 0.243 mg/L the highest value recorded</w:t>
      </w:r>
      <w:r w:rsidRPr="007254E3">
        <w:t xml:space="preserve"> and </w:t>
      </w:r>
      <w:proofErr w:type="spellStart"/>
      <w:r w:rsidRPr="007254E3">
        <w:t>Cladocera</w:t>
      </w:r>
      <w:proofErr w:type="spellEnd"/>
      <w:r w:rsidRPr="007254E3">
        <w:t xml:space="preserve"> richness was at its minimum of just one species. </w:t>
      </w:r>
      <w:proofErr w:type="spellStart"/>
      <w:r w:rsidRPr="007254E3">
        <w:t>Copepoda</w:t>
      </w:r>
      <w:proofErr w:type="spellEnd"/>
      <w:r w:rsidRPr="007254E3">
        <w:t xml:space="preserve"> (total = 107; mean = 3.57 ± 1.33) included Cyclops </w:t>
      </w:r>
      <w:proofErr w:type="spellStart"/>
      <w:r w:rsidRPr="007254E3">
        <w:t>strenuus</w:t>
      </w:r>
      <w:proofErr w:type="spellEnd"/>
      <w:r w:rsidRPr="007254E3">
        <w:t xml:space="preserve">, </w:t>
      </w:r>
      <w:proofErr w:type="spellStart"/>
      <w:r w:rsidRPr="007254E3">
        <w:t>Mesocyclops</w:t>
      </w:r>
      <w:proofErr w:type="spellEnd"/>
      <w:r w:rsidRPr="007254E3">
        <w:t xml:space="preserve"> </w:t>
      </w:r>
      <w:proofErr w:type="spellStart"/>
      <w:r w:rsidRPr="007254E3">
        <w:t>leuckarti</w:t>
      </w:r>
      <w:proofErr w:type="spellEnd"/>
      <w:r w:rsidRPr="007254E3">
        <w:t xml:space="preserve">, </w:t>
      </w:r>
      <w:proofErr w:type="spellStart"/>
      <w:r w:rsidRPr="007254E3">
        <w:t>Diaptomus</w:t>
      </w:r>
      <w:proofErr w:type="spellEnd"/>
      <w:r w:rsidRPr="007254E3">
        <w:t xml:space="preserve"> sp., and </w:t>
      </w:r>
      <w:proofErr w:type="spellStart"/>
      <w:r w:rsidRPr="007254E3">
        <w:t>Diaptomus</w:t>
      </w:r>
      <w:proofErr w:type="spellEnd"/>
      <w:r w:rsidRPr="007254E3">
        <w:t xml:space="preserve"> </w:t>
      </w:r>
      <w:proofErr w:type="spellStart"/>
      <w:r w:rsidRPr="007254E3">
        <w:t>gracilis</w:t>
      </w:r>
      <w:proofErr w:type="spellEnd"/>
      <w:r w:rsidRPr="007254E3">
        <w:t xml:space="preserve">. Copepods showed a similarly negative correlation with Zn (r = −0.417), reinforcing the differential vulnerability of crustacean zooplankton to sub-threshold trace metal concentrations (Rainbow, 2002). Protozoa (total = 107; mean = 3.57 ± 1.59) were represented by Paramecium </w:t>
      </w:r>
      <w:proofErr w:type="spellStart"/>
      <w:r w:rsidRPr="007254E3">
        <w:t>bursaria</w:t>
      </w:r>
      <w:proofErr w:type="spellEnd"/>
      <w:r w:rsidRPr="007254E3">
        <w:t xml:space="preserve">, </w:t>
      </w:r>
      <w:proofErr w:type="spellStart"/>
      <w:r w:rsidRPr="007254E3">
        <w:t>Stentor</w:t>
      </w:r>
      <w:proofErr w:type="spellEnd"/>
      <w:r w:rsidRPr="007254E3">
        <w:t xml:space="preserve"> sp., and Euglena </w:t>
      </w:r>
      <w:proofErr w:type="spellStart"/>
      <w:r w:rsidRPr="007254E3">
        <w:t>gracilis</w:t>
      </w:r>
      <w:proofErr w:type="spellEnd"/>
      <w:r w:rsidRPr="007254E3">
        <w:t>, showing mild thermal sensitivity (r = −0.236 with temperature).</w:t>
      </w:r>
    </w:p>
    <w:p w:rsidR="00C63236" w:rsidRPr="007254E3" w:rsidRDefault="004148AF">
      <w:pPr>
        <w:pStyle w:val="Heading1"/>
        <w:rPr>
          <w:color w:val="auto"/>
        </w:rPr>
      </w:pPr>
      <w:r w:rsidRPr="007254E3">
        <w:rPr>
          <w:color w:val="auto"/>
        </w:rPr>
        <w:t>4.6 Total Plankton Abundance and Seasonal Patterns</w:t>
      </w:r>
    </w:p>
    <w:p w:rsidR="00C63236" w:rsidRPr="007254E3" w:rsidRDefault="004148AF">
      <w:pPr>
        <w:spacing w:before="80" w:after="80" w:line="360" w:lineRule="auto"/>
        <w:ind w:firstLine="720"/>
        <w:jc w:val="both"/>
      </w:pPr>
      <w:r w:rsidRPr="007254E3">
        <w:t xml:space="preserve">Grand total plankton abundance across all stations and months was 882, with September recording the highest overall count (317), followed closely by November (306) and </w:t>
      </w:r>
      <w:r w:rsidRPr="007254E3">
        <w:lastRenderedPageBreak/>
        <w:t>July (259). This se</w:t>
      </w:r>
      <w:r w:rsidR="00DB0BA3">
        <w:t xml:space="preserve">asonal hierarchy </w:t>
      </w:r>
      <w:r w:rsidRPr="007254E3">
        <w:t>with July recording the lowest abundance despite exhibiting</w:t>
      </w:r>
      <w:r w:rsidR="00DB0BA3">
        <w:t xml:space="preserve"> the highest BOD and DO values</w:t>
      </w:r>
      <w:r w:rsidRPr="007254E3">
        <w:t xml:space="preserve"> likely reflects a community lag response following the high-disturbance, high-turbidity July period, as well as the suppressive effects of extreme BOD and turbidity on sensitive taxa during that month. The Plankton Ecology Group (PEG) model of seasonal succession identifies such high-disturbance periods as initial </w:t>
      </w:r>
      <w:proofErr w:type="spellStart"/>
      <w:r w:rsidRPr="007254E3">
        <w:t>colonisation</w:t>
      </w:r>
      <w:proofErr w:type="spellEnd"/>
      <w:r w:rsidRPr="007254E3">
        <w:t>-depressing events, with community richness recovering as conditions moderate (</w:t>
      </w:r>
      <w:proofErr w:type="spellStart"/>
      <w:r w:rsidRPr="007254E3">
        <w:t>Sommer</w:t>
      </w:r>
      <w:proofErr w:type="spellEnd"/>
      <w:r w:rsidRPr="007254E3">
        <w:t xml:space="preserve"> et al., 2012). The higher September abundance coincides with </w:t>
      </w:r>
      <w:proofErr w:type="spellStart"/>
      <w:r w:rsidRPr="007254E3">
        <w:t>stabilising</w:t>
      </w:r>
      <w:proofErr w:type="spellEnd"/>
      <w:r w:rsidRPr="007254E3">
        <w:t xml:space="preserve"> turbidity, d</w:t>
      </w:r>
      <w:r w:rsidR="00DB0BA3">
        <w:t>eclining BOD, and improving pH</w:t>
      </w:r>
      <w:r w:rsidRPr="007254E3">
        <w:t xml:space="preserve"> conditions that </w:t>
      </w:r>
      <w:proofErr w:type="spellStart"/>
      <w:r w:rsidRPr="007254E3">
        <w:t>favour</w:t>
      </w:r>
      <w:proofErr w:type="spellEnd"/>
      <w:r w:rsidRPr="007254E3">
        <w:t xml:space="preserve"> broader community establishment across both phytoplankton and zooplankton.</w:t>
      </w:r>
    </w:p>
    <w:p w:rsidR="00C63236" w:rsidRPr="007254E3" w:rsidRDefault="00C63236">
      <w:pPr>
        <w:spacing w:before="60" w:after="60"/>
      </w:pP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60"/>
        <w:gridCol w:w="3460"/>
      </w:tblGrid>
      <w:tr w:rsidR="007254E3" w:rsidRPr="007254E3">
        <w:trPr>
          <w:tblHeader/>
        </w:trPr>
        <w:tc>
          <w:tcPr>
            <w:tcW w:w="234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Month</w:t>
            </w:r>
          </w:p>
        </w:tc>
        <w:tc>
          <w:tcPr>
            <w:tcW w:w="3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Total Plankton Abundance</w:t>
            </w:r>
          </w:p>
        </w:tc>
        <w:tc>
          <w:tcPr>
            <w:tcW w:w="34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Rank</w:t>
            </w:r>
          </w:p>
        </w:tc>
      </w:tr>
      <w:tr w:rsidR="007254E3" w:rsidRPr="007254E3">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July</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259</w:t>
            </w:r>
          </w:p>
        </w:tc>
        <w:tc>
          <w:tcPr>
            <w:tcW w:w="34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3rd (lowest)</w:t>
            </w:r>
          </w:p>
        </w:tc>
      </w:tr>
      <w:tr w:rsidR="007254E3" w:rsidRPr="007254E3">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September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317</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1st (highest)</w:t>
            </w:r>
          </w:p>
        </w:tc>
      </w:tr>
      <w:tr w:rsidR="007254E3" w:rsidRPr="007254E3">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November</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306</w:t>
            </w:r>
          </w:p>
        </w:tc>
        <w:tc>
          <w:tcPr>
            <w:tcW w:w="34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2nd</w:t>
            </w:r>
          </w:p>
        </w:tc>
      </w:tr>
    </w:tbl>
    <w:p w:rsidR="00C63236" w:rsidRPr="007254E3" w:rsidRDefault="004148AF">
      <w:pPr>
        <w:spacing w:before="100" w:after="200"/>
        <w:jc w:val="center"/>
      </w:pPr>
      <w:r w:rsidRPr="007254E3">
        <w:rPr>
          <w:b/>
          <w:bCs/>
        </w:rPr>
        <w:t xml:space="preserve">Table 12. </w:t>
      </w:r>
      <w:r w:rsidRPr="007254E3">
        <w:rPr>
          <w:i/>
          <w:iCs/>
          <w:sz w:val="22"/>
          <w:szCs w:val="22"/>
        </w:rPr>
        <w:t>Total Plankton Abundance by Sampling Month</w:t>
      </w:r>
    </w:p>
    <w:p w:rsidR="00C63236" w:rsidRPr="007254E3" w:rsidRDefault="00C63236">
      <w:pPr>
        <w:spacing w:before="60" w:after="60"/>
      </w:pPr>
    </w:p>
    <w:p w:rsidR="00C63236" w:rsidRPr="007254E3" w:rsidRDefault="004148AF">
      <w:pPr>
        <w:pStyle w:val="Heading1"/>
        <w:rPr>
          <w:color w:val="auto"/>
        </w:rPr>
      </w:pPr>
      <w:r w:rsidRPr="007254E3">
        <w:rPr>
          <w:color w:val="auto"/>
        </w:rPr>
        <w:t>4.7 Species Richness</w:t>
      </w:r>
    </w:p>
    <w:p w:rsidR="00C63236" w:rsidRPr="007254E3" w:rsidRDefault="00DB0BA3">
      <w:pPr>
        <w:spacing w:before="80" w:after="80" w:line="360" w:lineRule="auto"/>
        <w:ind w:firstLine="720"/>
        <w:jc w:val="both"/>
      </w:pPr>
      <w:r>
        <w:t xml:space="preserve">Species richness </w:t>
      </w:r>
      <w:r w:rsidR="004148AF" w:rsidRPr="007254E3">
        <w:t>the total number of distinct ta</w:t>
      </w:r>
      <w:r>
        <w:t xml:space="preserve">xa recorded per sampling unit </w:t>
      </w:r>
      <w:r w:rsidR="004148AF" w:rsidRPr="007254E3">
        <w:t xml:space="preserve">increased progressively from July (cumulative total: 64) to September (100) to November (117), representing an 83% increase across the study period. This temporal trajectory is consistent with patterns of gradual environmental </w:t>
      </w:r>
      <w:proofErr w:type="spellStart"/>
      <w:r w:rsidR="004148AF" w:rsidRPr="007254E3">
        <w:t>stabilisation</w:t>
      </w:r>
      <w:proofErr w:type="spellEnd"/>
      <w:r w:rsidR="004148AF" w:rsidRPr="007254E3">
        <w:t xml:space="preserve"> and community succession documented in other tropical freshwater studies following seasonal wet-season disturbance (</w:t>
      </w:r>
      <w:proofErr w:type="spellStart"/>
      <w:r w:rsidR="004148AF" w:rsidRPr="007254E3">
        <w:t>Ogamba</w:t>
      </w:r>
      <w:proofErr w:type="spellEnd"/>
      <w:r w:rsidR="004148AF" w:rsidRPr="007254E3">
        <w:t xml:space="preserve"> et al., 2020). The full station-by-month breakdown is presented in Table 13 and Figure 9.</w:t>
      </w:r>
    </w:p>
    <w:p w:rsidR="00C63236" w:rsidRPr="007254E3" w:rsidRDefault="00C63236">
      <w:pPr>
        <w:spacing w:before="60" w:after="60"/>
      </w:pP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950"/>
        <w:gridCol w:w="1950"/>
        <w:gridCol w:w="1950"/>
        <w:gridCol w:w="1950"/>
      </w:tblGrid>
      <w:tr w:rsidR="007254E3" w:rsidRPr="007254E3">
        <w:trPr>
          <w:tblHeader/>
        </w:trPr>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Station</w:t>
            </w:r>
          </w:p>
        </w:tc>
        <w:tc>
          <w:tcPr>
            <w:tcW w:w="195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July</w:t>
            </w:r>
          </w:p>
        </w:tc>
        <w:tc>
          <w:tcPr>
            <w:tcW w:w="195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September</w:t>
            </w:r>
          </w:p>
        </w:tc>
        <w:tc>
          <w:tcPr>
            <w:tcW w:w="195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November</w:t>
            </w:r>
          </w:p>
        </w:tc>
        <w:tc>
          <w:tcPr>
            <w:tcW w:w="195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63236" w:rsidRPr="007254E3" w:rsidRDefault="004148AF">
            <w:pPr>
              <w:jc w:val="center"/>
            </w:pPr>
            <w:r w:rsidRPr="007254E3">
              <w:rPr>
                <w:b/>
                <w:bCs/>
                <w:sz w:val="22"/>
                <w:szCs w:val="22"/>
              </w:rPr>
              <w:t>Station Total</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Stn1</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7</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12</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8</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27</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Stn2</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8</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10</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15</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33</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Stn3</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4</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7</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7</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18</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Stn4</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7</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9</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13</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29</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Stn5</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11</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10</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10</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31</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lastRenderedPageBreak/>
              <w:t>Stn6</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5</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12</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11</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28</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Stn7</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7</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18</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27</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Stn8</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13</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10</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24</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Stn9</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7</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10</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14</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31</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Stn10</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12</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10</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11</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63236" w:rsidRPr="007254E3" w:rsidRDefault="004148AF">
            <w:pPr>
              <w:jc w:val="center"/>
            </w:pPr>
            <w:r w:rsidRPr="007254E3">
              <w:rPr>
                <w:sz w:val="22"/>
                <w:szCs w:val="22"/>
              </w:rPr>
              <w:t>33</w:t>
            </w:r>
          </w:p>
        </w:tc>
      </w:tr>
      <w:tr w:rsidR="007254E3" w:rsidRPr="007254E3">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Grand Total</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64</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100</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117</w:t>
            </w:r>
          </w:p>
        </w:tc>
        <w:tc>
          <w:tcPr>
            <w:tcW w:w="19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63236" w:rsidRPr="007254E3" w:rsidRDefault="004148AF">
            <w:pPr>
              <w:jc w:val="center"/>
            </w:pPr>
            <w:r w:rsidRPr="007254E3">
              <w:rPr>
                <w:sz w:val="22"/>
                <w:szCs w:val="22"/>
              </w:rPr>
              <w:t>281</w:t>
            </w:r>
          </w:p>
        </w:tc>
      </w:tr>
    </w:tbl>
    <w:p w:rsidR="00C63236" w:rsidRPr="007254E3" w:rsidRDefault="004148AF">
      <w:pPr>
        <w:spacing w:before="100" w:after="200"/>
        <w:jc w:val="center"/>
      </w:pPr>
      <w:r w:rsidRPr="007254E3">
        <w:rPr>
          <w:b/>
          <w:bCs/>
        </w:rPr>
        <w:t xml:space="preserve">Table 13. </w:t>
      </w:r>
      <w:r w:rsidRPr="007254E3">
        <w:rPr>
          <w:i/>
          <w:iCs/>
          <w:sz w:val="22"/>
          <w:szCs w:val="22"/>
        </w:rPr>
        <w:t>Species Richness per Station and Month, with Cumulative and Grand Totals</w:t>
      </w:r>
    </w:p>
    <w:p w:rsidR="00C63236" w:rsidRPr="007254E3" w:rsidRDefault="00C63236">
      <w:pPr>
        <w:spacing w:before="60" w:after="60"/>
      </w:pPr>
    </w:p>
    <w:p w:rsidR="00C63236" w:rsidRPr="007254E3" w:rsidRDefault="004148AF">
      <w:pPr>
        <w:spacing w:before="160" w:after="60"/>
        <w:jc w:val="center"/>
      </w:pPr>
      <w:r w:rsidRPr="007254E3">
        <w:rPr>
          <w:noProof/>
        </w:rPr>
        <w:drawing>
          <wp:inline distT="0" distB="0" distL="0" distR="0" wp14:anchorId="0AF8D29A" wp14:editId="06B41399">
            <wp:extent cx="5810250" cy="3238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10250" cy="3238500"/>
                    </a:xfrm>
                    <a:prstGeom prst="rect">
                      <a:avLst/>
                    </a:prstGeom>
                  </pic:spPr>
                </pic:pic>
              </a:graphicData>
            </a:graphic>
          </wp:inline>
        </w:drawing>
      </w:r>
    </w:p>
    <w:p w:rsidR="00C63236" w:rsidRPr="007254E3" w:rsidRDefault="004148AF">
      <w:pPr>
        <w:spacing w:before="100" w:after="240"/>
        <w:jc w:val="center"/>
      </w:pPr>
      <w:r w:rsidRPr="007254E3">
        <w:rPr>
          <w:b/>
          <w:bCs/>
        </w:rPr>
        <w:t>F</w:t>
      </w:r>
      <w:bookmarkStart w:id="0" w:name="_GoBack"/>
      <w:bookmarkEnd w:id="0"/>
      <w:r w:rsidRPr="007254E3">
        <w:rPr>
          <w:b/>
          <w:bCs/>
        </w:rPr>
        <w:t xml:space="preserve">igure 9. </w:t>
      </w:r>
      <w:r w:rsidRPr="007254E3">
        <w:rPr>
          <w:i/>
          <w:iCs/>
          <w:sz w:val="22"/>
          <w:szCs w:val="22"/>
        </w:rPr>
        <w:t>Grouped bar chart of species richness per station across three sampling months, illustrating the progressive seasonal increase and spatial variability across the station gradient.</w:t>
      </w:r>
    </w:p>
    <w:p w:rsidR="00C63236" w:rsidRPr="007254E3" w:rsidRDefault="004148AF">
      <w:pPr>
        <w:spacing w:before="80" w:after="80" w:line="360" w:lineRule="auto"/>
        <w:ind w:firstLine="720"/>
        <w:jc w:val="both"/>
      </w:pPr>
      <w:r w:rsidRPr="007254E3">
        <w:t>Figure 9 highlights the considerable spatial heterogeneity in species richness that does not follow a simple upstream-to-downstream gradient. Stn2 and Stn10 recorded the highest cumulative richness (33 each), while Stn3 was the lowest (18). The most dramatic single-station trajectory was at Stn7, which rose from just 2 species in J</w:t>
      </w:r>
      <w:r w:rsidR="00DB0BA3">
        <w:t xml:space="preserve">uly to 18 species in November </w:t>
      </w:r>
      <w:r w:rsidRPr="007254E3">
        <w:t xml:space="preserve">a </w:t>
      </w:r>
      <w:proofErr w:type="spellStart"/>
      <w:r w:rsidRPr="007254E3">
        <w:t>ninefold</w:t>
      </w:r>
      <w:proofErr w:type="spellEnd"/>
      <w:r w:rsidRPr="007254E3">
        <w:t xml:space="preserve"> increase that may reflect competitive diversification following early-season dominance by a few tolerant taxa (Connell, 1978). The strong positive correlations between species richness and </w:t>
      </w:r>
      <w:proofErr w:type="spellStart"/>
      <w:r w:rsidRPr="007254E3">
        <w:t>Bacillariophyta</w:t>
      </w:r>
      <w:proofErr w:type="spellEnd"/>
      <w:r w:rsidRPr="007254E3">
        <w:t xml:space="preserve"> (r = 0.673), </w:t>
      </w:r>
      <w:proofErr w:type="spellStart"/>
      <w:r w:rsidRPr="007254E3">
        <w:t>Chlorophyta</w:t>
      </w:r>
      <w:proofErr w:type="spellEnd"/>
      <w:r w:rsidRPr="007254E3">
        <w:t xml:space="preserve"> (r = 0.631), and </w:t>
      </w:r>
      <w:proofErr w:type="spellStart"/>
      <w:r w:rsidRPr="007254E3">
        <w:t>Cyanophyta</w:t>
      </w:r>
      <w:proofErr w:type="spellEnd"/>
      <w:r w:rsidRPr="007254E3">
        <w:t xml:space="preserve"> (r = 0.510) confirm that phytoplankton diversity drives overall community richness, with each </w:t>
      </w:r>
      <w:r w:rsidRPr="007254E3">
        <w:lastRenderedPageBreak/>
        <w:t>additional phytoplankton taxon supporting a broader trophic structure that sustains more diverse zooplankton assemblages (</w:t>
      </w:r>
      <w:proofErr w:type="spellStart"/>
      <w:r w:rsidRPr="007254E3">
        <w:t>Tilman</w:t>
      </w:r>
      <w:proofErr w:type="spellEnd"/>
      <w:r w:rsidRPr="007254E3">
        <w:t xml:space="preserve"> et al., 2014).</w:t>
      </w:r>
    </w:p>
    <w:p w:rsidR="00C63236" w:rsidRPr="007254E3" w:rsidRDefault="004148AF">
      <w:pPr>
        <w:pStyle w:val="Heading1"/>
        <w:rPr>
          <w:color w:val="auto"/>
        </w:rPr>
      </w:pPr>
      <w:r w:rsidRPr="007254E3">
        <w:rPr>
          <w:color w:val="auto"/>
        </w:rPr>
        <w:t xml:space="preserve">4.8 Correlation Analysis </w:t>
      </w:r>
      <w:proofErr w:type="gramStart"/>
      <w:r w:rsidRPr="007254E3">
        <w:rPr>
          <w:color w:val="auto"/>
        </w:rPr>
        <w:t>Between</w:t>
      </w:r>
      <w:proofErr w:type="gramEnd"/>
      <w:r w:rsidRPr="007254E3">
        <w:rPr>
          <w:color w:val="auto"/>
        </w:rPr>
        <w:t xml:space="preserve"> Environmental Parameters and Plankton Distribution</w:t>
      </w:r>
    </w:p>
    <w:p w:rsidR="00C63236" w:rsidRPr="007254E3" w:rsidRDefault="004148AF">
      <w:pPr>
        <w:spacing w:before="80" w:after="80" w:line="360" w:lineRule="auto"/>
        <w:ind w:firstLine="720"/>
        <w:jc w:val="both"/>
      </w:pPr>
      <w:r w:rsidRPr="007254E3">
        <w:t xml:space="preserve">Pearson product-moment correlation coefficients were computed for all pairwise combinations of physicochemical parameters, heavy metals, and plankton community variables. The full correlation matrix is presented in Table 14, with key biological relationships further </w:t>
      </w:r>
      <w:proofErr w:type="spellStart"/>
      <w:r w:rsidRPr="007254E3">
        <w:t>visualised</w:t>
      </w:r>
      <w:proofErr w:type="spellEnd"/>
      <w:r w:rsidRPr="007254E3">
        <w:t xml:space="preserve"> in Figure 10.</w:t>
      </w:r>
    </w:p>
    <w:tbl>
      <w:tblPr>
        <w:tblpPr w:leftFromText="180" w:rightFromText="180" w:vertAnchor="text" w:horzAnchor="margin" w:tblpXSpec="center" w:tblpY="-28"/>
        <w:tblW w:w="10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1695"/>
        <w:gridCol w:w="1438"/>
        <w:gridCol w:w="1390"/>
        <w:gridCol w:w="1549"/>
        <w:gridCol w:w="1022"/>
        <w:gridCol w:w="1206"/>
        <w:gridCol w:w="1194"/>
        <w:gridCol w:w="1072"/>
      </w:tblGrid>
      <w:tr w:rsidR="00C949B1" w:rsidRPr="007254E3" w:rsidTr="00C949B1">
        <w:trPr>
          <w:tblHeader/>
        </w:trPr>
        <w:tc>
          <w:tcPr>
            <w:tcW w:w="375"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949B1" w:rsidRPr="007254E3" w:rsidRDefault="00C949B1" w:rsidP="00C949B1">
            <w:pPr>
              <w:jc w:val="center"/>
            </w:pPr>
            <w:r w:rsidRPr="007254E3">
              <w:rPr>
                <w:b/>
                <w:bCs/>
                <w:sz w:val="22"/>
                <w:szCs w:val="22"/>
              </w:rPr>
              <w:t>Parameter</w:t>
            </w:r>
          </w:p>
        </w:tc>
        <w:tc>
          <w:tcPr>
            <w:tcW w:w="1695"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949B1" w:rsidRPr="007254E3" w:rsidRDefault="00C949B1" w:rsidP="00C949B1">
            <w:pPr>
              <w:jc w:val="center"/>
            </w:pPr>
            <w:proofErr w:type="spellStart"/>
            <w:r w:rsidRPr="007254E3">
              <w:rPr>
                <w:b/>
                <w:bCs/>
                <w:sz w:val="22"/>
                <w:szCs w:val="22"/>
              </w:rPr>
              <w:t>Bacillariophyta</w:t>
            </w:r>
            <w:proofErr w:type="spellEnd"/>
          </w:p>
        </w:tc>
        <w:tc>
          <w:tcPr>
            <w:tcW w:w="1438"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949B1" w:rsidRPr="007254E3" w:rsidRDefault="00C949B1" w:rsidP="00C949B1">
            <w:pPr>
              <w:jc w:val="center"/>
            </w:pPr>
            <w:proofErr w:type="spellStart"/>
            <w:r w:rsidRPr="007254E3">
              <w:rPr>
                <w:b/>
                <w:bCs/>
                <w:sz w:val="22"/>
                <w:szCs w:val="22"/>
              </w:rPr>
              <w:t>Chlorophyta</w:t>
            </w:r>
            <w:proofErr w:type="spellEnd"/>
          </w:p>
        </w:tc>
        <w:tc>
          <w:tcPr>
            <w:tcW w:w="139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949B1" w:rsidRPr="007254E3" w:rsidRDefault="00C949B1" w:rsidP="00C949B1">
            <w:pPr>
              <w:jc w:val="center"/>
            </w:pPr>
            <w:proofErr w:type="spellStart"/>
            <w:r w:rsidRPr="007254E3">
              <w:rPr>
                <w:b/>
                <w:bCs/>
                <w:sz w:val="22"/>
                <w:szCs w:val="22"/>
              </w:rPr>
              <w:t>Cyanophyta</w:t>
            </w:r>
            <w:proofErr w:type="spellEnd"/>
          </w:p>
        </w:tc>
        <w:tc>
          <w:tcPr>
            <w:tcW w:w="1549"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949B1" w:rsidRPr="007254E3" w:rsidRDefault="00C949B1" w:rsidP="00C949B1">
            <w:pPr>
              <w:jc w:val="center"/>
            </w:pPr>
            <w:proofErr w:type="spellStart"/>
            <w:r w:rsidRPr="007254E3">
              <w:rPr>
                <w:b/>
                <w:bCs/>
                <w:sz w:val="22"/>
                <w:szCs w:val="22"/>
              </w:rPr>
              <w:t>Euglenophyta</w:t>
            </w:r>
            <w:proofErr w:type="spellEnd"/>
          </w:p>
        </w:tc>
        <w:tc>
          <w:tcPr>
            <w:tcW w:w="1022"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949B1" w:rsidRPr="007254E3" w:rsidRDefault="00C949B1" w:rsidP="00C949B1">
            <w:pPr>
              <w:jc w:val="center"/>
            </w:pPr>
            <w:proofErr w:type="spellStart"/>
            <w:r w:rsidRPr="007254E3">
              <w:rPr>
                <w:b/>
                <w:bCs/>
                <w:sz w:val="22"/>
                <w:szCs w:val="22"/>
              </w:rPr>
              <w:t>Rotifera</w:t>
            </w:r>
            <w:proofErr w:type="spellEnd"/>
          </w:p>
        </w:tc>
        <w:tc>
          <w:tcPr>
            <w:tcW w:w="120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949B1" w:rsidRPr="007254E3" w:rsidRDefault="00C949B1" w:rsidP="00C949B1">
            <w:pPr>
              <w:jc w:val="center"/>
            </w:pPr>
            <w:proofErr w:type="spellStart"/>
            <w:r w:rsidRPr="007254E3">
              <w:rPr>
                <w:b/>
                <w:bCs/>
                <w:sz w:val="22"/>
                <w:szCs w:val="22"/>
              </w:rPr>
              <w:t>Cladocera</w:t>
            </w:r>
            <w:proofErr w:type="spellEnd"/>
          </w:p>
        </w:tc>
        <w:tc>
          <w:tcPr>
            <w:tcW w:w="1194"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949B1" w:rsidRPr="007254E3" w:rsidRDefault="00C949B1" w:rsidP="00C949B1">
            <w:pPr>
              <w:jc w:val="center"/>
            </w:pPr>
            <w:proofErr w:type="spellStart"/>
            <w:r w:rsidRPr="007254E3">
              <w:rPr>
                <w:b/>
                <w:bCs/>
                <w:sz w:val="22"/>
                <w:szCs w:val="22"/>
              </w:rPr>
              <w:t>Copepoda</w:t>
            </w:r>
            <w:proofErr w:type="spellEnd"/>
          </w:p>
        </w:tc>
        <w:tc>
          <w:tcPr>
            <w:tcW w:w="1072"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C949B1" w:rsidRPr="007254E3" w:rsidRDefault="00C949B1" w:rsidP="00C949B1">
            <w:pPr>
              <w:jc w:val="center"/>
            </w:pPr>
            <w:r w:rsidRPr="007254E3">
              <w:rPr>
                <w:b/>
                <w:bCs/>
                <w:sz w:val="22"/>
                <w:szCs w:val="22"/>
              </w:rPr>
              <w:t>Richness</w:t>
            </w:r>
          </w:p>
        </w:tc>
      </w:tr>
      <w:tr w:rsidR="00C949B1" w:rsidRPr="007254E3" w:rsidTr="00C949B1">
        <w:trPr>
          <w:trHeight w:val="208"/>
        </w:trPr>
        <w:tc>
          <w:tcPr>
            <w:tcW w:w="37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pH</w:t>
            </w:r>
          </w:p>
        </w:tc>
        <w:tc>
          <w:tcPr>
            <w:tcW w:w="169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-0.218</w:t>
            </w:r>
          </w:p>
        </w:tc>
        <w:tc>
          <w:tcPr>
            <w:tcW w:w="1438"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-0.012</w:t>
            </w:r>
          </w:p>
        </w:tc>
        <w:tc>
          <w:tcPr>
            <w:tcW w:w="139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0.334</w:t>
            </w:r>
          </w:p>
        </w:tc>
        <w:tc>
          <w:tcPr>
            <w:tcW w:w="1549"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0.193</w:t>
            </w:r>
          </w:p>
        </w:tc>
        <w:tc>
          <w:tcPr>
            <w:tcW w:w="102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0.162</w:t>
            </w:r>
          </w:p>
        </w:tc>
        <w:tc>
          <w:tcPr>
            <w:tcW w:w="120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0.132</w:t>
            </w:r>
          </w:p>
        </w:tc>
        <w:tc>
          <w:tcPr>
            <w:tcW w:w="119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-0.011</w:t>
            </w:r>
          </w:p>
        </w:tc>
        <w:tc>
          <w:tcPr>
            <w:tcW w:w="107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-0.015</w:t>
            </w:r>
          </w:p>
        </w:tc>
      </w:tr>
      <w:tr w:rsidR="00C949B1" w:rsidRPr="007254E3" w:rsidTr="00C949B1">
        <w:tc>
          <w:tcPr>
            <w:tcW w:w="3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Temperature</w:t>
            </w:r>
          </w:p>
        </w:tc>
        <w:tc>
          <w:tcPr>
            <w:tcW w:w="169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 xml:space="preserve"> 0.166</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-0.052</w:t>
            </w:r>
          </w:p>
        </w:tc>
        <w:tc>
          <w:tcPr>
            <w:tcW w:w="13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-0.303</w:t>
            </w:r>
          </w:p>
        </w:tc>
        <w:tc>
          <w:tcPr>
            <w:tcW w:w="15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-0.236</w:t>
            </w:r>
          </w:p>
        </w:tc>
        <w:tc>
          <w:tcPr>
            <w:tcW w:w="102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-0.104</w:t>
            </w:r>
          </w:p>
        </w:tc>
        <w:tc>
          <w:tcPr>
            <w:tcW w:w="12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-0.140</w:t>
            </w:r>
          </w:p>
        </w:tc>
        <w:tc>
          <w:tcPr>
            <w:tcW w:w="11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-0.016</w:t>
            </w:r>
          </w:p>
        </w:tc>
        <w:tc>
          <w:tcPr>
            <w:tcW w:w="10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-0.049</w:t>
            </w:r>
          </w:p>
        </w:tc>
      </w:tr>
      <w:tr w:rsidR="00C949B1" w:rsidRPr="007254E3" w:rsidTr="00C949B1">
        <w:tc>
          <w:tcPr>
            <w:tcW w:w="37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DO</w:t>
            </w:r>
          </w:p>
        </w:tc>
        <w:tc>
          <w:tcPr>
            <w:tcW w:w="169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-0.256</w:t>
            </w:r>
          </w:p>
        </w:tc>
        <w:tc>
          <w:tcPr>
            <w:tcW w:w="1438"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-0.501</w:t>
            </w:r>
          </w:p>
        </w:tc>
        <w:tc>
          <w:tcPr>
            <w:tcW w:w="139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-0.119</w:t>
            </w:r>
          </w:p>
        </w:tc>
        <w:tc>
          <w:tcPr>
            <w:tcW w:w="1549"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0.003</w:t>
            </w:r>
          </w:p>
        </w:tc>
        <w:tc>
          <w:tcPr>
            <w:tcW w:w="102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0.014</w:t>
            </w:r>
          </w:p>
        </w:tc>
        <w:tc>
          <w:tcPr>
            <w:tcW w:w="120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-0.147</w:t>
            </w:r>
          </w:p>
        </w:tc>
        <w:tc>
          <w:tcPr>
            <w:tcW w:w="119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-0.274</w:t>
            </w:r>
          </w:p>
        </w:tc>
        <w:tc>
          <w:tcPr>
            <w:tcW w:w="107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-0.564</w:t>
            </w:r>
          </w:p>
        </w:tc>
      </w:tr>
      <w:tr w:rsidR="00C949B1" w:rsidRPr="007254E3" w:rsidTr="00C949B1">
        <w:tc>
          <w:tcPr>
            <w:tcW w:w="3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BOD</w:t>
            </w:r>
          </w:p>
        </w:tc>
        <w:tc>
          <w:tcPr>
            <w:tcW w:w="169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-0.068</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-0.368</w:t>
            </w:r>
          </w:p>
        </w:tc>
        <w:tc>
          <w:tcPr>
            <w:tcW w:w="13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-0.227</w:t>
            </w:r>
          </w:p>
        </w:tc>
        <w:tc>
          <w:tcPr>
            <w:tcW w:w="15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-0.136</w:t>
            </w:r>
          </w:p>
        </w:tc>
        <w:tc>
          <w:tcPr>
            <w:tcW w:w="102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-0.007</w:t>
            </w:r>
          </w:p>
        </w:tc>
        <w:tc>
          <w:tcPr>
            <w:tcW w:w="12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-0.174</w:t>
            </w:r>
          </w:p>
        </w:tc>
        <w:tc>
          <w:tcPr>
            <w:tcW w:w="11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-0.220</w:t>
            </w:r>
          </w:p>
        </w:tc>
        <w:tc>
          <w:tcPr>
            <w:tcW w:w="10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-0.396</w:t>
            </w:r>
          </w:p>
        </w:tc>
      </w:tr>
      <w:tr w:rsidR="00C949B1" w:rsidRPr="007254E3" w:rsidTr="00C949B1">
        <w:tc>
          <w:tcPr>
            <w:tcW w:w="37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Turbidity</w:t>
            </w:r>
          </w:p>
        </w:tc>
        <w:tc>
          <w:tcPr>
            <w:tcW w:w="169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-0.320</w:t>
            </w:r>
          </w:p>
        </w:tc>
        <w:tc>
          <w:tcPr>
            <w:tcW w:w="1438"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-0.054</w:t>
            </w:r>
          </w:p>
        </w:tc>
        <w:tc>
          <w:tcPr>
            <w:tcW w:w="139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0.374</w:t>
            </w:r>
          </w:p>
        </w:tc>
        <w:tc>
          <w:tcPr>
            <w:tcW w:w="1549"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-0.012</w:t>
            </w:r>
          </w:p>
        </w:tc>
        <w:tc>
          <w:tcPr>
            <w:tcW w:w="102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0.038</w:t>
            </w:r>
          </w:p>
        </w:tc>
        <w:tc>
          <w:tcPr>
            <w:tcW w:w="120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0.108</w:t>
            </w:r>
          </w:p>
        </w:tc>
        <w:tc>
          <w:tcPr>
            <w:tcW w:w="119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-0.148</w:t>
            </w:r>
          </w:p>
        </w:tc>
        <w:tc>
          <w:tcPr>
            <w:tcW w:w="107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-0.044</w:t>
            </w:r>
          </w:p>
        </w:tc>
      </w:tr>
      <w:tr w:rsidR="00C949B1" w:rsidRPr="007254E3" w:rsidTr="00C949B1">
        <w:tc>
          <w:tcPr>
            <w:tcW w:w="3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TSS</w:t>
            </w:r>
          </w:p>
        </w:tc>
        <w:tc>
          <w:tcPr>
            <w:tcW w:w="169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 xml:space="preserve"> 0.322</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 xml:space="preserve"> 0.164</w:t>
            </w:r>
          </w:p>
        </w:tc>
        <w:tc>
          <w:tcPr>
            <w:tcW w:w="13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-0.287</w:t>
            </w:r>
          </w:p>
        </w:tc>
        <w:tc>
          <w:tcPr>
            <w:tcW w:w="15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-0.245</w:t>
            </w:r>
          </w:p>
        </w:tc>
        <w:tc>
          <w:tcPr>
            <w:tcW w:w="102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-0.087</w:t>
            </w:r>
          </w:p>
        </w:tc>
        <w:tc>
          <w:tcPr>
            <w:tcW w:w="12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-0.093</w:t>
            </w:r>
          </w:p>
        </w:tc>
        <w:tc>
          <w:tcPr>
            <w:tcW w:w="11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 xml:space="preserve"> 0.073</w:t>
            </w:r>
          </w:p>
        </w:tc>
        <w:tc>
          <w:tcPr>
            <w:tcW w:w="10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 xml:space="preserve"> 0.204</w:t>
            </w:r>
          </w:p>
        </w:tc>
      </w:tr>
      <w:tr w:rsidR="00C949B1" w:rsidRPr="007254E3" w:rsidTr="00C949B1">
        <w:tc>
          <w:tcPr>
            <w:tcW w:w="37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EC</w:t>
            </w:r>
          </w:p>
        </w:tc>
        <w:tc>
          <w:tcPr>
            <w:tcW w:w="169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0.254</w:t>
            </w:r>
          </w:p>
        </w:tc>
        <w:tc>
          <w:tcPr>
            <w:tcW w:w="1438"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0.080</w:t>
            </w:r>
          </w:p>
        </w:tc>
        <w:tc>
          <w:tcPr>
            <w:tcW w:w="139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-0.311</w:t>
            </w:r>
          </w:p>
        </w:tc>
        <w:tc>
          <w:tcPr>
            <w:tcW w:w="1549"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-0.249</w:t>
            </w:r>
          </w:p>
        </w:tc>
        <w:tc>
          <w:tcPr>
            <w:tcW w:w="102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-0.087</w:t>
            </w:r>
          </w:p>
        </w:tc>
        <w:tc>
          <w:tcPr>
            <w:tcW w:w="120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-0.139</w:t>
            </w:r>
          </w:p>
        </w:tc>
        <w:tc>
          <w:tcPr>
            <w:tcW w:w="119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0.060</w:t>
            </w:r>
          </w:p>
        </w:tc>
        <w:tc>
          <w:tcPr>
            <w:tcW w:w="107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0.093</w:t>
            </w:r>
          </w:p>
        </w:tc>
      </w:tr>
      <w:tr w:rsidR="00C949B1" w:rsidRPr="007254E3" w:rsidTr="00C949B1">
        <w:tc>
          <w:tcPr>
            <w:tcW w:w="37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Mn</w:t>
            </w:r>
          </w:p>
        </w:tc>
        <w:tc>
          <w:tcPr>
            <w:tcW w:w="169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-0.009</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 xml:space="preserve"> 0.006</w:t>
            </w:r>
          </w:p>
        </w:tc>
        <w:tc>
          <w:tcPr>
            <w:tcW w:w="13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 xml:space="preserve"> 0.185</w:t>
            </w:r>
          </w:p>
        </w:tc>
        <w:tc>
          <w:tcPr>
            <w:tcW w:w="15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-0.109</w:t>
            </w:r>
          </w:p>
        </w:tc>
        <w:tc>
          <w:tcPr>
            <w:tcW w:w="102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 xml:space="preserve"> 0.454</w:t>
            </w:r>
          </w:p>
        </w:tc>
        <w:tc>
          <w:tcPr>
            <w:tcW w:w="12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-0.019</w:t>
            </w:r>
          </w:p>
        </w:tc>
        <w:tc>
          <w:tcPr>
            <w:tcW w:w="11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 xml:space="preserve"> 0.101</w:t>
            </w:r>
          </w:p>
        </w:tc>
        <w:tc>
          <w:tcPr>
            <w:tcW w:w="10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C949B1" w:rsidRPr="007254E3" w:rsidRDefault="00C949B1" w:rsidP="00C949B1">
            <w:pPr>
              <w:jc w:val="center"/>
            </w:pPr>
            <w:r w:rsidRPr="007254E3">
              <w:rPr>
                <w:sz w:val="22"/>
                <w:szCs w:val="22"/>
              </w:rPr>
              <w:t xml:space="preserve"> 0.072</w:t>
            </w:r>
          </w:p>
        </w:tc>
      </w:tr>
      <w:tr w:rsidR="00C949B1" w:rsidRPr="007254E3" w:rsidTr="00C949B1">
        <w:tc>
          <w:tcPr>
            <w:tcW w:w="37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Zn</w:t>
            </w:r>
          </w:p>
        </w:tc>
        <w:tc>
          <w:tcPr>
            <w:tcW w:w="1695"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-0.032</w:t>
            </w:r>
          </w:p>
        </w:tc>
        <w:tc>
          <w:tcPr>
            <w:tcW w:w="1438"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-0.173</w:t>
            </w:r>
          </w:p>
        </w:tc>
        <w:tc>
          <w:tcPr>
            <w:tcW w:w="139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-0.035</w:t>
            </w:r>
          </w:p>
        </w:tc>
        <w:tc>
          <w:tcPr>
            <w:tcW w:w="1549"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-0.225</w:t>
            </w:r>
          </w:p>
        </w:tc>
        <w:tc>
          <w:tcPr>
            <w:tcW w:w="102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0.289</w:t>
            </w:r>
          </w:p>
        </w:tc>
        <w:tc>
          <w:tcPr>
            <w:tcW w:w="120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-0.434</w:t>
            </w:r>
          </w:p>
        </w:tc>
        <w:tc>
          <w:tcPr>
            <w:tcW w:w="1194"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-0.417</w:t>
            </w:r>
          </w:p>
        </w:tc>
        <w:tc>
          <w:tcPr>
            <w:tcW w:w="107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C949B1" w:rsidRPr="007254E3" w:rsidRDefault="00C949B1" w:rsidP="00C949B1">
            <w:pPr>
              <w:jc w:val="center"/>
            </w:pPr>
            <w:r w:rsidRPr="007254E3">
              <w:rPr>
                <w:sz w:val="22"/>
                <w:szCs w:val="22"/>
              </w:rPr>
              <w:t xml:space="preserve"> 0.121</w:t>
            </w:r>
          </w:p>
        </w:tc>
      </w:tr>
    </w:tbl>
    <w:p w:rsidR="00C63236" w:rsidRPr="007254E3" w:rsidRDefault="00C63236">
      <w:pPr>
        <w:spacing w:before="60" w:after="60"/>
      </w:pPr>
    </w:p>
    <w:p w:rsidR="00C63236" w:rsidRPr="007254E3" w:rsidRDefault="004148AF">
      <w:pPr>
        <w:spacing w:before="100" w:after="200"/>
        <w:jc w:val="center"/>
      </w:pPr>
      <w:r w:rsidRPr="007254E3">
        <w:rPr>
          <w:b/>
          <w:bCs/>
        </w:rPr>
        <w:t xml:space="preserve">Table 14. </w:t>
      </w:r>
      <w:r w:rsidRPr="007254E3">
        <w:rPr>
          <w:i/>
          <w:iCs/>
          <w:sz w:val="22"/>
          <w:szCs w:val="22"/>
        </w:rPr>
        <w:t xml:space="preserve">Pearson Correlation Matrix: Selected Physicochemical and Heavy Metal Parameters </w:t>
      </w:r>
      <w:proofErr w:type="gramStart"/>
      <w:r w:rsidRPr="007254E3">
        <w:rPr>
          <w:i/>
          <w:iCs/>
          <w:sz w:val="22"/>
          <w:szCs w:val="22"/>
        </w:rPr>
        <w:t>Versus</w:t>
      </w:r>
      <w:proofErr w:type="gramEnd"/>
      <w:r w:rsidRPr="007254E3">
        <w:rPr>
          <w:i/>
          <w:iCs/>
          <w:sz w:val="22"/>
          <w:szCs w:val="22"/>
        </w:rPr>
        <w:t xml:space="preserve"> Plankton Group Richness and Species Richness</w:t>
      </w:r>
    </w:p>
    <w:p w:rsidR="00C63236" w:rsidRPr="007254E3" w:rsidRDefault="004148AF">
      <w:pPr>
        <w:spacing w:before="40" w:after="100"/>
      </w:pPr>
      <w:r w:rsidRPr="007254E3">
        <w:rPr>
          <w:i/>
          <w:iCs/>
          <w:sz w:val="20"/>
          <w:szCs w:val="20"/>
        </w:rPr>
        <w:t>Note. Values with |r| &gt; 0.40 reflect moderate-to-strong associations. n = 30 station-month observations.</w:t>
      </w:r>
    </w:p>
    <w:p w:rsidR="00C63236" w:rsidRPr="007254E3" w:rsidRDefault="00C63236">
      <w:pPr>
        <w:spacing w:before="60" w:after="60"/>
      </w:pPr>
    </w:p>
    <w:p w:rsidR="00C63236" w:rsidRPr="007254E3" w:rsidRDefault="004148AF">
      <w:pPr>
        <w:spacing w:before="160" w:after="60"/>
        <w:jc w:val="center"/>
      </w:pPr>
      <w:r w:rsidRPr="007254E3">
        <w:rPr>
          <w:noProof/>
        </w:rPr>
        <w:lastRenderedPageBreak/>
        <w:drawing>
          <wp:inline distT="0" distB="0" distL="0" distR="0" wp14:anchorId="45608A28" wp14:editId="23A0F581">
            <wp:extent cx="5905500" cy="3714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714750"/>
                    </a:xfrm>
                    <a:prstGeom prst="rect">
                      <a:avLst/>
                    </a:prstGeom>
                  </pic:spPr>
                </pic:pic>
              </a:graphicData>
            </a:graphic>
          </wp:inline>
        </w:drawing>
      </w:r>
    </w:p>
    <w:p w:rsidR="00C63236" w:rsidRPr="007254E3" w:rsidRDefault="004148AF">
      <w:pPr>
        <w:spacing w:before="100" w:after="240"/>
        <w:jc w:val="center"/>
      </w:pPr>
      <w:r w:rsidRPr="007254E3">
        <w:rPr>
          <w:b/>
          <w:bCs/>
        </w:rPr>
        <w:t xml:space="preserve">Figure 10. </w:t>
      </w:r>
      <w:r w:rsidRPr="007254E3">
        <w:rPr>
          <w:i/>
          <w:iCs/>
          <w:sz w:val="22"/>
          <w:szCs w:val="22"/>
        </w:rPr>
        <w:t xml:space="preserve">Pearson correlation </w:t>
      </w:r>
      <w:proofErr w:type="spellStart"/>
      <w:r w:rsidRPr="007254E3">
        <w:rPr>
          <w:i/>
          <w:iCs/>
          <w:sz w:val="22"/>
          <w:szCs w:val="22"/>
        </w:rPr>
        <w:t>heatmap</w:t>
      </w:r>
      <w:proofErr w:type="spellEnd"/>
      <w:r w:rsidRPr="007254E3">
        <w:rPr>
          <w:i/>
          <w:iCs/>
          <w:sz w:val="22"/>
          <w:szCs w:val="22"/>
        </w:rPr>
        <w:t xml:space="preserve"> between nine environmental parameters (rows) and eight plankton community variables (columns). Warm </w:t>
      </w:r>
      <w:proofErr w:type="spellStart"/>
      <w:r w:rsidRPr="007254E3">
        <w:rPr>
          <w:i/>
          <w:iCs/>
          <w:sz w:val="22"/>
          <w:szCs w:val="22"/>
        </w:rPr>
        <w:t>colours</w:t>
      </w:r>
      <w:proofErr w:type="spellEnd"/>
      <w:r w:rsidRPr="007254E3">
        <w:rPr>
          <w:i/>
          <w:iCs/>
          <w:sz w:val="22"/>
          <w:szCs w:val="22"/>
        </w:rPr>
        <w:t xml:space="preserve"> (red) indicate negative correlations; cool </w:t>
      </w:r>
      <w:proofErr w:type="spellStart"/>
      <w:r w:rsidRPr="007254E3">
        <w:rPr>
          <w:i/>
          <w:iCs/>
          <w:sz w:val="22"/>
          <w:szCs w:val="22"/>
        </w:rPr>
        <w:t>colours</w:t>
      </w:r>
      <w:proofErr w:type="spellEnd"/>
      <w:r w:rsidRPr="007254E3">
        <w:rPr>
          <w:i/>
          <w:iCs/>
          <w:sz w:val="22"/>
          <w:szCs w:val="22"/>
        </w:rPr>
        <w:t xml:space="preserve"> (blue) indicate positive correlations. Cell values show the Pearson r coefficient.</w:t>
      </w:r>
    </w:p>
    <w:p w:rsidR="00C63236" w:rsidRPr="007254E3" w:rsidRDefault="004148AF">
      <w:pPr>
        <w:spacing w:before="80" w:after="80" w:line="360" w:lineRule="auto"/>
        <w:ind w:firstLine="720"/>
        <w:jc w:val="both"/>
      </w:pPr>
      <w:r w:rsidRPr="007254E3">
        <w:t xml:space="preserve">Figure 10 provides an integrated visual summary of the environmental–biological relationships quantified in Table 14. The strongest single-variable effect on overall species richness was the negative association with DO (r = −0.564), which reflects the temporal pattern of lower DO in September–November coinciding with higher richness, rather than a direct biological inhibition by oxygen. The most notable heavy metal effects are clearly visible: Mn shows a warm-toned (positive) association with </w:t>
      </w:r>
      <w:proofErr w:type="spellStart"/>
      <w:r w:rsidRPr="007254E3">
        <w:t>Rotifera</w:t>
      </w:r>
      <w:proofErr w:type="spellEnd"/>
      <w:r w:rsidRPr="007254E3">
        <w:t xml:space="preserve"> (r = 0.454), while Zn exhibits strong cold-toned (negative) associations with </w:t>
      </w:r>
      <w:proofErr w:type="spellStart"/>
      <w:r w:rsidRPr="007254E3">
        <w:t>Cladocera</w:t>
      </w:r>
      <w:proofErr w:type="spellEnd"/>
      <w:r w:rsidRPr="007254E3">
        <w:t xml:space="preserve"> (r = −0.434) and </w:t>
      </w:r>
      <w:proofErr w:type="spellStart"/>
      <w:r w:rsidRPr="007254E3">
        <w:t>Copepoda</w:t>
      </w:r>
      <w:proofErr w:type="spellEnd"/>
      <w:r w:rsidRPr="007254E3">
        <w:t xml:space="preserve"> (r = −0.417). Across the physicochemical parameters, DO and BOD exert the broadest negative effects on biological richness, as seen by the consistent cold-toned row for both parameters across multiple plankton groups. These patterns collectively confirm that the physicochemical and heavy metal parameters of this water body exert a multi-dimensional, concurrent influence on plankton community structure rather than acting through any single dominant driver (</w:t>
      </w:r>
      <w:proofErr w:type="spellStart"/>
      <w:r w:rsidRPr="007254E3">
        <w:t>Dodds</w:t>
      </w:r>
      <w:proofErr w:type="spellEnd"/>
      <w:r w:rsidRPr="007254E3">
        <w:t xml:space="preserve"> &amp; Whiles, 2019).</w:t>
      </w:r>
    </w:p>
    <w:p w:rsidR="00C63236" w:rsidRPr="007254E3" w:rsidRDefault="002E6F92">
      <w:pPr>
        <w:pStyle w:val="Heading1"/>
        <w:rPr>
          <w:color w:val="auto"/>
        </w:rPr>
      </w:pPr>
      <w:r>
        <w:rPr>
          <w:color w:val="auto"/>
        </w:rPr>
        <w:lastRenderedPageBreak/>
        <w:t>4.9</w:t>
      </w:r>
      <w:r w:rsidR="004148AF" w:rsidRPr="007254E3">
        <w:rPr>
          <w:color w:val="auto"/>
        </w:rPr>
        <w:t xml:space="preserve"> Findings</w:t>
      </w:r>
    </w:p>
    <w:p w:rsidR="002E6F92" w:rsidRPr="000E490A" w:rsidRDefault="002E6F92" w:rsidP="002E6F92">
      <w:pPr>
        <w:spacing w:before="80" w:after="80" w:line="360" w:lineRule="auto"/>
        <w:ind w:firstLine="720"/>
        <w:jc w:val="both"/>
      </w:pPr>
      <w:r w:rsidRPr="000E490A">
        <w:t xml:space="preserve">The findings of this study offer a comprehensive picture of how selected physicochemical and heavy metal parameters shape plankton community dynamics across ten sampling stations over three sampling months. Taken together, the data reveal a consistent upstream-to-downstream water quality gradient, marked seasonal variability, and a biologically meaningful coupling between environmental conditions and </w:t>
      </w:r>
      <w:r w:rsidR="00E33598">
        <w:t xml:space="preserve">plankton distribution </w:t>
      </w:r>
      <w:r w:rsidRPr="000E490A">
        <w:t xml:space="preserve">patterns that align with, and in several instances extend, the existing body of knowledge on tropical freshwater systems (Wetzel, 2001; Carpenter et al., 2011; </w:t>
      </w:r>
      <w:proofErr w:type="spellStart"/>
      <w:r w:rsidRPr="000E490A">
        <w:t>Dodds</w:t>
      </w:r>
      <w:proofErr w:type="spellEnd"/>
      <w:r w:rsidRPr="000E490A">
        <w:t xml:space="preserve"> &amp; Whiles, 2019).</w:t>
      </w:r>
    </w:p>
    <w:p w:rsidR="002E6F92" w:rsidRPr="000E490A" w:rsidRDefault="00E33598" w:rsidP="002E6F92">
      <w:pPr>
        <w:pStyle w:val="Heading2"/>
        <w:rPr>
          <w:color w:val="auto"/>
        </w:rPr>
      </w:pPr>
      <w:r>
        <w:rPr>
          <w:color w:val="auto"/>
        </w:rPr>
        <w:t>4.9</w:t>
      </w:r>
      <w:r w:rsidR="002E6F92" w:rsidRPr="000E490A">
        <w:rPr>
          <w:color w:val="auto"/>
        </w:rPr>
        <w:t>.1 Physicochemical Parameters and Water Quality Status</w:t>
      </w:r>
    </w:p>
    <w:p w:rsidR="002E6F92" w:rsidRPr="000E490A" w:rsidRDefault="002E6F92" w:rsidP="002E6F92">
      <w:pPr>
        <w:spacing w:before="80" w:after="80" w:line="360" w:lineRule="auto"/>
        <w:ind w:firstLine="720"/>
        <w:jc w:val="both"/>
      </w:pPr>
      <w:r w:rsidRPr="000E490A">
        <w:t>The spatial gradient in physicochemical conditions documented across the ten stations is consistent with progressive anthropogenic enrichment along the water body. The downstream decline in pH (from 7.4 at Stn1 in September to 6.0 at Stn10 in November), coupled with concurrent increases in BOD, EC, and TSS, is characteristic of water bodies receiving diffuse agricultural runoff and domestic waste inputs, which are among the most common drivers of freshwater quality deterioration in sub-Saharan Africa (</w:t>
      </w:r>
      <w:proofErr w:type="spellStart"/>
      <w:r w:rsidRPr="000E490A">
        <w:t>Ogamba</w:t>
      </w:r>
      <w:proofErr w:type="spellEnd"/>
      <w:r w:rsidRPr="000E490A">
        <w:t xml:space="preserve"> et al., 2020; </w:t>
      </w:r>
      <w:proofErr w:type="spellStart"/>
      <w:r w:rsidRPr="000E490A">
        <w:t>Adakole</w:t>
      </w:r>
      <w:proofErr w:type="spellEnd"/>
      <w:r w:rsidRPr="000E490A">
        <w:t xml:space="preserve"> &amp; </w:t>
      </w:r>
      <w:proofErr w:type="spellStart"/>
      <w:r w:rsidRPr="000E490A">
        <w:t>Ande</w:t>
      </w:r>
      <w:proofErr w:type="spellEnd"/>
      <w:r w:rsidRPr="000E490A">
        <w:t xml:space="preserve">, 2021). These results are consistent with findings by </w:t>
      </w:r>
      <w:proofErr w:type="spellStart"/>
      <w:r w:rsidRPr="000E490A">
        <w:t>Olayinka</w:t>
      </w:r>
      <w:proofErr w:type="spellEnd"/>
      <w:r w:rsidRPr="000E490A">
        <w:t xml:space="preserve"> and </w:t>
      </w:r>
      <w:proofErr w:type="spellStart"/>
      <w:r w:rsidRPr="000E490A">
        <w:t>Uyimadu</w:t>
      </w:r>
      <w:proofErr w:type="spellEnd"/>
      <w:r w:rsidRPr="000E490A">
        <w:t xml:space="preserve"> (2019), who reported similar downstream pH depression and BOD escalation in rivers of the Niger Delta region receiving mixed agricultural and domestic effluents.</w:t>
      </w:r>
    </w:p>
    <w:p w:rsidR="002E6F92" w:rsidRPr="000E490A" w:rsidRDefault="002E6F92" w:rsidP="002E6F92">
      <w:pPr>
        <w:spacing w:before="80" w:after="80" w:line="360" w:lineRule="auto"/>
        <w:ind w:firstLine="720"/>
        <w:jc w:val="both"/>
      </w:pPr>
      <w:r w:rsidRPr="000E490A">
        <w:t xml:space="preserve">The most ecologically alarming physicochemical finding in this study was the dramatic decline in dissolved oxygen (DO) from July (32.40–65.30 mg/L) to September (5.00–8.20 mg/L) and November (4.50–7.80 mg/L). The near-threshold DO concentrations recorded at Stn8–Stn10 during September and November (5.30 mg/L and below) are consistent with hypoxic stress conditions that can impair the physiological performance of aerobic aquatic organisms and restructure biological communities in </w:t>
      </w:r>
      <w:proofErr w:type="spellStart"/>
      <w:r w:rsidRPr="000E490A">
        <w:t>favour</w:t>
      </w:r>
      <w:proofErr w:type="spellEnd"/>
      <w:r w:rsidRPr="000E490A">
        <w:t xml:space="preserve"> of tolerant taxa (Diaz &amp; Rosenberg, 2008). The very high July DO values, while seemingly anomalous, are explicable by intense photosynthetic oxygen production during peak phytoplankton growth combined with the warm-season conditions that </w:t>
      </w:r>
      <w:proofErr w:type="spellStart"/>
      <w:r w:rsidRPr="000E490A">
        <w:t>characterise</w:t>
      </w:r>
      <w:proofErr w:type="spellEnd"/>
      <w:r w:rsidRPr="000E490A">
        <w:t xml:space="preserve"> tropical wet periods (Boyd &amp; Tucker, 2012). Similar </w:t>
      </w:r>
      <w:proofErr w:type="spellStart"/>
      <w:r w:rsidRPr="000E490A">
        <w:t>supersaturation</w:t>
      </w:r>
      <w:proofErr w:type="spellEnd"/>
      <w:r w:rsidRPr="000E490A">
        <w:t xml:space="preserve"> events have been documented in organically enriched tropical water bodies during periods of intense algal blooming (Lewis, 2000).</w:t>
      </w:r>
    </w:p>
    <w:p w:rsidR="002E6F92" w:rsidRPr="000E490A" w:rsidRDefault="002E6F92" w:rsidP="002E6F92">
      <w:pPr>
        <w:spacing w:before="80" w:after="80" w:line="360" w:lineRule="auto"/>
        <w:ind w:firstLine="720"/>
        <w:jc w:val="both"/>
      </w:pPr>
      <w:r w:rsidRPr="000E490A">
        <w:lastRenderedPageBreak/>
        <w:t>The exceptionally high BOD values recorded at downstream stations in July (Stn10: 124.60 mg/L) are substantially higher than the 10 mg/L threshold that classifies waters as moderately polluted under standard freshwater classification frameworks (Chapman, 1996), and indeed surpass the values documented in some heavily polluted African river systems (</w:t>
      </w:r>
      <w:proofErr w:type="spellStart"/>
      <w:r w:rsidRPr="000E490A">
        <w:t>Nweze</w:t>
      </w:r>
      <w:proofErr w:type="spellEnd"/>
      <w:r w:rsidRPr="000E490A">
        <w:t xml:space="preserve"> et al., 2019). This finding underscores the severity of organic loading at downstream stations, particularly during the wet season when surface runoff from agricultural land and urban areas </w:t>
      </w:r>
      <w:proofErr w:type="spellStart"/>
      <w:r w:rsidRPr="000E490A">
        <w:t>mobilises</w:t>
      </w:r>
      <w:proofErr w:type="spellEnd"/>
      <w:r w:rsidRPr="000E490A">
        <w:t xml:space="preserve"> organic matter into the water body. The subsequent decline in BOD across September and November, paralleled by falling DO, suggests that the July organic pulse was progressively </w:t>
      </w:r>
      <w:proofErr w:type="spellStart"/>
      <w:r w:rsidRPr="000E490A">
        <w:t>metabolised</w:t>
      </w:r>
      <w:proofErr w:type="spellEnd"/>
      <w:r w:rsidRPr="000E490A">
        <w:t xml:space="preserve"> by microbial communities, depleting oxygen and restructuring the biological environm</w:t>
      </w:r>
      <w:r w:rsidR="00E33598">
        <w:t xml:space="preserve">ent over the following months </w:t>
      </w:r>
      <w:r w:rsidRPr="000E490A">
        <w:t>a pattern well described by the oxygen sag curve conceptual model (Streeter &amp; Phelps, 1925; cited in Allan &amp; Castillo, 2007).</w:t>
      </w:r>
    </w:p>
    <w:p w:rsidR="002E6F92" w:rsidRPr="000E490A" w:rsidRDefault="002E6F92" w:rsidP="002E6F92">
      <w:pPr>
        <w:spacing w:before="80" w:after="80" w:line="360" w:lineRule="auto"/>
        <w:ind w:firstLine="720"/>
        <w:jc w:val="both"/>
      </w:pPr>
      <w:r w:rsidRPr="000E490A">
        <w:t xml:space="preserve">Electrical conductivity and TSS increased monotonically from upstream to downstream stations, with November recording the highest values across the study (EC up to 910 </w:t>
      </w:r>
      <w:proofErr w:type="spellStart"/>
      <w:r w:rsidRPr="000E490A">
        <w:t>μS</w:t>
      </w:r>
      <w:proofErr w:type="spellEnd"/>
      <w:r w:rsidRPr="000E490A">
        <w:t xml:space="preserve">/cm at Stn10; TSS up to 11.0 mg/L at Stn10). The very strong </w:t>
      </w:r>
      <w:proofErr w:type="spellStart"/>
      <w:r w:rsidRPr="000E490A">
        <w:t>intercorrelation</w:t>
      </w:r>
      <w:proofErr w:type="spellEnd"/>
      <w:r w:rsidRPr="000E490A">
        <w:t xml:space="preserve"> between these two parameters (r = 0.976) confirms a shared enrichment source, while the strong negative correlation of both with pH (EC: r = −0.980; TSS: r = −0.950) reinforces the interpretation of a co-occurring acidification and ion-loading gradient at downstream sites. EC values exceeding 700 </w:t>
      </w:r>
      <w:proofErr w:type="spellStart"/>
      <w:r w:rsidRPr="000E490A">
        <w:t>μS</w:t>
      </w:r>
      <w:proofErr w:type="spellEnd"/>
      <w:r w:rsidRPr="000E490A">
        <w:t xml:space="preserve">/cm at multiple downstream stations are above levels associated with osmotic stress in ion-sensitive freshwater organisms, including certain </w:t>
      </w:r>
      <w:proofErr w:type="spellStart"/>
      <w:r w:rsidRPr="000E490A">
        <w:t>Cladocera</w:t>
      </w:r>
      <w:proofErr w:type="spellEnd"/>
      <w:r w:rsidRPr="000E490A">
        <w:t xml:space="preserve"> and soft-water phytoplankton taxa (</w:t>
      </w:r>
      <w:proofErr w:type="spellStart"/>
      <w:r w:rsidRPr="000E490A">
        <w:t>Kefford</w:t>
      </w:r>
      <w:proofErr w:type="spellEnd"/>
      <w:r w:rsidRPr="000E490A">
        <w:t xml:space="preserve"> et al., 2016). Turbidity, uniquely among the measured parameters, showed a reverse spatial gradient, being highest at upstre</w:t>
      </w:r>
      <w:r w:rsidR="00E33598">
        <w:t>am stations</w:t>
      </w:r>
      <w:r w:rsidRPr="000E490A">
        <w:t xml:space="preserve"> a pattern attributed to greater </w:t>
      </w:r>
      <w:proofErr w:type="spellStart"/>
      <w:r w:rsidRPr="000E490A">
        <w:t>allochthonous</w:t>
      </w:r>
      <w:proofErr w:type="spellEnd"/>
      <w:r w:rsidRPr="000E490A">
        <w:t xml:space="preserve"> sediment inputs from the catchment margins, consistent with the proximity of Stn1–Stn3 to terrestrial land areas (Kirk, 1994).</w:t>
      </w:r>
    </w:p>
    <w:p w:rsidR="002E6F92" w:rsidRPr="000E490A" w:rsidRDefault="00E33598" w:rsidP="002E6F92">
      <w:pPr>
        <w:pStyle w:val="Heading2"/>
        <w:rPr>
          <w:color w:val="auto"/>
        </w:rPr>
      </w:pPr>
      <w:r>
        <w:rPr>
          <w:color w:val="auto"/>
        </w:rPr>
        <w:t>4.9</w:t>
      </w:r>
      <w:r w:rsidR="002E6F92" w:rsidRPr="000E490A">
        <w:rPr>
          <w:color w:val="auto"/>
        </w:rPr>
        <w:t>.2 Heavy Metal Contamination and Ecological Significance</w:t>
      </w:r>
    </w:p>
    <w:p w:rsidR="002E6F92" w:rsidRPr="000E490A" w:rsidRDefault="002E6F92" w:rsidP="002E6F92">
      <w:pPr>
        <w:spacing w:before="80" w:after="80" w:line="360" w:lineRule="auto"/>
        <w:ind w:firstLine="720"/>
        <w:jc w:val="both"/>
      </w:pPr>
      <w:r w:rsidRPr="000E490A">
        <w:t>The heavy metal results present a mixed but encouraging picture from a regulatory compliance perspective, while still revealing ecologically meaningful sub-threshold effects. The consistent non-detection of chromium and lead throughout the study indicates that these metals do not represent a current pollution concern for this water body, which is consistent with findings in other non-</w:t>
      </w:r>
      <w:proofErr w:type="spellStart"/>
      <w:r w:rsidRPr="000E490A">
        <w:t>industrialised</w:t>
      </w:r>
      <w:proofErr w:type="spellEnd"/>
      <w:r w:rsidRPr="000E490A">
        <w:t xml:space="preserve"> freshwater catchments in Nigeria where mining and heavy industrial activity are absent (</w:t>
      </w:r>
      <w:proofErr w:type="spellStart"/>
      <w:r w:rsidRPr="000E490A">
        <w:t>Ikem</w:t>
      </w:r>
      <w:proofErr w:type="spellEnd"/>
      <w:r w:rsidRPr="000E490A">
        <w:t xml:space="preserve"> et al., 2019). Copper and nickel were detected only </w:t>
      </w:r>
      <w:r w:rsidRPr="000E490A">
        <w:lastRenderedPageBreak/>
        <w:t>sporadically and at concentrations well within WHO guideline values, though the sub-</w:t>
      </w:r>
      <w:proofErr w:type="spellStart"/>
      <w:r w:rsidRPr="000E490A">
        <w:t>micromolar</w:t>
      </w:r>
      <w:proofErr w:type="spellEnd"/>
      <w:r w:rsidRPr="000E490A">
        <w:t xml:space="preserve"> copper concentrations at Stn9 may warrant attention given the known sensitivity of phytoplankton to Cu at low pH conditions characteristic of downstream stations (Franklin et al., 2002).</w:t>
      </w:r>
    </w:p>
    <w:p w:rsidR="002E6F92" w:rsidRPr="000E490A" w:rsidRDefault="002E6F92" w:rsidP="002E6F92">
      <w:pPr>
        <w:spacing w:before="80" w:after="80" w:line="360" w:lineRule="auto"/>
        <w:ind w:firstLine="720"/>
        <w:jc w:val="both"/>
      </w:pPr>
      <w:r w:rsidRPr="000E490A">
        <w:t xml:space="preserve">Manganese was the most notable metal detected, being ubiquitous across all stations and months and recording the study's only WHO guideline </w:t>
      </w:r>
      <w:proofErr w:type="spellStart"/>
      <w:r w:rsidRPr="000E490A">
        <w:t>exceedance</w:t>
      </w:r>
      <w:proofErr w:type="spellEnd"/>
      <w:r w:rsidRPr="000E490A">
        <w:t xml:space="preserve"> at Stn1 during September (0.537 mg/L; WHO limit: 0.40 mg/L). This </w:t>
      </w:r>
      <w:proofErr w:type="spellStart"/>
      <w:r w:rsidRPr="000E490A">
        <w:t>exceedance</w:t>
      </w:r>
      <w:proofErr w:type="spellEnd"/>
      <w:r w:rsidRPr="000E490A">
        <w:t xml:space="preserve"> at an upstream station during the post-peak-disturbance month of September is consistent with the redox-mediated release of </w:t>
      </w:r>
      <w:proofErr w:type="spellStart"/>
      <w:r w:rsidRPr="000E490A">
        <w:t>Mn</w:t>
      </w:r>
      <w:proofErr w:type="spellEnd"/>
      <w:r w:rsidRPr="000E490A">
        <w:t xml:space="preserve"> from sediments under reducing conditions that develop during periods of elevated organic loading and oxygen depletion (</w:t>
      </w:r>
      <w:proofErr w:type="spellStart"/>
      <w:r w:rsidRPr="000E490A">
        <w:t>Naeher</w:t>
      </w:r>
      <w:proofErr w:type="spellEnd"/>
      <w:r w:rsidRPr="000E490A">
        <w:t xml:space="preserve"> et al., 2013). Manganese is a naturally occurring element in tropical soils and sediments and its seasonal </w:t>
      </w:r>
      <w:proofErr w:type="spellStart"/>
      <w:r w:rsidRPr="000E490A">
        <w:t>mobilisation</w:t>
      </w:r>
      <w:proofErr w:type="spellEnd"/>
      <w:r w:rsidRPr="000E490A">
        <w:t xml:space="preserve"> into the water column has been widely documented in West African freshwaters (</w:t>
      </w:r>
      <w:proofErr w:type="spellStart"/>
      <w:r w:rsidRPr="000E490A">
        <w:t>Adakole</w:t>
      </w:r>
      <w:proofErr w:type="spellEnd"/>
      <w:r w:rsidRPr="000E490A">
        <w:t xml:space="preserve"> &amp; </w:t>
      </w:r>
      <w:proofErr w:type="spellStart"/>
      <w:r w:rsidRPr="000E490A">
        <w:t>Ande</w:t>
      </w:r>
      <w:proofErr w:type="spellEnd"/>
      <w:r w:rsidRPr="000E490A">
        <w:t xml:space="preserve">, 2021). While the </w:t>
      </w:r>
      <w:proofErr w:type="spellStart"/>
      <w:r w:rsidRPr="000E490A">
        <w:t>exceedance</w:t>
      </w:r>
      <w:proofErr w:type="spellEnd"/>
      <w:r w:rsidRPr="000E490A">
        <w:t xml:space="preserve"> is of public health relevance if the water is used for drinking purposes, the </w:t>
      </w:r>
      <w:proofErr w:type="spellStart"/>
      <w:r w:rsidRPr="000E490A">
        <w:t>Mn</w:t>
      </w:r>
      <w:proofErr w:type="spellEnd"/>
      <w:r w:rsidRPr="000E490A">
        <w:t xml:space="preserve"> concentrations recorded at most other stations (0.031–0.315 mg/L) are within the range that can function as a micronutrient for phytoplankton photosynthesis (</w:t>
      </w:r>
      <w:proofErr w:type="spellStart"/>
      <w:r w:rsidRPr="000E490A">
        <w:t>Twiss</w:t>
      </w:r>
      <w:proofErr w:type="spellEnd"/>
      <w:r w:rsidRPr="000E490A">
        <w:t xml:space="preserve"> et al., 2000), potentially contributing to phytoplankton productivity at those sites.</w:t>
      </w:r>
    </w:p>
    <w:p w:rsidR="002E6F92" w:rsidRPr="000E490A" w:rsidRDefault="002E6F92" w:rsidP="002E6F92">
      <w:pPr>
        <w:spacing w:before="80" w:after="80" w:line="360" w:lineRule="auto"/>
        <w:ind w:firstLine="720"/>
        <w:jc w:val="both"/>
      </w:pPr>
      <w:r w:rsidRPr="000E490A">
        <w:t xml:space="preserve">Zinc presented the most ecologically significant heavy metal signal despite remaining below WHO regulatory thresholds at all stations. The highest July concentration at Stn9 (0.243 mg/L) and the negative correlations between Zn and both </w:t>
      </w:r>
      <w:proofErr w:type="spellStart"/>
      <w:r w:rsidRPr="000E490A">
        <w:t>Cladocera</w:t>
      </w:r>
      <w:proofErr w:type="spellEnd"/>
      <w:r w:rsidRPr="000E490A">
        <w:t xml:space="preserve"> (r = −0.434) and </w:t>
      </w:r>
      <w:proofErr w:type="spellStart"/>
      <w:r w:rsidRPr="000E490A">
        <w:t>Copepoda</w:t>
      </w:r>
      <w:proofErr w:type="spellEnd"/>
      <w:r w:rsidRPr="000E490A">
        <w:t xml:space="preserve"> (r = −0.417) provide evidence of sub-lethal Zn stress on crustacean zooplankton. These findings are consistent with a substantial body of laboratory </w:t>
      </w:r>
      <w:proofErr w:type="spellStart"/>
      <w:r w:rsidRPr="000E490A">
        <w:t>ecotoxicological</w:t>
      </w:r>
      <w:proofErr w:type="spellEnd"/>
      <w:r w:rsidRPr="000E490A">
        <w:t xml:space="preserve"> literature demonstrating that Daphnia species exhibit reproductive impairment and population-level responses at chronic Zn exposures well below 0.5 mg/L (</w:t>
      </w:r>
      <w:proofErr w:type="spellStart"/>
      <w:r w:rsidRPr="000E490A">
        <w:t>Muyssen</w:t>
      </w:r>
      <w:proofErr w:type="spellEnd"/>
      <w:r w:rsidRPr="000E490A">
        <w:t xml:space="preserve"> &amp; Janssen, 2001). The positive correlation between Zn and BOD (r = 0.624) points toward diffuse organic waste as a Zn co-transport vector, possibly involving agricultural soil amendments or informal waste disposal in the catchment (</w:t>
      </w:r>
      <w:proofErr w:type="spellStart"/>
      <w:r w:rsidRPr="000E490A">
        <w:t>Brönmark</w:t>
      </w:r>
      <w:proofErr w:type="spellEnd"/>
      <w:r w:rsidRPr="000E490A">
        <w:t xml:space="preserve"> &amp; Hansson, 2017). The pattern of Zn-driven crustacean suppression documented in this study mirrors findings by Rainbow (2002) and echoes growing concerns about the ecological consequences of sub-threshold metal exposures in tropical freshwaters where monitoring frameworks remain underdeveloped.</w:t>
      </w:r>
    </w:p>
    <w:p w:rsidR="002E6F92" w:rsidRPr="000E490A" w:rsidRDefault="00E33598" w:rsidP="002E6F92">
      <w:pPr>
        <w:pStyle w:val="Heading2"/>
        <w:rPr>
          <w:color w:val="auto"/>
        </w:rPr>
      </w:pPr>
      <w:r>
        <w:rPr>
          <w:color w:val="auto"/>
        </w:rPr>
        <w:t>4.9</w:t>
      </w:r>
      <w:r w:rsidR="002E6F92" w:rsidRPr="000E490A">
        <w:rPr>
          <w:color w:val="auto"/>
        </w:rPr>
        <w:t>.3 Phytoplankton Community Dynamics</w:t>
      </w:r>
    </w:p>
    <w:p w:rsidR="002E6F92" w:rsidRPr="000E490A" w:rsidRDefault="002E6F92" w:rsidP="002E6F92">
      <w:pPr>
        <w:spacing w:before="80" w:after="80" w:line="360" w:lineRule="auto"/>
        <w:ind w:firstLine="720"/>
        <w:jc w:val="both"/>
      </w:pPr>
      <w:r w:rsidRPr="000E490A">
        <w:lastRenderedPageBreak/>
        <w:t xml:space="preserve">The total of 54 phytoplankton species recorded across all stations and months reflects a moderate-to-high diversity characteristic of </w:t>
      </w:r>
      <w:proofErr w:type="spellStart"/>
      <w:r w:rsidRPr="000E490A">
        <w:t>mesotrophic</w:t>
      </w:r>
      <w:proofErr w:type="spellEnd"/>
      <w:r w:rsidRPr="000E490A">
        <w:t xml:space="preserve"> to eutrophic tropical freshwaters (</w:t>
      </w:r>
      <w:proofErr w:type="spellStart"/>
      <w:r w:rsidRPr="000E490A">
        <w:t>Padisák</w:t>
      </w:r>
      <w:proofErr w:type="spellEnd"/>
      <w:r w:rsidRPr="000E490A">
        <w:t xml:space="preserve"> et al., 2016). The dominance of </w:t>
      </w:r>
      <w:proofErr w:type="spellStart"/>
      <w:r w:rsidRPr="000E490A">
        <w:t>Bacillariophyta</w:t>
      </w:r>
      <w:proofErr w:type="spellEnd"/>
      <w:r w:rsidRPr="000E490A">
        <w:t xml:space="preserve"> (total abundance: 92; mean: 3.07 ± 1.84) across all months is ecologically significant, as diatoms are widely </w:t>
      </w:r>
      <w:proofErr w:type="spellStart"/>
      <w:r w:rsidRPr="000E490A">
        <w:t>recognised</w:t>
      </w:r>
      <w:proofErr w:type="spellEnd"/>
      <w:r w:rsidRPr="000E490A">
        <w:t xml:space="preserve"> as indicators of good to moderate water quality in tropical systems (Round et al., 2007). The most abundant diatom, </w:t>
      </w:r>
      <w:proofErr w:type="spellStart"/>
      <w:r w:rsidRPr="000E490A">
        <w:t>Aulacoseira</w:t>
      </w:r>
      <w:proofErr w:type="spellEnd"/>
      <w:r w:rsidRPr="000E490A">
        <w:t xml:space="preserve"> </w:t>
      </w:r>
      <w:proofErr w:type="spellStart"/>
      <w:r w:rsidRPr="000E490A">
        <w:t>granulata</w:t>
      </w:r>
      <w:proofErr w:type="spellEnd"/>
      <w:r w:rsidRPr="000E490A">
        <w:t>, is typically associated with nutrient-enriched, well-mixed water columns that provide sufficient turbulence to maintain this large centric diatom in suspension (</w:t>
      </w:r>
      <w:proofErr w:type="spellStart"/>
      <w:r w:rsidRPr="000E490A">
        <w:t>Kilham</w:t>
      </w:r>
      <w:proofErr w:type="spellEnd"/>
      <w:r w:rsidRPr="000E490A">
        <w:t xml:space="preserve"> et al., 1986). Its widespread occurrence across both upstream and downstream stations suggests that physical mixing conditions at this water body are broadly suitable for diatom growth, notwithstanding the deteriorating chemical conditions at downstream sites.</w:t>
      </w:r>
    </w:p>
    <w:p w:rsidR="002E6F92" w:rsidRPr="000E490A" w:rsidRDefault="002E6F92" w:rsidP="002E6F92">
      <w:pPr>
        <w:spacing w:before="80" w:after="80" w:line="360" w:lineRule="auto"/>
        <w:ind w:firstLine="720"/>
        <w:jc w:val="both"/>
      </w:pPr>
      <w:r w:rsidRPr="000E490A">
        <w:t xml:space="preserve">The moderate but ecologically important contribution of </w:t>
      </w:r>
      <w:proofErr w:type="spellStart"/>
      <w:r w:rsidRPr="000E490A">
        <w:t>Cyanophyta</w:t>
      </w:r>
      <w:proofErr w:type="spellEnd"/>
      <w:r w:rsidRPr="000E490A">
        <w:t xml:space="preserve"> (total: 72; mean: 2.40 ± 1.57) warrants careful interpretation. The dominance of </w:t>
      </w:r>
      <w:proofErr w:type="spellStart"/>
      <w:r w:rsidRPr="000E490A">
        <w:t>Oscillatoria</w:t>
      </w:r>
      <w:proofErr w:type="spellEnd"/>
      <w:r w:rsidRPr="000E490A">
        <w:t xml:space="preserve"> species (</w:t>
      </w:r>
      <w:proofErr w:type="spellStart"/>
      <w:r w:rsidRPr="000E490A">
        <w:t>Oscillatoria</w:t>
      </w:r>
      <w:proofErr w:type="spellEnd"/>
      <w:r w:rsidRPr="000E490A">
        <w:t xml:space="preserve"> </w:t>
      </w:r>
      <w:proofErr w:type="spellStart"/>
      <w:r w:rsidRPr="000E490A">
        <w:t>bornettia</w:t>
      </w:r>
      <w:proofErr w:type="spellEnd"/>
      <w:r w:rsidRPr="000E490A">
        <w:t xml:space="preserve">: 16 occurrences; </w:t>
      </w:r>
      <w:proofErr w:type="spellStart"/>
      <w:r w:rsidRPr="000E490A">
        <w:t>Oscillatoria</w:t>
      </w:r>
      <w:proofErr w:type="spellEnd"/>
      <w:r w:rsidRPr="000E490A">
        <w:t xml:space="preserve"> </w:t>
      </w:r>
      <w:proofErr w:type="spellStart"/>
      <w:r w:rsidRPr="000E490A">
        <w:t>granulata</w:t>
      </w:r>
      <w:proofErr w:type="spellEnd"/>
      <w:r w:rsidRPr="000E490A">
        <w:t xml:space="preserve">: 8 occurrences) and the occurrence of </w:t>
      </w:r>
      <w:proofErr w:type="spellStart"/>
      <w:r w:rsidRPr="000E490A">
        <w:t>Microcystis</w:t>
      </w:r>
      <w:proofErr w:type="spellEnd"/>
      <w:r w:rsidRPr="000E490A">
        <w:t xml:space="preserve"> </w:t>
      </w:r>
      <w:proofErr w:type="spellStart"/>
      <w:r w:rsidRPr="000E490A">
        <w:t>aeruginosa</w:t>
      </w:r>
      <w:proofErr w:type="spellEnd"/>
      <w:r w:rsidRPr="000E490A">
        <w:t xml:space="preserve"> (4 occurrences) and </w:t>
      </w:r>
      <w:proofErr w:type="spellStart"/>
      <w:r w:rsidRPr="000E490A">
        <w:t>Microcystis</w:t>
      </w:r>
      <w:proofErr w:type="spellEnd"/>
      <w:r w:rsidRPr="000E490A">
        <w:t xml:space="preserve"> </w:t>
      </w:r>
      <w:proofErr w:type="spellStart"/>
      <w:r w:rsidRPr="000E490A">
        <w:t>flos-aque</w:t>
      </w:r>
      <w:proofErr w:type="spellEnd"/>
      <w:r w:rsidRPr="000E490A">
        <w:t xml:space="preserve"> (7 occurrences) across multiple stations signal eutrophic pressure that extends well beyond purely chemical indicators. </w:t>
      </w:r>
      <w:proofErr w:type="spellStart"/>
      <w:r w:rsidRPr="000E490A">
        <w:t>Microcystis</w:t>
      </w:r>
      <w:proofErr w:type="spellEnd"/>
      <w:r w:rsidRPr="000E490A">
        <w:t xml:space="preserve"> species are among the most widely documented producers of hepatotoxic </w:t>
      </w:r>
      <w:proofErr w:type="spellStart"/>
      <w:r w:rsidRPr="000E490A">
        <w:t>microcystins</w:t>
      </w:r>
      <w:proofErr w:type="spellEnd"/>
      <w:r w:rsidRPr="000E490A">
        <w:t xml:space="preserve"> in African f</w:t>
      </w:r>
      <w:r w:rsidR="00E33598">
        <w:t>reshwaters, and their presence even at moderate frequencies</w:t>
      </w:r>
      <w:r w:rsidRPr="000E490A">
        <w:t xml:space="preserve"> raises concerns about </w:t>
      </w:r>
      <w:proofErr w:type="spellStart"/>
      <w:r w:rsidRPr="000E490A">
        <w:t>cyanotoxin</w:t>
      </w:r>
      <w:proofErr w:type="spellEnd"/>
      <w:r w:rsidRPr="000E490A">
        <w:t xml:space="preserve"> risk in a water body potentially used for domestic purposes (</w:t>
      </w:r>
      <w:proofErr w:type="spellStart"/>
      <w:r w:rsidRPr="000E490A">
        <w:t>Codd</w:t>
      </w:r>
      <w:proofErr w:type="spellEnd"/>
      <w:r w:rsidRPr="000E490A">
        <w:t xml:space="preserve"> et al., 2005; Chorus &amp; Bartram, 1999). The moderate positive correlation between </w:t>
      </w:r>
      <w:proofErr w:type="spellStart"/>
      <w:r w:rsidRPr="000E490A">
        <w:t>Cyanophyta</w:t>
      </w:r>
      <w:proofErr w:type="spellEnd"/>
      <w:r w:rsidRPr="000E490A">
        <w:t xml:space="preserve"> and turbidity (r = 0.374) is consistent with the well-established competitive advantage of buoyancy-regulating blue-green algae in turbid, light-attenuated environments (Reynolds, 2006). The increase of </w:t>
      </w:r>
      <w:proofErr w:type="spellStart"/>
      <w:r w:rsidRPr="000E490A">
        <w:t>Cyanophyta</w:t>
      </w:r>
      <w:proofErr w:type="spellEnd"/>
      <w:r w:rsidRPr="000E490A">
        <w:t xml:space="preserve"> to a peak of</w:t>
      </w:r>
      <w:r w:rsidR="00E33598">
        <w:t xml:space="preserve"> 7 species at Stn2 in November</w:t>
      </w:r>
      <w:r w:rsidRPr="000E490A">
        <w:t xml:space="preserve"> the highest </w:t>
      </w:r>
      <w:proofErr w:type="spellStart"/>
      <w:r w:rsidRPr="000E490A">
        <w:t>cyanophyte</w:t>
      </w:r>
      <w:proofErr w:type="spellEnd"/>
      <w:r w:rsidRPr="000E490A">
        <w:t xml:space="preserve"> count</w:t>
      </w:r>
      <w:r w:rsidR="00E33598">
        <w:t xml:space="preserve"> recorded in the entire study </w:t>
      </w:r>
      <w:r w:rsidRPr="000E490A">
        <w:t xml:space="preserve">suggests that eutrophication pressure was intensifying toward the end of the study period rather than </w:t>
      </w:r>
      <w:proofErr w:type="spellStart"/>
      <w:r w:rsidRPr="000E490A">
        <w:t>stabilising</w:t>
      </w:r>
      <w:proofErr w:type="spellEnd"/>
      <w:r w:rsidRPr="000E490A">
        <w:t>.</w:t>
      </w:r>
    </w:p>
    <w:p w:rsidR="002E6F92" w:rsidRPr="000E490A" w:rsidRDefault="002E6F92" w:rsidP="002E6F92">
      <w:pPr>
        <w:spacing w:before="80" w:after="80" w:line="360" w:lineRule="auto"/>
        <w:ind w:firstLine="720"/>
        <w:jc w:val="both"/>
      </w:pPr>
      <w:proofErr w:type="spellStart"/>
      <w:r w:rsidRPr="000E490A">
        <w:t>Euglenophyta</w:t>
      </w:r>
      <w:proofErr w:type="spellEnd"/>
      <w:r w:rsidRPr="000E490A">
        <w:t xml:space="preserve">, though the least abundant phytoplankton group overall (total: 44; mean: 1.47 ± 1.33), provided additional </w:t>
      </w:r>
      <w:proofErr w:type="spellStart"/>
      <w:r w:rsidRPr="000E490A">
        <w:t>bioindicator</w:t>
      </w:r>
      <w:proofErr w:type="spellEnd"/>
      <w:r w:rsidRPr="000E490A">
        <w:t xml:space="preserve"> signal of organic enrichment at downstream stations. The distribution of Euglena sp. and </w:t>
      </w:r>
      <w:proofErr w:type="spellStart"/>
      <w:r w:rsidRPr="000E490A">
        <w:t>Trachelomonas</w:t>
      </w:r>
      <w:proofErr w:type="spellEnd"/>
      <w:r w:rsidRPr="000E490A">
        <w:t xml:space="preserve"> sp. predominantly at stations Stn6–Stn10, where BOD values were consistently highest, is consistent with the well-documented association between </w:t>
      </w:r>
      <w:proofErr w:type="spellStart"/>
      <w:r w:rsidRPr="000E490A">
        <w:t>Euglenophytes</w:t>
      </w:r>
      <w:proofErr w:type="spellEnd"/>
      <w:r w:rsidRPr="000E490A">
        <w:t xml:space="preserve"> and organically polluted waters (</w:t>
      </w:r>
      <w:proofErr w:type="spellStart"/>
      <w:r w:rsidRPr="000E490A">
        <w:t>Wolowski</w:t>
      </w:r>
      <w:proofErr w:type="spellEnd"/>
      <w:r w:rsidRPr="000E490A">
        <w:t xml:space="preserve"> </w:t>
      </w:r>
      <w:r w:rsidRPr="000E490A">
        <w:lastRenderedPageBreak/>
        <w:t xml:space="preserve">&amp; </w:t>
      </w:r>
      <w:proofErr w:type="spellStart"/>
      <w:r w:rsidRPr="000E490A">
        <w:t>Hindák</w:t>
      </w:r>
      <w:proofErr w:type="spellEnd"/>
      <w:r w:rsidRPr="000E490A">
        <w:t>, 2005). The overall temporal patt</w:t>
      </w:r>
      <w:r w:rsidR="00E33598">
        <w:t>ern of phytoplankton abundance</w:t>
      </w:r>
      <w:r w:rsidRPr="000E490A">
        <w:t xml:space="preserve"> lowest in July (68 species-occurrences across all groups), increasing through September (111) and r</w:t>
      </w:r>
      <w:r w:rsidR="00E33598">
        <w:t>emaining</w:t>
      </w:r>
      <w:r w:rsidR="00C949B1">
        <w:t xml:space="preserve"> high in November (97)</w:t>
      </w:r>
      <w:r w:rsidRPr="000E490A">
        <w:t xml:space="preserve"> reflects seasonal succession dynamics broadly consistent with the Plankton Ecology Group (PEG) model, where community richness increases as physical disturbance moderates following the wet-season turbulence period (</w:t>
      </w:r>
      <w:proofErr w:type="spellStart"/>
      <w:r w:rsidRPr="000E490A">
        <w:t>Sommer</w:t>
      </w:r>
      <w:proofErr w:type="spellEnd"/>
      <w:r w:rsidRPr="000E490A">
        <w:t xml:space="preserve"> et al., 2012).</w:t>
      </w:r>
    </w:p>
    <w:p w:rsidR="002E6F92" w:rsidRPr="000E490A" w:rsidRDefault="00E33598" w:rsidP="002E6F92">
      <w:pPr>
        <w:pStyle w:val="Heading2"/>
        <w:rPr>
          <w:color w:val="auto"/>
        </w:rPr>
      </w:pPr>
      <w:r>
        <w:rPr>
          <w:color w:val="auto"/>
        </w:rPr>
        <w:t>4.9</w:t>
      </w:r>
      <w:r w:rsidR="002E6F92" w:rsidRPr="000E490A">
        <w:rPr>
          <w:color w:val="auto"/>
        </w:rPr>
        <w:t>.4 Zooplankton Community Dynamics</w:t>
      </w:r>
    </w:p>
    <w:p w:rsidR="002E6F92" w:rsidRPr="000E490A" w:rsidRDefault="002E6F92" w:rsidP="002E6F92">
      <w:pPr>
        <w:spacing w:before="80" w:after="80" w:line="360" w:lineRule="auto"/>
        <w:ind w:firstLine="720"/>
        <w:jc w:val="both"/>
      </w:pPr>
      <w:r w:rsidRPr="000E490A">
        <w:t xml:space="preserve">The zooplankton community recorded in this study was dominated numerically and in terms of spatial coverage by </w:t>
      </w:r>
      <w:proofErr w:type="spellStart"/>
      <w:r w:rsidRPr="000E490A">
        <w:t>Rotifera</w:t>
      </w:r>
      <w:proofErr w:type="spellEnd"/>
      <w:r w:rsidRPr="000E490A">
        <w:t xml:space="preserve"> (total: 269; mean: 8.97 ± 2.46), reflecting the characteristic ability of this group to persist across a wide range of environmental condition</w:t>
      </w:r>
      <w:r w:rsidR="00C949B1">
        <w:t xml:space="preserve">s. The resilience of </w:t>
      </w:r>
      <w:proofErr w:type="spellStart"/>
      <w:r w:rsidR="00C949B1">
        <w:t>Rotifera</w:t>
      </w:r>
      <w:proofErr w:type="spellEnd"/>
      <w:r w:rsidR="00C949B1">
        <w:t xml:space="preserve"> </w:t>
      </w:r>
      <w:r w:rsidRPr="000E490A">
        <w:t xml:space="preserve">particularly taxa such as </w:t>
      </w:r>
      <w:proofErr w:type="spellStart"/>
      <w:r w:rsidRPr="000E490A">
        <w:t>Keratella</w:t>
      </w:r>
      <w:proofErr w:type="spellEnd"/>
      <w:r w:rsidRPr="000E490A">
        <w:t xml:space="preserve"> </w:t>
      </w:r>
      <w:proofErr w:type="spellStart"/>
      <w:r w:rsidRPr="000E490A">
        <w:t>quadrata</w:t>
      </w:r>
      <w:proofErr w:type="spellEnd"/>
      <w:r w:rsidRPr="000E490A">
        <w:t xml:space="preserve">, </w:t>
      </w:r>
      <w:proofErr w:type="spellStart"/>
      <w:r w:rsidRPr="000E490A">
        <w:t>Brachionus</w:t>
      </w:r>
      <w:proofErr w:type="spellEnd"/>
      <w:r w:rsidRPr="000E490A">
        <w:t xml:space="preserve"> </w:t>
      </w:r>
      <w:proofErr w:type="spellStart"/>
      <w:r w:rsidRPr="000E490A">
        <w:t>angulari</w:t>
      </w:r>
      <w:r w:rsidR="00C949B1">
        <w:t>s</w:t>
      </w:r>
      <w:proofErr w:type="spellEnd"/>
      <w:r w:rsidR="00C949B1">
        <w:t xml:space="preserve">, and </w:t>
      </w:r>
      <w:proofErr w:type="spellStart"/>
      <w:r w:rsidR="00C949B1">
        <w:t>Asplanchna</w:t>
      </w:r>
      <w:proofErr w:type="spellEnd"/>
      <w:r w:rsidR="00C949B1">
        <w:t xml:space="preserve"> </w:t>
      </w:r>
      <w:proofErr w:type="spellStart"/>
      <w:r w:rsidR="00C949B1">
        <w:t>brightwelli</w:t>
      </w:r>
      <w:proofErr w:type="spellEnd"/>
      <w:r w:rsidR="00C949B1">
        <w:t xml:space="preserve"> </w:t>
      </w:r>
      <w:r w:rsidRPr="000E490A">
        <w:t xml:space="preserve">in the face of declining DO, elevated BOD, and sub-threshold metal concentrations is well-documented in the </w:t>
      </w:r>
      <w:proofErr w:type="spellStart"/>
      <w:r w:rsidRPr="000E490A">
        <w:t>limnological</w:t>
      </w:r>
      <w:proofErr w:type="spellEnd"/>
      <w:r w:rsidRPr="000E490A">
        <w:t xml:space="preserve"> literature (Wallace &amp; Snell, 2010). </w:t>
      </w:r>
      <w:proofErr w:type="spellStart"/>
      <w:r w:rsidRPr="000E490A">
        <w:t>Rotifera</w:t>
      </w:r>
      <w:proofErr w:type="spellEnd"/>
      <w:r w:rsidRPr="000E490A">
        <w:t xml:space="preserve"> are </w:t>
      </w:r>
      <w:proofErr w:type="spellStart"/>
      <w:r w:rsidRPr="000E490A">
        <w:t>parthenogenetically</w:t>
      </w:r>
      <w:proofErr w:type="spellEnd"/>
      <w:r w:rsidRPr="000E490A">
        <w:t xml:space="preserve"> reproducing organisms with short generation times that allow rapid population recovery following perturbation, making them inherently more resilient to episodic environmental stress than the longer-lived crustacean groups (</w:t>
      </w:r>
      <w:proofErr w:type="spellStart"/>
      <w:r w:rsidRPr="000E490A">
        <w:t>Nweze</w:t>
      </w:r>
      <w:proofErr w:type="spellEnd"/>
      <w:r w:rsidRPr="000E490A">
        <w:t xml:space="preserve"> et al., 2019). Their dominance across all ten stations and all three months in this study is therefore consistent with the organically enriched, </w:t>
      </w:r>
      <w:proofErr w:type="spellStart"/>
      <w:r w:rsidRPr="000E490A">
        <w:t>physicochemically</w:t>
      </w:r>
      <w:proofErr w:type="spellEnd"/>
      <w:r w:rsidRPr="000E490A">
        <w:t xml:space="preserve"> variable conditions documented throughout the water body.</w:t>
      </w:r>
    </w:p>
    <w:p w:rsidR="002E6F92" w:rsidRPr="000E490A" w:rsidRDefault="002E6F92" w:rsidP="002E6F92">
      <w:pPr>
        <w:spacing w:before="80" w:after="80" w:line="360" w:lineRule="auto"/>
        <w:ind w:firstLine="720"/>
        <w:jc w:val="both"/>
      </w:pPr>
      <w:r w:rsidRPr="000E490A">
        <w:t xml:space="preserve">The </w:t>
      </w:r>
      <w:proofErr w:type="spellStart"/>
      <w:r w:rsidRPr="000E490A">
        <w:t>Cladocera</w:t>
      </w:r>
      <w:proofErr w:type="spellEnd"/>
      <w:r w:rsidRPr="000E490A">
        <w:t xml:space="preserve"> and </w:t>
      </w:r>
      <w:proofErr w:type="spellStart"/>
      <w:r w:rsidRPr="000E490A">
        <w:t>Copepoda</w:t>
      </w:r>
      <w:proofErr w:type="spellEnd"/>
      <w:r w:rsidRPr="000E490A">
        <w:t xml:space="preserve"> groups showed the most environmentally structured distribution patterns among the zooplankton, with both exhibiting negative correlations with Zn (</w:t>
      </w:r>
      <w:proofErr w:type="spellStart"/>
      <w:r w:rsidRPr="000E490A">
        <w:t>Cladocera</w:t>
      </w:r>
      <w:proofErr w:type="spellEnd"/>
      <w:r w:rsidRPr="000E490A">
        <w:t xml:space="preserve">: r = −0.434; </w:t>
      </w:r>
      <w:proofErr w:type="spellStart"/>
      <w:r w:rsidRPr="000E490A">
        <w:t>Copepoda</w:t>
      </w:r>
      <w:proofErr w:type="spellEnd"/>
      <w:r w:rsidRPr="000E490A">
        <w:t xml:space="preserve">: r = −0.417) and </w:t>
      </w:r>
      <w:proofErr w:type="spellStart"/>
      <w:r w:rsidRPr="000E490A">
        <w:t>Copepoda</w:t>
      </w:r>
      <w:proofErr w:type="spellEnd"/>
      <w:r w:rsidRPr="000E490A">
        <w:t xml:space="preserve"> also showing a negative response to BOD (r = −0.220) and DO (r = −0.274). The minimum </w:t>
      </w:r>
      <w:proofErr w:type="spellStart"/>
      <w:r w:rsidRPr="000E490A">
        <w:t>Cladocera</w:t>
      </w:r>
      <w:proofErr w:type="spellEnd"/>
      <w:r w:rsidRPr="000E490A">
        <w:t xml:space="preserve"> count of one species at Stn9 in July — coinciding with the study's highest Zn concentration at that station (0.243 mg/L) — is a compelling example of the potential for </w:t>
      </w:r>
      <w:proofErr w:type="spellStart"/>
      <w:r w:rsidRPr="000E490A">
        <w:t>localised</w:t>
      </w:r>
      <w:proofErr w:type="spellEnd"/>
      <w:r w:rsidRPr="000E490A">
        <w:t xml:space="preserve"> heavy metal stress to depress crustacean diversity even in the absence of regulatory </w:t>
      </w:r>
      <w:proofErr w:type="spellStart"/>
      <w:r w:rsidRPr="000E490A">
        <w:t>exceedance</w:t>
      </w:r>
      <w:proofErr w:type="spellEnd"/>
      <w:r w:rsidRPr="000E490A">
        <w:t xml:space="preserve">. This finding supports the emerging view that regulatory threshold-based approaches to metal risk assessment may underestimate biological impairment in ecologically sensitive taxa under field conditions (Rainbow, 2002; </w:t>
      </w:r>
      <w:proofErr w:type="spellStart"/>
      <w:r w:rsidRPr="000E490A">
        <w:t>Muyssen</w:t>
      </w:r>
      <w:proofErr w:type="spellEnd"/>
      <w:r w:rsidRPr="000E490A">
        <w:t xml:space="preserve"> &amp; Janssen, 2001). The total zooplankton abundance peaked in September (265 individuals), coinciding with peak phytoplankton abundance (317 species-occurrences), suggesting bottom-up trophic coupling between the primary producers </w:t>
      </w:r>
      <w:r w:rsidRPr="000E490A">
        <w:lastRenderedPageBreak/>
        <w:t>an</w:t>
      </w:r>
      <w:r w:rsidR="00C949B1">
        <w:t xml:space="preserve">d their zooplankton consumers </w:t>
      </w:r>
      <w:r w:rsidRPr="000E490A">
        <w:t xml:space="preserve">a relationship corroborated by the broader ecological stoichiometry literature (Sterner &amp; </w:t>
      </w:r>
      <w:proofErr w:type="spellStart"/>
      <w:r w:rsidRPr="000E490A">
        <w:t>Elser</w:t>
      </w:r>
      <w:proofErr w:type="spellEnd"/>
      <w:r w:rsidRPr="000E490A">
        <w:t>, 2002).</w:t>
      </w:r>
    </w:p>
    <w:p w:rsidR="002E6F92" w:rsidRPr="000E490A" w:rsidRDefault="00E33598" w:rsidP="002E6F92">
      <w:pPr>
        <w:pStyle w:val="Heading2"/>
        <w:rPr>
          <w:color w:val="auto"/>
        </w:rPr>
      </w:pPr>
      <w:r>
        <w:rPr>
          <w:color w:val="auto"/>
        </w:rPr>
        <w:t>4.9</w:t>
      </w:r>
      <w:r w:rsidR="002E6F92" w:rsidRPr="000E490A">
        <w:rPr>
          <w:color w:val="auto"/>
        </w:rPr>
        <w:t>.5 Species Richness and Seasonal Succession</w:t>
      </w:r>
    </w:p>
    <w:p w:rsidR="002E6F92" w:rsidRPr="000E490A" w:rsidRDefault="002E6F92" w:rsidP="002E6F92">
      <w:pPr>
        <w:spacing w:before="80" w:after="80" w:line="360" w:lineRule="auto"/>
        <w:ind w:firstLine="720"/>
        <w:jc w:val="both"/>
      </w:pPr>
      <w:r w:rsidRPr="000E490A">
        <w:t xml:space="preserve">The progressive increase in species richness from July (64) to September (100) to November (117) is one of the most compelling findings of this study, representing an 83% increase across the study period. This temporal trajectory is consistent with the expectation that community richness increases as environmental disturbance moderates following the high-turbidity, high-BOD, high-turbulence wet season associated with July (Connell, 1978). The recovery of richness toward November, despite declining DO at downstream stations, suggests that the community was responding primarily to improving food web conditions, </w:t>
      </w:r>
      <w:proofErr w:type="spellStart"/>
      <w:r w:rsidRPr="000E490A">
        <w:t>stabilising</w:t>
      </w:r>
      <w:proofErr w:type="spellEnd"/>
      <w:r w:rsidRPr="000E490A">
        <w:t xml:space="preserve"> habitat heterogeneity, an</w:t>
      </w:r>
      <w:r w:rsidR="00C949B1">
        <w:t xml:space="preserve">d competitive diversification </w:t>
      </w:r>
      <w:r w:rsidRPr="000E490A">
        <w:t>rather than to any single physicochemical driver (</w:t>
      </w:r>
      <w:proofErr w:type="spellStart"/>
      <w:r w:rsidRPr="000E490A">
        <w:t>Sommer</w:t>
      </w:r>
      <w:proofErr w:type="spellEnd"/>
      <w:r w:rsidRPr="000E490A">
        <w:t xml:space="preserve"> et al., 2012). This interpretation is supported by the strong positive correlations between species richness and all four phytoplankton groups (</w:t>
      </w:r>
      <w:proofErr w:type="spellStart"/>
      <w:r w:rsidRPr="000E490A">
        <w:t>Bacillariophyta</w:t>
      </w:r>
      <w:proofErr w:type="spellEnd"/>
      <w:r w:rsidRPr="000E490A">
        <w:t xml:space="preserve">: r = 0.673; </w:t>
      </w:r>
      <w:proofErr w:type="spellStart"/>
      <w:r w:rsidRPr="000E490A">
        <w:t>Chlorophyta</w:t>
      </w:r>
      <w:proofErr w:type="spellEnd"/>
      <w:r w:rsidRPr="000E490A">
        <w:t xml:space="preserve">: r = 0.631; </w:t>
      </w:r>
      <w:proofErr w:type="spellStart"/>
      <w:r w:rsidRPr="000E490A">
        <w:t>Cyanophyta</w:t>
      </w:r>
      <w:proofErr w:type="spellEnd"/>
      <w:r w:rsidRPr="000E490A">
        <w:t xml:space="preserve">: r = 0.510; </w:t>
      </w:r>
      <w:proofErr w:type="spellStart"/>
      <w:r w:rsidRPr="000E490A">
        <w:t>Euglenophyta</w:t>
      </w:r>
      <w:proofErr w:type="spellEnd"/>
      <w:r w:rsidRPr="000E490A">
        <w:t>: r = 0.469), indicating that phytoplankton diversity was the principal bottom-up driver of overall community richness across the study sites (</w:t>
      </w:r>
      <w:proofErr w:type="spellStart"/>
      <w:r w:rsidRPr="000E490A">
        <w:t>Tilman</w:t>
      </w:r>
      <w:proofErr w:type="spellEnd"/>
      <w:r w:rsidRPr="000E490A">
        <w:t xml:space="preserve"> et al., 2014).</w:t>
      </w:r>
    </w:p>
    <w:p w:rsidR="002E6F92" w:rsidRPr="000E490A" w:rsidRDefault="002E6F92" w:rsidP="002E6F92">
      <w:pPr>
        <w:spacing w:before="80" w:after="80" w:line="360" w:lineRule="auto"/>
        <w:ind w:firstLine="720"/>
        <w:jc w:val="both"/>
      </w:pPr>
      <w:r w:rsidRPr="000E490A">
        <w:t xml:space="preserve">The spatial heterogeneity in </w:t>
      </w:r>
      <w:r w:rsidR="00C949B1">
        <w:t>station-level species richness</w:t>
      </w:r>
      <w:r w:rsidRPr="000E490A">
        <w:t xml:space="preserve"> with Stn2 and Stn10 recording the highest cumulative richness (33 </w:t>
      </w:r>
      <w:r w:rsidR="00C949B1">
        <w:t>each) and Stn3 the lowest (18)</w:t>
      </w:r>
      <w:r w:rsidRPr="000E490A">
        <w:t xml:space="preserve"> cannot be explained by the upstream-to-downstream pollution gradient alone, suggesting that local factors including microhabitat heterogeneity, hydrological dynamics, and specific nutrient inputs contribute independently to diversity at individual stations (MacArthur &amp; Wilson, 1967). The dramatic nine-fold increase in richness at Stn7 between July (2 species) and November (18 species) may reflect competitive diversification following early-season dominance by a narrow assemblage of tolerant pioneer taxa, a successional trajectory consistent with the intermediate disturbance hypothesis and the patch dynamics framework (Connell, 1978; </w:t>
      </w:r>
      <w:proofErr w:type="spellStart"/>
      <w:r w:rsidRPr="000E490A">
        <w:t>Dodds</w:t>
      </w:r>
      <w:proofErr w:type="spellEnd"/>
      <w:r w:rsidRPr="000E490A">
        <w:t xml:space="preserve"> &amp; Whiles, 2019).</w:t>
      </w:r>
    </w:p>
    <w:p w:rsidR="002E6F92" w:rsidRPr="000E490A" w:rsidRDefault="00E33598" w:rsidP="002E6F92">
      <w:pPr>
        <w:pStyle w:val="Heading2"/>
        <w:rPr>
          <w:color w:val="auto"/>
        </w:rPr>
      </w:pPr>
      <w:r>
        <w:rPr>
          <w:color w:val="auto"/>
        </w:rPr>
        <w:t>4.9</w:t>
      </w:r>
      <w:r w:rsidR="002E6F92" w:rsidRPr="000E490A">
        <w:rPr>
          <w:color w:val="auto"/>
        </w:rPr>
        <w:t>.6 Correlative Relationships: Synthesis</w:t>
      </w:r>
    </w:p>
    <w:p w:rsidR="002E6F92" w:rsidRPr="000E490A" w:rsidRDefault="002E6F92" w:rsidP="002E6F92">
      <w:pPr>
        <w:spacing w:before="80" w:after="80" w:line="360" w:lineRule="auto"/>
        <w:ind w:firstLine="720"/>
        <w:jc w:val="both"/>
      </w:pPr>
      <w:r w:rsidRPr="000E490A">
        <w:t>The Pearson correlation analysis provides a quantitative framework for interpreting the environmental drivers of plankton</w:t>
      </w:r>
      <w:r w:rsidR="002B4ED7">
        <w:t xml:space="preserve"> distribution in </w:t>
      </w:r>
      <w:proofErr w:type="spellStart"/>
      <w:r w:rsidR="002B4ED7">
        <w:t>Ekpan</w:t>
      </w:r>
      <w:proofErr w:type="spellEnd"/>
      <w:r w:rsidR="002B4ED7">
        <w:t xml:space="preserve"> River</w:t>
      </w:r>
      <w:r w:rsidRPr="000E490A">
        <w:t xml:space="preserve">. The strongest </w:t>
      </w:r>
      <w:proofErr w:type="spellStart"/>
      <w:r w:rsidRPr="000E490A">
        <w:t>intercorrelations</w:t>
      </w:r>
      <w:proofErr w:type="spellEnd"/>
      <w:r w:rsidRPr="000E490A">
        <w:t xml:space="preserve"> </w:t>
      </w:r>
      <w:r w:rsidRPr="000E490A">
        <w:lastRenderedPageBreak/>
        <w:t>among physicochemical parameters (pH–EC: r = −0.980; temperature–EC: r = 0.966; pH–temperature: r = −0.964; TSS–EC: r = 0.976) confirm that the measured parameters constitute co-varying components of a unified downstream pollution gradient rather than independent environmental axes. This multi-</w:t>
      </w:r>
      <w:proofErr w:type="spellStart"/>
      <w:r w:rsidRPr="000E490A">
        <w:t>collinearity</w:t>
      </w:r>
      <w:proofErr w:type="spellEnd"/>
      <w:r w:rsidRPr="000E490A">
        <w:t xml:space="preserve"> is important for management interpretation: improvements in any one parameter (e.g., reducing BOD through wastewater treatment) would be expected to produce co-occurring improvements in related parameters (e.g., rising pH, declining EC) and cascading biological benefits.</w:t>
      </w:r>
    </w:p>
    <w:p w:rsidR="002E6F92" w:rsidRPr="000E490A" w:rsidRDefault="002E6F92" w:rsidP="002E6F92">
      <w:pPr>
        <w:spacing w:before="80" w:after="80" w:line="360" w:lineRule="auto"/>
        <w:ind w:firstLine="720"/>
        <w:jc w:val="both"/>
      </w:pPr>
      <w:r w:rsidRPr="000E490A">
        <w:t>Among the biological correlations, the most practically significant findings are the negative associations between Zn and crustacean zooplankton (</w:t>
      </w:r>
      <w:proofErr w:type="spellStart"/>
      <w:r w:rsidRPr="000E490A">
        <w:t>Cladocera</w:t>
      </w:r>
      <w:proofErr w:type="spellEnd"/>
      <w:r w:rsidRPr="000E490A">
        <w:t xml:space="preserve">: r = −0.434; </w:t>
      </w:r>
      <w:proofErr w:type="spellStart"/>
      <w:r w:rsidRPr="000E490A">
        <w:t>Copepoda</w:t>
      </w:r>
      <w:proofErr w:type="spellEnd"/>
      <w:r w:rsidRPr="000E490A">
        <w:t xml:space="preserve">: r = −0.417) and the positive association between </w:t>
      </w:r>
      <w:proofErr w:type="spellStart"/>
      <w:r w:rsidRPr="000E490A">
        <w:t>Mn</w:t>
      </w:r>
      <w:proofErr w:type="spellEnd"/>
      <w:r w:rsidRPr="000E490A">
        <w:t xml:space="preserve"> and </w:t>
      </w:r>
      <w:proofErr w:type="spellStart"/>
      <w:r w:rsidRPr="000E490A">
        <w:t>Rotifera</w:t>
      </w:r>
      <w:proofErr w:type="spellEnd"/>
      <w:r w:rsidRPr="000E490A">
        <w:t xml:space="preserve"> (r = 0.454). These relationships suggest that even sub-regulatory metal concentrations are exerting selective pressure on zooplankton community composition, with the crustacean groups being suppressed and </w:t>
      </w:r>
      <w:proofErr w:type="spellStart"/>
      <w:r w:rsidRPr="000E490A">
        <w:t>Rotifera</w:t>
      </w:r>
      <w:proofErr w:type="spellEnd"/>
      <w:r w:rsidRPr="000E490A">
        <w:t xml:space="preserve"> potentially benefiting from the competitive space vacated by sensitive taxa. The strong positive correlations between all four phytoplankton groups and overall species richness collectively confirm that maintaining phytoplankton diversity is fundamental to sustaining broader aquatic community</w:t>
      </w:r>
      <w:r w:rsidR="00C949B1">
        <w:t xml:space="preserve"> diversity in this water body </w:t>
      </w:r>
      <w:r w:rsidRPr="000E490A">
        <w:t>a finding with direct implications for management strategies aimed at controlling eutrophication and nutrient loading (Carpenter et al., 2011).</w:t>
      </w:r>
    </w:p>
    <w:p w:rsidR="002E6F92" w:rsidRPr="007254E3" w:rsidRDefault="002E6F92">
      <w:pPr>
        <w:spacing w:before="80" w:after="80" w:line="360" w:lineRule="auto"/>
        <w:ind w:firstLine="720"/>
        <w:jc w:val="both"/>
      </w:pPr>
    </w:p>
    <w:sectPr w:rsidR="002E6F92" w:rsidRPr="007254E3">
      <w:footerReference w:type="default" r:id="rId1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28CF" w:rsidRDefault="002528CF">
      <w:r>
        <w:separator/>
      </w:r>
    </w:p>
  </w:endnote>
  <w:endnote w:type="continuationSeparator" w:id="0">
    <w:p w:rsidR="002528CF" w:rsidRDefault="00252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4DE4" w:rsidRDefault="00344DE4">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28CF" w:rsidRDefault="002528CF">
      <w:r>
        <w:separator/>
      </w:r>
    </w:p>
  </w:footnote>
  <w:footnote w:type="continuationSeparator" w:id="0">
    <w:p w:rsidR="002528CF" w:rsidRDefault="002528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8B7B20"/>
    <w:multiLevelType w:val="hybridMultilevel"/>
    <w:tmpl w:val="8F121188"/>
    <w:lvl w:ilvl="0" w:tplc="DB420404">
      <w:start w:val="1"/>
      <w:numFmt w:val="bullet"/>
      <w:lvlText w:val="●"/>
      <w:lvlJc w:val="left"/>
      <w:pPr>
        <w:ind w:left="720" w:hanging="360"/>
      </w:pPr>
    </w:lvl>
    <w:lvl w:ilvl="1" w:tplc="4AC00D18">
      <w:start w:val="1"/>
      <w:numFmt w:val="bullet"/>
      <w:lvlText w:val="○"/>
      <w:lvlJc w:val="left"/>
      <w:pPr>
        <w:ind w:left="1440" w:hanging="360"/>
      </w:pPr>
    </w:lvl>
    <w:lvl w:ilvl="2" w:tplc="93F82414">
      <w:start w:val="1"/>
      <w:numFmt w:val="bullet"/>
      <w:lvlText w:val="■"/>
      <w:lvlJc w:val="left"/>
      <w:pPr>
        <w:ind w:left="2160" w:hanging="360"/>
      </w:pPr>
    </w:lvl>
    <w:lvl w:ilvl="3" w:tplc="5AAE2A7E">
      <w:start w:val="1"/>
      <w:numFmt w:val="bullet"/>
      <w:lvlText w:val="●"/>
      <w:lvlJc w:val="left"/>
      <w:pPr>
        <w:ind w:left="2880" w:hanging="360"/>
      </w:pPr>
    </w:lvl>
    <w:lvl w:ilvl="4" w:tplc="AFDC0584">
      <w:start w:val="1"/>
      <w:numFmt w:val="bullet"/>
      <w:lvlText w:val="○"/>
      <w:lvlJc w:val="left"/>
      <w:pPr>
        <w:ind w:left="3600" w:hanging="360"/>
      </w:pPr>
    </w:lvl>
    <w:lvl w:ilvl="5" w:tplc="1388A682">
      <w:start w:val="1"/>
      <w:numFmt w:val="bullet"/>
      <w:lvlText w:val="■"/>
      <w:lvlJc w:val="left"/>
      <w:pPr>
        <w:ind w:left="4320" w:hanging="360"/>
      </w:pPr>
    </w:lvl>
    <w:lvl w:ilvl="6" w:tplc="5E622FA2">
      <w:start w:val="1"/>
      <w:numFmt w:val="bullet"/>
      <w:lvlText w:val="●"/>
      <w:lvlJc w:val="left"/>
      <w:pPr>
        <w:ind w:left="5040" w:hanging="360"/>
      </w:pPr>
    </w:lvl>
    <w:lvl w:ilvl="7" w:tplc="B71410AA">
      <w:start w:val="1"/>
      <w:numFmt w:val="bullet"/>
      <w:lvlText w:val="●"/>
      <w:lvlJc w:val="left"/>
      <w:pPr>
        <w:ind w:left="5760" w:hanging="360"/>
      </w:pPr>
    </w:lvl>
    <w:lvl w:ilvl="8" w:tplc="8C4A69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236"/>
    <w:rsid w:val="00217DBC"/>
    <w:rsid w:val="002528CF"/>
    <w:rsid w:val="002B4ED7"/>
    <w:rsid w:val="002E6F92"/>
    <w:rsid w:val="00344DE4"/>
    <w:rsid w:val="004148AF"/>
    <w:rsid w:val="00555920"/>
    <w:rsid w:val="00630F79"/>
    <w:rsid w:val="007254E3"/>
    <w:rsid w:val="00835D18"/>
    <w:rsid w:val="00A07CA4"/>
    <w:rsid w:val="00B6253A"/>
    <w:rsid w:val="00BA5367"/>
    <w:rsid w:val="00C63236"/>
    <w:rsid w:val="00C90BE5"/>
    <w:rsid w:val="00C949B1"/>
    <w:rsid w:val="00DB0BA3"/>
    <w:rsid w:val="00E33598"/>
    <w:rsid w:val="00E816B6"/>
    <w:rsid w:val="00EC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58F022-3B7A-44A8-9935-BC76A0E3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3864"/>
      <w:sz w:val="28"/>
      <w:szCs w:val="28"/>
    </w:rPr>
  </w:style>
  <w:style w:type="paragraph" w:styleId="Heading2">
    <w:name w:val="heading 2"/>
    <w:qFormat/>
    <w:pPr>
      <w:spacing w:before="280" w:after="140"/>
      <w:outlineLvl w:val="1"/>
    </w:pPr>
    <w:rPr>
      <w:b/>
      <w:bCs/>
      <w:color w:val="2E75B6"/>
      <w:sz w:val="26"/>
      <w:szCs w:val="26"/>
    </w:rPr>
  </w:style>
  <w:style w:type="paragraph" w:styleId="Heading3">
    <w:name w:val="heading 3"/>
    <w:qFormat/>
    <w:pPr>
      <w:spacing w:before="200" w:after="100"/>
      <w:outlineLvl w:val="2"/>
    </w:pPr>
    <w:rPr>
      <w:b/>
      <w:bCs/>
      <w:i/>
      <w:iCs/>
      <w:color w:val="2E75B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48AF"/>
    <w:pPr>
      <w:tabs>
        <w:tab w:val="center" w:pos="4680"/>
        <w:tab w:val="right" w:pos="9360"/>
      </w:tabs>
    </w:pPr>
  </w:style>
  <w:style w:type="character" w:customStyle="1" w:styleId="HeaderChar">
    <w:name w:val="Header Char"/>
    <w:basedOn w:val="DefaultParagraphFont"/>
    <w:link w:val="Header"/>
    <w:uiPriority w:val="99"/>
    <w:rsid w:val="004148AF"/>
  </w:style>
  <w:style w:type="paragraph" w:styleId="Footer">
    <w:name w:val="footer"/>
    <w:basedOn w:val="Normal"/>
    <w:link w:val="FooterChar"/>
    <w:uiPriority w:val="99"/>
    <w:unhideWhenUsed/>
    <w:rsid w:val="004148AF"/>
    <w:pPr>
      <w:tabs>
        <w:tab w:val="center" w:pos="4680"/>
        <w:tab w:val="right" w:pos="9360"/>
      </w:tabs>
    </w:pPr>
  </w:style>
  <w:style w:type="character" w:customStyle="1" w:styleId="FooterChar">
    <w:name w:val="Footer Char"/>
    <w:basedOn w:val="DefaultParagraphFont"/>
    <w:link w:val="Footer"/>
    <w:uiPriority w:val="99"/>
    <w:rsid w:val="00414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24BB6-BC3C-4640-B2AA-C33BF4A5E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25</Pages>
  <Words>6689</Words>
  <Characters>38130</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26</cp:revision>
  <dcterms:created xsi:type="dcterms:W3CDTF">2026-06-15T17:55:00Z</dcterms:created>
  <dcterms:modified xsi:type="dcterms:W3CDTF">2026-08-13T10:04:00Z</dcterms:modified>
</cp:coreProperties>
</file>