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6213F"/>
          <w:sz w:val="56"/>
          <w:b/>
        </w:rPr>
        <w:alias w:val="Title"/>
        <w:tag w:val="docuskills_title"/>
        <w:id w:val="101"/>
        <w:placeholder>
          <w:docPart w:val="DefaultPlaceholder_Title"/>
        </w:placeholder>
        <w:text/>
      </w:sdtPr>
      <w:sdtEndPr/>
      <w:sdtContent>
        <w:p>
          <w:pPr>
            <w:pStyle w:val="DocuSkillsCoverTitle"/>
          </w:pPr>
          <w:r>
            <w:rPr>
              <w:color w:val="16213F"/>
              <w:sz w:val="56"/>
              <w:b/>
            </w:rPr>
            <w:t>DocuSkills Brand Operations Review</w:t>
          </w:r>
        </w:p>
      </w:sdtContent>
    </w:sdt>
    <w:p>
      <w:pPr>
        <w:pStyle w:val="DocuSkillsCoverSubtitle"/>
      </w:pPr>
      <w:r>
        <w:t>Annual Brand Operations Review - DocuSkills Corp (synthetic)</w:t>
      </w:r>
    </w:p>
    <w:p>
      <w:r>
        <w:t>Document ID: DSK-BR-2026-014</w:t>
      </w:r>
    </w:p>
    <w:p>
      <w:r>
        <w:t>June 5, 2026</w:t>
      </w:r>
    </w:p>
    <w:p>
      <w:pPr>
        <w:shd w:val="clear" w:color="auto" w:fill="16213F"/>
        <w:pBdr>
          <w:bottom w:val="single" w:sz="24" w:space="2" w:color="E0742B"/>
        </w:pBdr>
        <w:spacing w:before="60" w:after="180"/>
      </w:pPr>
    </w:p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TOC1"/>
      </w:pPr>
      <w: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2"/>
      </w:pPr>
      <w: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1"/>
      </w:pPr>
      <w: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Tables</w:t>
      </w:r>
    </w:p>
    <w:p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t xml:space="preserve">Table 1. DocuSkills FY2026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ableofFigures"/>
      </w:pPr>
      <w:r>
        <w:t xml:space="preserve">Table 2. DocuSkills program rollout matrix</w:t>
      </w:r>
      <w:r>
        <w:tab/>
      </w:r>
      <w:r>
        <w:fldChar w:fldCharType="begin"/>
      </w:r>
      <w:r>
        <w:instrText xml:space="preserve"> PAGEREF _Toc0007 \h </w:instrText>
      </w:r>
      <w:r>
        <w:fldChar w:fldCharType="separate"/>
      </w:r>
      <w:r>
        <w:t xml:space="preserve">7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Figures</w:t>
      </w:r>
    </w:p>
    <w:p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t xml:space="preserve">Figure 1. DocuSkills Corp logo 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ableofFigures"/>
      </w:pPr>
      <w:r>
        <w:t xml:space="preserve">Figure 2. DocuSkills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Heading1"/>
      </w:pPr>
      <w:r>
        <w:t>Brand operating principles</w:t>
      </w:r>
    </w:p>
    <w:p>
      <w:pPr>
        <w:pStyle w:val="DocuSkillsBulletL1"/>
      </w:pPr>
      <w:r>
        <w:t>Consistency before customization</w:t>
      </w:r>
    </w:p>
    <w:p>
      <w:pPr>
        <w:pStyle w:val="DocuSkillsBulletL2"/>
      </w:pPr>
      <w:r>
        <w:t>One palette: navy, teal, amber</w:t>
      </w:r>
    </w:p>
    <w:p>
      <w:pPr>
        <w:pStyle w:val="DocuSkillsBulletL2"/>
      </w:pPr>
      <w:r>
        <w:t>Type scale fixed across all templates</w:t>
      </w:r>
    </w:p>
    <w:p>
      <w:pPr>
        <w:pStyle w:val="DocuSkillsBulletL1"/>
      </w:pPr>
      <w:r>
        <w:t>Templates are contracts, not suggestions</w:t>
      </w:r>
    </w:p>
    <w:p>
      <w:pPr>
        <w:pStyle w:val="DocuSkillsBulletL2"/>
      </w:pPr>
      <w:r>
        <w:t>Cover, contents, and indices are preserved</w:t>
      </w:r>
    </w:p>
    <w:p>
      <w:pPr>
        <w:pStyle w:val="DocuSkillsBulletL2"/>
      </w:pPr>
      <w:r>
        <w:t>Body content is regenerated per request</w:t>
      </w:r>
    </w:p>
    <w:p>
      <w:pPr>
        <w:pStyle w:val="Heading2"/>
      </w:pPr>
      <w:r>
        <w:t>Rollout sequence</w:t>
      </w:r>
    </w:p>
    <w:p>
      <w:pPr>
        <w:pStyle w:val="DocuSkillsNumberL1"/>
      </w:pPr>
      <w:r>
        <w:t>Extract the template surface and brand profile</w:t>
      </w:r>
    </w:p>
    <w:p>
      <w:pPr>
        <w:pStyle w:val="DocuSkillsNumberL1"/>
      </w:pPr>
      <w:r>
        <w:t>Review the captured slots and index front matter</w:t>
      </w:r>
    </w:p>
    <w:p>
      <w:pPr>
        <w:pStyle w:val="DocuSkillsNumberL1"/>
      </w:pPr>
      <w:r>
        <w:t>Generate the branded document</w:t>
      </w:r>
    </w:p>
    <w:p>
      <w:pPr>
        <w:pStyle w:val="Heading2"/>
      </w:pPr>
      <w:r>
        <w:t>DocuSkills quarterly revenue</w:t>
      </w:r>
    </w:p>
    <w:tbl>
      <w:tblPr>
        <w:tblStyle w:val="DocuSkillsTable"/>
        <w:tblW w:type="auto" w:w="0"/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</w:tr>
      <w:tr>
        <w:tc>
          <w:tcPr>
            <w:tcW w:type="dxa" w:w="2160"/>
          </w:tcPr>
          <w:p>
            <w:r>
              <w:t>Q1 2026</w:t>
            </w:r>
          </w:p>
        </w:tc>
        <w:tc>
          <w:tcPr>
            <w:tcW w:type="dxa" w:w="2160"/>
          </w:tcPr>
          <w:p>
            <w:r>
              <w:t>$3.20M</w:t>
            </w:r>
          </w:p>
        </w:tc>
        <w:tc>
          <w:tcPr>
            <w:tcW w:type="dxa" w:w="2160"/>
          </w:tcPr>
          <w:p>
            <w:r>
              <w:t>+8.4%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</w:tr>
      <w:tr>
        <w:tc>
          <w:tcPr>
            <w:tcW w:type="dxa" w:w="2160"/>
          </w:tcPr>
          <w:p>
            <w:r>
              <w:t>Q2 2026</w:t>
            </w:r>
          </w:p>
        </w:tc>
        <w:tc>
          <w:tcPr>
            <w:tcW w:type="dxa" w:w="2160"/>
          </w:tcPr>
          <w:p>
            <w:r>
              <w:t>$3.48M</w:t>
            </w:r>
          </w:p>
        </w:tc>
        <w:tc>
          <w:tcPr>
            <w:tcW w:type="dxa" w:w="2160"/>
          </w:tcPr>
          <w:p>
            <w:r>
              <w:t>+8.8%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</w:tr>
      <w:tr>
        <w:tc>
          <w:tcPr>
            <w:tcW w:type="dxa" w:w="2160"/>
          </w:tcPr>
          <w:p>
            <w:r>
              <w:t>Q3 2026</w:t>
            </w:r>
          </w:p>
        </w:tc>
        <w:tc>
          <w:tcPr>
            <w:tcW w:type="dxa" w:w="2160"/>
          </w:tcPr>
          <w:p>
            <w:r>
              <w:t>$3.91M</w:t>
            </w:r>
          </w:p>
        </w:tc>
        <w:tc>
          <w:tcPr>
            <w:tcW w:type="dxa" w:w="2160"/>
          </w:tcPr>
          <w:p>
            <w:r>
              <w:t>+12.4%</w:t>
            </w:r>
          </w:p>
        </w:tc>
        <w:tc>
          <w:tcPr>
            <w:tcW w:type="dxa" w:w="2160"/>
          </w:tcPr>
          <w:p>
            <w:r>
              <w:t>EMEA</w:t>
            </w:r>
          </w:p>
        </w:tc>
      </w:tr>
      <w:tr>
        <w:tc>
          <w:tcPr>
            <w:tcW w:type="dxa" w:w="2160"/>
          </w:tcPr>
          <w:p>
            <w:r>
              <w:t>Q4 2026</w:t>
            </w:r>
          </w:p>
        </w:tc>
        <w:tc>
          <w:tcPr>
            <w:tcW w:type="dxa" w:w="2160"/>
          </w:tcPr>
          <w:p>
            <w:r>
              <w:t>$4.25M</w:t>
            </w:r>
          </w:p>
        </w:tc>
        <w:tc>
          <w:tcPr>
            <w:tcW w:type="dxa" w:w="2160"/>
          </w:tcPr>
          <w:p>
            <w:r>
              <w:t>+8.7%</w:t>
            </w:r>
          </w:p>
        </w:tc>
        <w:tc>
          <w:tcPr>
            <w:tcW w:type="dxa" w:w="2160"/>
          </w:tcPr>
          <w:p>
            <w:r>
              <w:t>APAC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DocuSkills FY2026 quarterly revenue by region (synthetic data).</w:t>
      </w:r>
    </w:p>
    <w:p>
      <w:pPr>
        <w:pStyle w:val="Heading2"/>
      </w:pPr>
      <w:r>
        <w:t>DocuSkills brand mark</w:t>
      </w:r>
    </w:p>
    <w:p>
      <w:pPr>
        <w:jc w:val="center"/>
      </w:pPr>
      <w:r>
        <w:drawing>
          <wp:inline distT="0" distB="0" distL="0" distR="0">
            <wp:extent cx="1097280" cy="1097280"/>
            <wp:effectExtent l="0" t="0" r="0" b="0"/>
            <wp:docPr id="100" name="DocuSkills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DocuSkills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097280" cy="109728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DocuSkills Corp logo mark (synthetic).</w:t>
      </w:r>
    </w:p>
    <w:p>
      <w:pPr>
        <w:pStyle w:val="DocuSkillsCallout"/>
      </w:pPr>
      <w:r>
        <w:t>DocuSkills Corp is a synthetic, fictional company used to demonstrate an on-brand internal brief. All figures, names, and regions in this template are illustrative.</w:t>
      </w:r>
    </w:p>
    <w:p>
      <w:pPr>
        <w:pStyle w:val="Heading2"/>
      </w:pPr>
      <w:r>
        <w:t>DocuSkills footnote demo</w:t>
      </w:r>
    </w:p>
    <w:p>
      <w:r>
        <w:t>DocuSkills Corp</w:t>
      </w:r>
      <w:r>
        <w:t xml:space="preserve"> is a registered placeholder brand</w:t>
      </w:r>
      <w:r>
        <w:rPr>
          <w:rStyle w:val="FootnoteReference"/>
        </w:rPr>
        <w:footnoteReference w:id="2"/>
      </w:r>
      <w:r>
        <w:t xml:space="preserve"> used throughout this template.</w:t>
      </w:r>
    </w:p>
    <w:p>
      <w:pPr>
        <w:pStyle w:val="Heading1"/>
      </w:pPr>
      <w:r>
        <w:t>Overview</w:t>
      </w:r>
    </w:p>
    <w:p>
      <w:r>
        <w:t>This brief summarizes how the DocuSkills Corp brand system is applied across internal documents. It exists to show a complete, on-brand template; a generation run replaces this body with the requested content.</w:t>
      </w:r>
    </w:p>
    <w:p>
      <w:pPr>
        <w:pStyle w:val="Heading2"/>
      </w:pPr>
      <w:r>
        <w:t>Methodology</w:t>
      </w:r>
    </w:p>
    <w:p>
      <w:r>
        <w:t>Figures are drawn from a synthetic operations dataset maintained by the DocuSkills brand office. Revenue, growth, and regional splits are illustrative and should not be read as real performance data.</w:t>
      </w:r>
    </w:p>
    <w:p>
      <w:pPr>
        <w:sectPr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DocuSkills landscape appendix</w:t>
      </w:r>
    </w:p>
    <w:p>
      <w:r>
        <w:t>This appendix sits in a landscape section. It carries a wide program rollout matrix and a second brand figure that the portrait body cannot fit. Demo content the generator may clear.</w:t>
      </w:r>
    </w:p>
    <w:p>
      <w:pPr>
        <w:pStyle w:val="Heading2"/>
      </w:pPr>
      <w:r>
        <w:t>Program rollout matrix</w:t>
      </w:r>
    </w:p>
    <w:tbl>
      <w:tblPr>
        <w:tblStyle w:val="DocuSkillsTable"/>
        <w:tblW w:type="auto" w:w="0"/>
        <w:tblLayout w:type="fixed"/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400"/>
          </w:tcPr>
          <w:p>
            <w:r>
              <w:t>Owner</w:t>
            </w:r>
          </w:p>
        </w:tc>
        <w:tc>
          <w:tcPr>
            <w:tcW w:type="dxa" w:w="1680"/>
          </w:tcPr>
          <w:p>
            <w:r>
              <w:t>Q1</w:t>
            </w:r>
          </w:p>
        </w:tc>
        <w:tc>
          <w:tcPr>
            <w:tcW w:type="dxa" w:w="1680"/>
          </w:tcPr>
          <w:p>
            <w:r>
              <w:t>Q2</w:t>
            </w:r>
          </w:p>
        </w:tc>
        <w:tc>
          <w:tcPr>
            <w:tcW w:type="dxa" w:w="1680"/>
          </w:tcPr>
          <w:p>
            <w:r>
              <w:t>Q3</w:t>
            </w:r>
          </w:p>
        </w:tc>
        <w:tc>
          <w:tcPr>
            <w:tcW w:type="dxa" w:w="1680"/>
          </w:tcPr>
          <w:p>
            <w:r>
              <w:t>Q4</w:t>
            </w:r>
          </w:p>
        </w:tc>
        <w:tc>
          <w:tcPr>
            <w:tcW w:type="dxa" w:w="16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Template surface</w:t>
            </w:r>
          </w:p>
        </w:tc>
        <w:tc>
          <w:tcPr>
            <w:tcW w:type="dxa" w:w="2400"/>
          </w:tcPr>
          <w:p>
            <w:r>
              <w:t>Brand Office</w:t>
            </w:r>
          </w:p>
        </w:tc>
        <w:tc>
          <w:tcPr>
            <w:tcW w:type="dxa" w:w="1680"/>
          </w:tcPr>
          <w:p>
            <w:r>
              <w:t>Scope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QA</w:t>
            </w:r>
          </w:p>
        </w:tc>
        <w:tc>
          <w:tcPr>
            <w:tcW w:type="dxa" w:w="1680"/>
          </w:tcPr>
          <w:p>
            <w:r>
              <w:t>Ship</w:t>
            </w:r>
          </w:p>
        </w:tc>
        <w:tc>
          <w:tcPr>
            <w:tcW w:type="dxa" w:w="16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Profile extraction</w:t>
            </w:r>
          </w:p>
        </w:tc>
        <w:tc>
          <w:tcPr>
            <w:tcW w:type="dxa" w:w="2400"/>
          </w:tcPr>
          <w:p>
            <w:r>
              <w:t>Platform</w:t>
            </w:r>
          </w:p>
        </w:tc>
        <w:tc>
          <w:tcPr>
            <w:tcW w:type="dxa" w:w="1680"/>
          </w:tcPr>
          <w:p>
            <w:r>
              <w:t>Spec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  <w:tc>
          <w:tcPr>
            <w:tcW w:type="dxa" w:w="1680"/>
          </w:tcPr>
          <w:p>
            <w:r>
              <w:t>Tune</w:t>
            </w:r>
          </w:p>
        </w:tc>
        <w:tc>
          <w:tcPr>
            <w:tcW w:type="dxa" w:w="16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Generation engine</w:t>
            </w:r>
          </w:p>
        </w:tc>
        <w:tc>
          <w:tcPr>
            <w:tcW w:type="dxa" w:w="2400"/>
          </w:tcPr>
          <w:p>
            <w:r>
              <w:t>Platform</w:t>
            </w:r>
          </w:p>
        </w:tc>
        <w:tc>
          <w:tcPr>
            <w:tcW w:type="dxa" w:w="1680"/>
          </w:tcPr>
          <w:p>
            <w:r>
              <w:t>Design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  <w:tc>
          <w:tcPr>
            <w:tcW w:type="dxa" w:w="1680"/>
          </w:tcPr>
          <w:p>
            <w:r>
              <w:t>At risk</w:t>
            </w:r>
          </w:p>
        </w:tc>
      </w:tr>
      <w:tr>
        <w:tc>
          <w:tcPr>
            <w:tcW w:type="dxa" w:w="2880"/>
          </w:tcPr>
          <w:p>
            <w:r>
              <w:t>Rollout &amp; training</w:t>
            </w:r>
          </w:p>
        </w:tc>
        <w:tc>
          <w:tcPr>
            <w:tcW w:type="dxa" w:w="2400"/>
          </w:tcPr>
          <w:p>
            <w:r>
              <w:t>Enablement</w:t>
            </w:r>
          </w:p>
        </w:tc>
        <w:tc>
          <w:tcPr>
            <w:tcW w:type="dxa" w:w="1680"/>
          </w:tcPr>
          <w:p>
            <w:r>
              <w:t>Plan</w:t>
            </w:r>
          </w:p>
        </w:tc>
        <w:tc>
          <w:tcPr>
            <w:tcW w:type="dxa" w:w="1680"/>
          </w:tcPr>
          <w:p>
            <w:r>
              <w:t>Draft</w:t>
            </w:r>
          </w:p>
        </w:tc>
        <w:tc>
          <w:tcPr>
            <w:tcW w:type="dxa" w:w="1680"/>
          </w:tcPr>
          <w:p>
            <w:r>
              <w:t>Pilot</w:t>
            </w:r>
          </w:p>
        </w:tc>
        <w:tc>
          <w:tcPr>
            <w:tcW w:type="dxa" w:w="1680"/>
          </w:tcPr>
          <w:p>
            <w:r>
              <w:t>Launch</w:t>
            </w:r>
          </w:p>
        </w:tc>
        <w:tc>
          <w:tcPr>
            <w:tcW w:type="dxa" w:w="1680"/>
          </w:tcPr>
          <w:p>
            <w:r>
              <w:t>Planned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DocuSkills FY2026 program rollout matrix (synthetic).</w:t>
      </w:r>
    </w:p>
    <w:p>
      <w:pPr>
        <w:pStyle w:val="Heading2"/>
      </w:pPr>
      <w:r>
        <w:t>DocuSkills growth curve</w:t>
      </w:r>
    </w:p>
    <w:p>
      <w:pPr>
        <w:jc w:val="center"/>
      </w:pPr>
      <w:r>
        <w:drawing>
          <wp:inline distT="0" distB="0" distL="0" distR="0">
            <wp:extent cx="2286000" cy="952500"/>
            <wp:effectExtent l="0" t="0" r="0" b="0"/>
            <wp:docPr id="300" name="DocuSkillsGrowth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DocuSkillsGrowthFigur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286000" cy="952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DocuSkills Corp growth curve (synthetic illustration).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DocuSkills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360000" cy="360000"/>
          <wp:effectExtent l="0" t="0" r="0" b="0"/>
          <wp:docPr id="200" name="DocuSkills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DocuSkills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360000" cy="3600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DocuSkillsCoverTitle" w:customStyle="1">
    <w:name w:val="DocuSkills Cover Title"/>
    <w:basedOn w:val="Normal"/>
    <w:qFormat/>
    <w:pPr/>
    <w:rPr>
      <w:b/>
      <w:color w:val="16213F"/>
      <w:sz w:val="56"/>
    </w:rPr>
  </w:style>
  <w:style w:type="paragraph" w:styleId="DocuSkillsCoverSubtitle" w:customStyle="1">
    <w:name w:val="DocuSkills Cover Subtitle"/>
    <w:basedOn w:val="Normal"/>
    <w:qFormat/>
    <w:pPr/>
    <w:rPr>
      <w:color w:val="2B7CD3"/>
      <w:sz w:val="28"/>
    </w:rPr>
  </w:style>
  <w:style w:type="paragraph" w:styleId="DocuSkillsCallout" w:customStyle="1">
    <w:name w:val="DocuSkills Callout"/>
    <w:basedOn w:val="Normal"/>
    <w:qFormat/>
    <w:pPr>
      <w:shd w:val="clear" w:color="auto" w:fill="EAF1FF"/>
      <w:pBdr>
        <w:top w:val="single" w:sz="12" w:space="6" w:color="2B7CD3"/>
        <w:left w:val="single" w:sz="24" w:space="6" w:color="E0742B"/>
        <w:bottom w:val="single" w:sz="12" w:space="6" w:color="2B7CD3"/>
        <w:right w:val="single" w:sz="12" w:space="6" w:color="2B7CD3"/>
      </w:pBdr>
      <w:spacing w:before="120" w:after="120"/>
    </w:pPr>
    <w:rPr>
      <w:color w:val="16213F"/>
    </w:rPr>
  </w:style>
  <w:style w:type="paragraph" w:styleId="DocuSkillsBulletL1" w:customStyle="1">
    <w:name w:val="DocuSkills Bullet L1"/>
    <w:basedOn w:val="ListParagraph"/>
    <w:qFormat/>
    <w:pPr>
      <w:numPr>
        <w:ilvl w:val="0"/>
        <w:numId w:val="1"/>
      </w:numPr>
    </w:pPr>
  </w:style>
  <w:style w:type="paragraph" w:styleId="DocuSkillsBulletL2" w:customStyle="1">
    <w:name w:val="DocuSkills Bullet L2"/>
    <w:basedOn w:val="ListParagraph"/>
    <w:qFormat/>
    <w:pPr>
      <w:numPr>
        <w:ilvl w:val="1"/>
        <w:numId w:val="2"/>
      </w:numPr>
    </w:pPr>
  </w:style>
  <w:style w:type="paragraph" w:styleId="DocuSkillsNumberL1" w:customStyle="1">
    <w:name w:val="DocuSkills Number L1"/>
    <w:basedOn w:val="ListParagraph"/>
    <w:qFormat/>
    <w:pPr>
      <w:numPr>
        <w:ilvl w:val="0"/>
        <w:numId w:val="3"/>
      </w:numPr>
    </w:pPr>
  </w:style>
  <w:style w:type="table" w:styleId="DocuSkillsTable" w:customStyle="1">
    <w:name w:val="DocuSkills Table"/>
    <w:basedOn w:val="TableNormal"/>
    <w:uiPriority w:val="99"/>
    <w:tblPr>
      <w:tblStyleRowBandSize w:val="1"/>
      <w:tblBorders>
        <w:top w:val="single" w:sz="4" w:space="0" w:color="16213F"/>
        <w:left w:val="single" w:sz="4" w:space="0" w:color="16213F"/>
        <w:bottom w:val="single" w:sz="4" w:space="0" w:color="16213F"/>
        <w:right w:val="single" w:sz="4" w:space="0" w:color="16213F"/>
        <w:insideH w:val="single" w:sz="4" w:space="0" w:color="16213F"/>
        <w:insideV w:val="single" w:sz="4" w:space="0" w:color="16213F"/>
      </w:tblBorders>
    </w:tblPr>
    <w:rPr>
      <w:color w:val="16213F"/>
    </w:rPr>
    <w:tblStylePr w:type="firstRow">
      <w:rPr>
        <w:b/>
        <w:color w:val="FFFFFF"/>
      </w:rPr>
      <w:tcPr>
        <w:shd w:val="clear" w:color="auto" w:fill="16213F"/>
      </w:tcPr>
    </w:tblStylePr>
    <w:tblStylePr w:type="band1Horz">
      <w:tcPr>
        <w:shd w:val="clear" w:color="auto" w:fill="DCE7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2026-06-05T00:00:00Z</dcterms:created>
  <dcterms:modified xsi:type="dcterms:W3CDTF">2026-06-05T00:00:00Z</dcterms:modified>
  <cp:category/>
</cp:coreProperties>
</file>