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color w:val="16213F"/>
          <w:sz w:val="56"/>
          <w:b/>
        </w:rPr>
        <w:alias w:val="Title"/>
        <w:tag w:val="branddocs_title"/>
        <w:id w:val="101"/>
        <w:placeholder>
          <w:docPart w:val="DefaultPlaceholder_Title"/>
        </w:placeholder>
        <w:text/>
      </w:sdtPr>
      <w:sdtEndPr/>
      <w:sdtContent>
        <w:p>
          <w:pPr>
            <w:pStyle w:val="BrandDocsCoverTitle"/>
          </w:pPr>
          <w:r>
            <w:rPr>
              <w:color w:val="16213F"/>
              <w:sz w:val="56"/>
              <w:b/>
            </w:rPr>
            <w:t>BrandDocs Brand Operations Review</w:t>
          </w:r>
        </w:p>
      </w:sdtContent>
    </w:sdt>
    <w:p>
      <w:pPr>
        <w:pStyle w:val="BrandDocsCoverSubtitle"/>
      </w:pPr>
      <w:r>
        <w:t>Annual Brand Operations Review - BrandDocs Corp (synthetic)</w:t>
      </w:r>
    </w:p>
    <w:p>
      <w:r>
        <w:t>Document ID: DSK-BR-2026-014</w:t>
      </w:r>
    </w:p>
    <w:p>
      <w:r>
        <w:t>June 5, 2026</w:t>
      </w:r>
    </w:p>
    <w:p>
      <w:pPr>
        <w:shd w:val="clear" w:color="auto" w:fill="16213F"/>
        <w:pBdr>
          <w:bottom w:val="single" w:sz="24" w:space="2" w:color="E0742B"/>
        </w:pBdr>
        <w:spacing w:before="60" w:after="180"/>
      </w:pPr>
    </w:p>
    <w:tbl>
      <w:tblPr>
        <w:tblStyle w:val="BrandDocsTable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t>Brand health</w:t>
            </w:r>
          </w:p>
        </w:tc>
        <w:tc>
          <w:tcPr>
            <w:tcW w:type="dxa" w:w="2160"/>
          </w:tcPr>
          <w:p>
            <w:r>
              <w:t>Template coverage</w:t>
            </w:r>
          </w:p>
        </w:tc>
        <w:tc>
          <w:tcPr>
            <w:tcW w:type="dxa" w:w="2160"/>
          </w:tcPr>
          <w:p>
            <w:r>
              <w:t>Audit posture</w:t>
            </w:r>
          </w:p>
        </w:tc>
      </w:tr>
      <w:tr>
        <w:tc>
          <w:tcPr>
            <w:tcW w:type="dxa" w:w="2160"/>
          </w:tcPr>
          <w:p>
            <w:r>
              <w:t>92</w:t>
            </w:r>
          </w:p>
        </w:tc>
        <w:tc>
          <w:tcPr>
            <w:tcW w:type="dxa" w:w="2160"/>
          </w:tcPr>
          <w:p>
            <w:r>
              <w:t>3 formats</w:t>
            </w:r>
          </w:p>
        </w:tc>
        <w:tc>
          <w:tcPr>
            <w:tcW w:type="dxa" w:w="2160"/>
          </w:tcPr>
          <w:p>
            <w:r>
              <w:t>Deep QA</w:t>
            </w:r>
          </w:p>
        </w:tc>
      </w:tr>
    </w:tbl>
    <w:p/>
    <w:p>
      <w:pPr>
        <w:pStyle w:val="TOCHeading"/>
      </w:pPr>
      <w:r>
        <w:t>Table of Contents</w:t>
      </w:r>
    </w:p>
    <w:p>
      <w:r>
        <w:fldChar w:fldCharType="begin" w:dirty="true"/>
      </w:r>
      <w:r>
        <w:instrText xml:space="preserve">TOC \o "1-3" \h \z \u </w:instrText>
      </w:r>
      <w:r>
        <w:fldChar w:fldCharType="separate"/>
      </w:r>
    </w:p>
    <w:p>
      <w:pPr>
        <w:pStyle w:val="TOC1"/>
      </w:pPr>
      <w:r>
        <w:t xml:space="preserve">1  Overview</w:t>
      </w:r>
      <w:r>
        <w:tab/>
      </w:r>
      <w:r>
        <w:fldChar w:fldCharType="begin"/>
      </w:r>
      <w:r>
        <w:instrText xml:space="preserve"> PAGEREF _Toc0003 \h </w:instrText>
      </w:r>
      <w:r>
        <w:fldChar w:fldCharType="separate"/>
      </w:r>
      <w:r>
        <w:t xml:space="preserve">3</w:t>
      </w:r>
      <w:r>
        <w:fldChar w:fldCharType="end"/>
      </w:r>
    </w:p>
    <w:p>
      <w:pPr>
        <w:pStyle w:val="TOC2"/>
      </w:pPr>
      <w:r>
        <w:t xml:space="preserve">1.1  Scope</w:t>
      </w:r>
      <w:r>
        <w:tab/>
      </w:r>
      <w:r>
        <w:fldChar w:fldCharType="begin"/>
      </w:r>
      <w:r>
        <w:instrText xml:space="preserve"> PAGEREF _Toc0003 \h </w:instrText>
      </w:r>
      <w:r>
        <w:fldChar w:fldCharType="separate"/>
      </w:r>
      <w:r>
        <w:t xml:space="preserve">3</w:t>
      </w:r>
      <w:r>
        <w:fldChar w:fldCharType="end"/>
      </w:r>
    </w:p>
    <w:p>
      <w:pPr>
        <w:pStyle w:val="TOC2"/>
      </w:pPr>
      <w:r>
        <w:t xml:space="preserve">1.2  Audience</w:t>
      </w:r>
      <w:r>
        <w:tab/>
      </w:r>
      <w:r>
        <w:fldChar w:fldCharType="begin"/>
      </w:r>
      <w:r>
        <w:instrText xml:space="preserve"> PAGEREF _Toc0004 \h </w:instrText>
      </w:r>
      <w:r>
        <w:fldChar w:fldCharType="separate"/>
      </w:r>
      <w:r>
        <w:t xml:space="preserve">4</w:t>
      </w:r>
      <w:r>
        <w:fldChar w:fldCharType="end"/>
      </w:r>
    </w:p>
    <w:p>
      <w:pPr>
        <w:pStyle w:val="TOC1"/>
      </w:pPr>
      <w:r>
        <w:t xml:space="preserve">2  Methodology</w:t>
      </w:r>
      <w:r>
        <w:tab/>
      </w:r>
      <w:r>
        <w:fldChar w:fldCharType="begin"/>
      </w:r>
      <w:r>
        <w:instrText xml:space="preserve"> PAGEREF _Toc0005 \h </w:instrText>
      </w:r>
      <w:r>
        <w:fldChar w:fldCharType="separate"/>
      </w:r>
      <w:r>
        <w:t xml:space="preserve">5</w:t>
      </w:r>
      <w:r>
        <w:fldChar w:fldCharType="end"/>
      </w:r>
    </w:p>
    <w:p>
      <w:pPr>
        <w:pStyle w:val="TOC2"/>
      </w:pPr>
      <w:r>
        <w:t xml:space="preserve">2.1  Data sources</w:t>
      </w:r>
      <w:r>
        <w:tab/>
      </w:r>
      <w:r>
        <w:fldChar w:fldCharType="begin"/>
      </w:r>
      <w:r>
        <w:instrText xml:space="preserve"> PAGEREF _Toc0005 \h </w:instrText>
      </w:r>
      <w:r>
        <w:fldChar w:fldCharType="separate"/>
      </w:r>
      <w:r>
        <w:t xml:space="preserve">5</w:t>
      </w:r>
      <w:r>
        <w:fldChar w:fldCharType="end"/>
      </w:r>
    </w:p>
    <w:p>
      <w:pPr>
        <w:pStyle w:val="TOC1"/>
      </w:pPr>
      <w:r>
        <w:t xml:space="preserve">3  Results</w:t>
      </w:r>
      <w:r>
        <w:tab/>
      </w:r>
      <w:r>
        <w:fldChar w:fldCharType="begin"/>
      </w:r>
      <w:r>
        <w:instrText xml:space="preserve"> PAGEREF _Toc0006 \h </w:instrText>
      </w:r>
      <w:r>
        <w:fldChar w:fldCharType="separate"/>
      </w:r>
      <w:r>
        <w:t xml:space="preserve">6</w:t>
      </w:r>
      <w:r>
        <w:fldChar w:fldCharType="end"/>
      </w:r>
    </w:p>
    <w:p>
      <w:r>
        <w:fldChar w:fldCharType="end"/>
      </w:r>
    </w:p>
    <w:p>
      <w:pPr>
        <w:pStyle w:val="TOCHeading"/>
      </w:pPr>
      <w:r>
        <w:t>Table of Tables</w:t>
      </w:r>
    </w:p>
    <w:p>
      <w:r>
        <w:fldChar w:fldCharType="begin" w:dirty="true"/>
      </w:r>
      <w:r>
        <w:instrText xml:space="preserve">TOC \h \z \c "Table" </w:instrText>
      </w:r>
      <w:r>
        <w:fldChar w:fldCharType="separate"/>
      </w:r>
    </w:p>
    <w:p>
      <w:pPr>
        <w:pStyle w:val="TableofFigures"/>
      </w:pPr>
      <w:r>
        <w:t xml:space="preserve">Table 1. BrandDocs FY2026 quarterly revenue</w:t>
      </w:r>
      <w:r>
        <w:tab/>
      </w:r>
      <w:r>
        <w:fldChar w:fldCharType="begin"/>
      </w:r>
      <w:r>
        <w:instrText xml:space="preserve"> PAGEREF _Toc0005 \h </w:instrText>
      </w:r>
      <w:r>
        <w:fldChar w:fldCharType="separate"/>
      </w:r>
      <w:r>
        <w:t xml:space="preserve">5</w:t>
      </w:r>
      <w:r>
        <w:fldChar w:fldCharType="end"/>
      </w:r>
    </w:p>
    <w:p>
      <w:pPr>
        <w:pStyle w:val="TableofFigures"/>
      </w:pPr>
      <w:r>
        <w:t xml:space="preserve">Table 2. BrandDocs risk and readiness matrix</w:t>
      </w:r>
      <w:r>
        <w:tab/>
      </w:r>
      <w:r>
        <w:fldChar w:fldCharType="begin"/>
      </w:r>
      <w:r>
        <w:instrText xml:space="preserve"> PAGEREF _Toc0006 \h </w:instrText>
      </w:r>
      <w:r>
        <w:fldChar w:fldCharType="separate"/>
      </w:r>
      <w:r>
        <w:t xml:space="preserve">6</w:t>
      </w:r>
      <w:r>
        <w:fldChar w:fldCharType="end"/>
      </w:r>
    </w:p>
    <w:p>
      <w:pPr>
        <w:pStyle w:val="TableofFigures"/>
      </w:pPr>
      <w:r>
        <w:t xml:space="preserve">Table 3. BrandDocs program rollout matrix</w:t>
      </w:r>
      <w:r>
        <w:tab/>
      </w:r>
      <w:r>
        <w:fldChar w:fldCharType="begin"/>
      </w:r>
      <w:r>
        <w:instrText xml:space="preserve"> PAGEREF _Toc0007 \h </w:instrText>
      </w:r>
      <w:r>
        <w:fldChar w:fldCharType="separate"/>
      </w:r>
      <w:r>
        <w:t xml:space="preserve">7</w:t>
      </w:r>
      <w:r>
        <w:fldChar w:fldCharType="end"/>
      </w:r>
    </w:p>
    <w:p>
      <w:r>
        <w:fldChar w:fldCharType="end"/>
      </w:r>
    </w:p>
    <w:p>
      <w:pPr>
        <w:pStyle w:val="TOCHeading"/>
      </w:pPr>
      <w:r>
        <w:t>Table of Figures</w:t>
      </w:r>
    </w:p>
    <w:p>
      <w:r>
        <w:fldChar w:fldCharType="begin" w:dirty="true"/>
      </w:r>
      <w:r>
        <w:instrText xml:space="preserve">TOC \h \z \c "Figure" </w:instrText>
      </w:r>
      <w:r>
        <w:fldChar w:fldCharType="separate"/>
      </w:r>
    </w:p>
    <w:p>
      <w:pPr>
        <w:pStyle w:val="TableofFigures"/>
      </w:pPr>
      <w:r>
        <w:t xml:space="preserve">Figure 1. BrandDocs Corp wordmark</w:t>
      </w:r>
      <w:r>
        <w:tab/>
      </w:r>
      <w:r>
        <w:fldChar w:fldCharType="begin"/>
      </w:r>
      <w:r>
        <w:instrText xml:space="preserve"> PAGEREF _Toc0002 \h </w:instrText>
      </w:r>
      <w:r>
        <w:fldChar w:fldCharType="separate"/>
      </w:r>
      <w:r>
        <w:t xml:space="preserve">2</w:t>
      </w:r>
      <w:r>
        <w:fldChar w:fldCharType="end"/>
      </w:r>
    </w:p>
    <w:p>
      <w:pPr>
        <w:pStyle w:val="TableofFigures"/>
      </w:pPr>
      <w:r>
        <w:t xml:space="preserve">Figure 2. BrandDocs growth curve</w:t>
      </w:r>
      <w:r>
        <w:tab/>
      </w:r>
      <w:r>
        <w:fldChar w:fldCharType="begin"/>
      </w:r>
      <w:r>
        <w:instrText xml:space="preserve"> PAGEREF _Toc0006 \h </w:instrText>
      </w:r>
      <w:r>
        <w:fldChar w:fldCharType="separate"/>
      </w:r>
      <w:r>
        <w:t xml:space="preserve">6</w:t>
      </w:r>
      <w:r>
        <w:fldChar w:fldCharType="end"/>
      </w:r>
    </w:p>
    <w:p>
      <w:r>
        <w:fldChar w:fldCharType="end"/>
      </w:r>
    </w:p>
    <w:p>
      <w:pPr>
        <w:pStyle w:val="Heading1"/>
      </w:pPr>
      <w:r>
        <w:t>Brand operating principles</w:t>
      </w:r>
    </w:p>
    <w:p>
      <w:pPr>
        <w:pStyle w:val="BrandDocsBulletL1"/>
      </w:pPr>
      <w:r>
        <w:t>Consistency before customization</w:t>
      </w:r>
    </w:p>
    <w:p>
      <w:pPr>
        <w:pStyle w:val="BrandDocsBulletL2"/>
      </w:pPr>
      <w:r>
        <w:t>One palette: navy, teal, amber</w:t>
      </w:r>
    </w:p>
    <w:p>
      <w:pPr>
        <w:pStyle w:val="BrandDocsBulletL2"/>
      </w:pPr>
      <w:r>
        <w:t>Type scale fixed across all templates</w:t>
      </w:r>
    </w:p>
    <w:p>
      <w:pPr>
        <w:pStyle w:val="BrandDocsBulletL1"/>
      </w:pPr>
      <w:r>
        <w:t>Templates are contracts, not suggestions</w:t>
      </w:r>
    </w:p>
    <w:p>
      <w:pPr>
        <w:pStyle w:val="BrandDocsBulletL2"/>
      </w:pPr>
      <w:r>
        <w:t>Cover, contents, and indices are preserved</w:t>
      </w:r>
    </w:p>
    <w:p>
      <w:pPr>
        <w:pStyle w:val="BrandDocsBulletL2"/>
      </w:pPr>
      <w:r>
        <w:t>Body content is regenerated per request</w:t>
      </w:r>
    </w:p>
    <w:p>
      <w:pPr>
        <w:pStyle w:val="Heading2"/>
      </w:pPr>
      <w:r>
        <w:t>Rollout sequence</w:t>
      </w:r>
    </w:p>
    <w:p>
      <w:pPr>
        <w:pStyle w:val="BrandDocsNumberL1"/>
      </w:pPr>
      <w:r>
        <w:t>Extract the template surface and brand profile</w:t>
      </w:r>
    </w:p>
    <w:p>
      <w:pPr>
        <w:pStyle w:val="BrandDocsNumberL1"/>
      </w:pPr>
      <w:r>
        <w:t>Review the captured slots and index front matter</w:t>
      </w:r>
    </w:p>
    <w:p>
      <w:pPr>
        <w:pStyle w:val="BrandDocsNumberL1"/>
      </w:pPr>
      <w:r>
        <w:t>Generate the branded document</w:t>
      </w:r>
    </w:p>
    <w:p>
      <w:pPr>
        <w:pStyle w:val="Heading2"/>
      </w:pPr>
      <w:r>
        <w:t>BrandDocs quarterly revenue</w:t>
      </w:r>
    </w:p>
    <w:tbl>
      <w:tblPr>
        <w:tblStyle w:val="BrandDocsTable"/>
        <w:tblW w:type="auto" w:w="0"/>
        <w:tblLook w:firstColumn="1" w:firstRow="1" w:lastColumn="0" w:lastRow="0" w:noHBand="0" w:noVBand="1" w:val="04A0"/>
        <w:tblLook w:firstRow="1" w:lastRow="0" w:firstColumn="0" w:lastColumn="0" w:noHBand="0" w:noVBand="1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Quarter</w:t>
            </w:r>
          </w:p>
        </w:tc>
        <w:tc>
          <w:tcPr>
            <w:tcW w:type="dxa" w:w="2160"/>
          </w:tcPr>
          <w:p>
            <w:r>
              <w:t>Revenue</w:t>
            </w:r>
          </w:p>
        </w:tc>
        <w:tc>
          <w:tcPr>
            <w:tcW w:type="dxa" w:w="2160"/>
          </w:tcPr>
          <w:p>
            <w:r>
              <w:t>Growth</w:t>
            </w:r>
          </w:p>
        </w:tc>
        <w:tc>
          <w:tcPr>
            <w:tcW w:type="dxa" w:w="2160"/>
          </w:tcPr>
          <w:p>
            <w:r>
              <w:t>Region</w:t>
            </w:r>
          </w:p>
        </w:tc>
      </w:tr>
      <w:tr>
        <w:tc>
          <w:tcPr>
            <w:tcW w:type="dxa" w:w="2160"/>
          </w:tcPr>
          <w:p>
            <w:r>
              <w:t>Q1 2026</w:t>
            </w:r>
          </w:p>
        </w:tc>
        <w:tc>
          <w:tcPr>
            <w:tcW w:type="dxa" w:w="2160"/>
          </w:tcPr>
          <w:p>
            <w:r>
              <w:t>$3.20M</w:t>
            </w:r>
          </w:p>
        </w:tc>
        <w:tc>
          <w:tcPr>
            <w:tcW w:type="dxa" w:w="2160"/>
          </w:tcPr>
          <w:p>
            <w:r>
              <w:t>+8.4%</w:t>
            </w:r>
          </w:p>
        </w:tc>
        <w:tc>
          <w:tcPr>
            <w:tcW w:type="dxa" w:w="2160"/>
          </w:tcPr>
          <w:p>
            <w:r>
              <w:t>North</w:t>
            </w:r>
          </w:p>
        </w:tc>
      </w:tr>
      <w:tr>
        <w:tc>
          <w:tcPr>
            <w:tcW w:type="dxa" w:w="2160"/>
          </w:tcPr>
          <w:p>
            <w:r>
              <w:t>Q2 2026</w:t>
            </w:r>
          </w:p>
        </w:tc>
        <w:tc>
          <w:tcPr>
            <w:tcW w:type="dxa" w:w="2160"/>
          </w:tcPr>
          <w:p>
            <w:r>
              <w:t>$3.48M</w:t>
            </w:r>
          </w:p>
        </w:tc>
        <w:tc>
          <w:tcPr>
            <w:tcW w:type="dxa" w:w="2160"/>
          </w:tcPr>
          <w:p>
            <w:r>
              <w:t>+8.8%</w:t>
            </w:r>
          </w:p>
        </w:tc>
        <w:tc>
          <w:tcPr>
            <w:tcW w:type="dxa" w:w="2160"/>
          </w:tcPr>
          <w:p>
            <w:r>
              <w:t>South</w:t>
            </w:r>
          </w:p>
        </w:tc>
      </w:tr>
      <w:tr>
        <w:tc>
          <w:tcPr>
            <w:tcW w:type="dxa" w:w="2160"/>
          </w:tcPr>
          <w:p>
            <w:r>
              <w:t>Q3 2026</w:t>
            </w:r>
          </w:p>
        </w:tc>
        <w:tc>
          <w:tcPr>
            <w:tcW w:type="dxa" w:w="2160"/>
          </w:tcPr>
          <w:p>
            <w:r>
              <w:t>$3.91M</w:t>
            </w:r>
          </w:p>
        </w:tc>
        <w:tc>
          <w:tcPr>
            <w:tcW w:type="dxa" w:w="2160"/>
          </w:tcPr>
          <w:p>
            <w:r>
              <w:t>+12.4%</w:t>
            </w:r>
          </w:p>
        </w:tc>
        <w:tc>
          <w:tcPr>
            <w:tcW w:type="dxa" w:w="2160"/>
          </w:tcPr>
          <w:p>
            <w:r>
              <w:t>EMEA</w:t>
            </w:r>
          </w:p>
        </w:tc>
      </w:tr>
      <w:tr>
        <w:tc>
          <w:tcPr>
            <w:tcW w:type="dxa" w:w="2160"/>
          </w:tcPr>
          <w:p>
            <w:r>
              <w:t>Q4 2026</w:t>
            </w:r>
          </w:p>
        </w:tc>
        <w:tc>
          <w:tcPr>
            <w:tcW w:type="dxa" w:w="2160"/>
          </w:tcPr>
          <w:p>
            <w:r>
              <w:t>$4.25M</w:t>
            </w:r>
          </w:p>
        </w:tc>
        <w:tc>
          <w:tcPr>
            <w:tcW w:type="dxa" w:w="2160"/>
          </w:tcPr>
          <w:p>
            <w:r>
              <w:t>+8.7%</w:t>
            </w:r>
          </w:p>
        </w:tc>
        <w:tc>
          <w:tcPr>
            <w:tcW w:type="dxa" w:w="2160"/>
          </w:tcPr>
          <w:p>
            <w:r>
              <w:t>APAC</w:t>
            </w:r>
          </w:p>
        </w:tc>
      </w:tr>
    </w:tbl>
    <w:p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. BrandDocs FY2026 quarterly revenue by region (synthetic data).</w:t>
      </w:r>
    </w:p>
    <w:p>
      <w:pPr>
        <w:pStyle w:val="Heading2"/>
      </w:pPr>
      <w:r>
        <w:t>BrandDocs wordmark</w:t>
      </w:r>
    </w:p>
    <w:p>
      <w:pPr>
        <w:jc w:val="center"/>
      </w:pPr>
      <w:r>
        <w:drawing>
          <wp:inline distT="0" distB="0" distL="0" distR="0">
            <wp:extent cx="2743200" cy="685800"/>
            <wp:effectExtent l="0" t="0" r="0" b="0"/>
            <wp:docPr id="100" name="BrandDocsLogoFigure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0" name="BrandDocsLogoFigure"/>
                    <ns4:cNvPicPr/>
                  </ns4:nvPicPr>
                  <ns4:blipFill>
                    <ns3:blip r:embed="rId1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2743200" cy="6858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inline>
        </w:drawing>
      </w:r>
    </w:p>
    <w:p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. BrandDocs Corp wordmark (synthetic).</w:t>
      </w:r>
    </w:p>
    <w:p>
      <w:pPr>
        <w:pStyle w:val="BrandDocsCallout"/>
      </w:pPr>
      <w:r>
        <w:t>BrandDocs Corp is a synthetic, fictional company used to demonstrate an on-brand internal brief. All figures, names, and regions in this template are illustrative.</w:t>
      </w:r>
    </w:p>
    <w:p>
      <w:pPr>
        <w:pStyle w:val="BrandDocsQuote"/>
      </w:pPr>
      <w:r>
        <w:t>Design rule: preserve proven structure only while it improves the final artifact. If visual QA shows blank space, stale content, or broken flow, repair the composition rather than copying the template blindly.</w:t>
      </w:r>
    </w:p>
    <w:p>
      <w:pPr>
        <w:pStyle w:val="Heading2"/>
      </w:pPr>
      <w:r>
        <w:t>Readiness and risk matrix</w:t>
      </w:r>
    </w:p>
    <w:p>
      <w:r>
        <w:t>The matrix below gives the template a realistic governance surface: it mixes status, owner, signal, and mitigation text in a branded table.</w:t>
      </w:r>
    </w:p>
    <w:tbl>
      <w:tblPr>
        <w:tblStyle w:val="BrandDocsTable"/>
        <w:tblW w:type="auto" w:w="0"/>
        <w:tblLayout w:type="fixed"/>
        <w:tblLook w:firstColumn="1" w:firstRow="1" w:lastColumn="0" w:lastRow="0" w:noHBand="0" w:noVBand="1" w:val="04A0"/>
        <w:tblLook w:firstRow="1" w:lastRow="0" w:firstColumn="0" w:lastColumn="0" w:noHBand="0" w:noVBand="1"/>
        <w:tblLayout w:type="fixed"/>
      </w:tblPr>
      <w:tblGrid>
        <w:gridCol w:w="2160"/>
        <w:gridCol w:w="2160"/>
        <w:gridCol w:w="2160"/>
        <w:gridCol w:w="2160"/>
      </w:tblGrid>
      <w:tr>
        <w:tc>
          <w:tcPr>
            <w:tcW w:type="dxa" w:w="1980"/>
          </w:tcPr>
          <w:p>
            <w:r>
              <w:t>Area</w:t>
            </w:r>
          </w:p>
        </w:tc>
        <w:tc>
          <w:tcPr>
            <w:tcW w:type="dxa" w:w="1980"/>
          </w:tcPr>
          <w:p>
            <w:r>
              <w:t>Signal</w:t>
            </w:r>
          </w:p>
        </w:tc>
        <w:tc>
          <w:tcPr>
            <w:tcW w:type="dxa" w:w="1800"/>
          </w:tcPr>
          <w:p>
            <w:r>
              <w:t>Owner</w:t>
            </w:r>
          </w:p>
        </w:tc>
        <w:tc>
          <w:tcPr>
            <w:tcW w:type="dxa" w:w="3600"/>
          </w:tcPr>
          <w:p>
            <w:r>
              <w:t>Mitigation</w:t>
            </w:r>
          </w:p>
        </w:tc>
      </w:tr>
      <w:tr>
        <w:tc>
          <w:tcPr>
            <w:tcW w:type="dxa" w:w="1980"/>
          </w:tcPr>
          <w:p>
            <w:r>
              <w:t>Visual QA</w:t>
            </w:r>
          </w:p>
        </w:tc>
        <w:tc>
          <w:tcPr>
            <w:tcW w:type="dxa" w:w="1980"/>
          </w:tcPr>
          <w:p>
            <w:r>
              <w:t>Renderer drift</w:t>
            </w:r>
          </w:p>
        </w:tc>
        <w:tc>
          <w:tcPr>
            <w:tcW w:type="dxa" w:w="1800"/>
          </w:tcPr>
          <w:p>
            <w:r>
              <w:t>Platform</w:t>
            </w:r>
          </w:p>
        </w:tc>
        <w:tc>
          <w:tcPr>
            <w:tcW w:type="dxa" w:w="3600"/>
          </w:tcPr>
          <w:p>
            <w:r>
              <w:t>Smoke-test DOCX/PPTX/XLSX</w:t>
            </w:r>
          </w:p>
        </w:tc>
      </w:tr>
      <w:tr>
        <w:tc>
          <w:tcPr>
            <w:tcW w:type="dxa" w:w="1980"/>
          </w:tcPr>
          <w:p>
            <w:r>
              <w:t>Comprehension</w:t>
            </w:r>
          </w:p>
        </w:tc>
        <w:tc>
          <w:tcPr>
            <w:tcW w:type="dxa" w:w="1980"/>
          </w:tcPr>
          <w:p>
            <w:r>
              <w:t>Missing inventory</w:t>
            </w:r>
          </w:p>
        </w:tc>
        <w:tc>
          <w:tcPr>
            <w:tcW w:type="dxa" w:w="1800"/>
          </w:tcPr>
          <w:p>
            <w:r>
              <w:t>Model Ops</w:t>
            </w:r>
          </w:p>
        </w:tc>
        <w:tc>
          <w:tcPr>
            <w:tcW w:type="dxa" w:w="3600"/>
          </w:tcPr>
          <w:p>
            <w:r>
              <w:t>Fail closed on empty refs</w:t>
            </w:r>
          </w:p>
        </w:tc>
      </w:tr>
      <w:tr>
        <w:tc>
          <w:tcPr>
            <w:tcW w:type="dxa" w:w="1980"/>
          </w:tcPr>
          <w:p>
            <w:r>
              <w:t>Brand fidelity</w:t>
            </w:r>
          </w:p>
        </w:tc>
        <w:tc>
          <w:tcPr>
            <w:tcW w:type="dxa" w:w="1980"/>
          </w:tcPr>
          <w:p>
            <w:r>
              <w:t>Style fallback</w:t>
            </w:r>
          </w:p>
        </w:tc>
        <w:tc>
          <w:tcPr>
            <w:tcW w:type="dxa" w:w="1800"/>
          </w:tcPr>
          <w:p>
            <w:r>
              <w:t>Design</w:t>
            </w:r>
          </w:p>
        </w:tc>
        <w:tc>
          <w:tcPr>
            <w:tcW w:type="dxa" w:w="3600"/>
          </w:tcPr>
          <w:p>
            <w:r>
              <w:t>Re-assert captured styles</w:t>
            </w:r>
          </w:p>
        </w:tc>
      </w:tr>
      <w:tr>
        <w:tc>
          <w:tcPr>
            <w:tcW w:type="dxa" w:w="1980"/>
          </w:tcPr>
          <w:p>
            <w:r>
              <w:t>Delivery</w:t>
            </w:r>
          </w:p>
        </w:tc>
        <w:tc>
          <w:tcPr>
            <w:tcW w:type="dxa" w:w="1980"/>
          </w:tcPr>
          <w:p>
            <w:r>
              <w:t>Stale cache</w:t>
            </w:r>
          </w:p>
        </w:tc>
        <w:tc>
          <w:tcPr>
            <w:tcW w:type="dxa" w:w="1800"/>
          </w:tcPr>
          <w:p>
            <w:r>
              <w:t>Engineering</w:t>
            </w:r>
          </w:p>
        </w:tc>
        <w:tc>
          <w:tcPr>
            <w:tcW w:type="dxa" w:w="3600"/>
          </w:tcPr>
          <w:p>
            <w:r>
              <w:t>Refresh visible field results</w:t>
            </w:r>
          </w:p>
        </w:tc>
      </w:tr>
    </w:tbl>
    <w:p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. BrandDocs risk and readiness matrix (synthetic).</w:t>
      </w:r>
    </w:p>
    <w:p>
      <w:pPr>
        <w:pStyle w:val="Heading2"/>
      </w:pPr>
      <w:r>
        <w:t>BrandDocs footnote demo</w:t>
      </w:r>
    </w:p>
    <w:p>
      <w:r>
        <w:t>BrandDocs Corp</w:t>
      </w:r>
      <w:r>
        <w:t xml:space="preserve"> is a registered placeholder brand</w:t>
      </w:r>
      <w:r>
        <w:rPr>
          <w:rStyle w:val="FootnoteReference"/>
        </w:rPr>
        <w:footnoteReference w:id="2"/>
      </w:r>
      <w:r>
        <w:t xml:space="preserve"> used throughout this template.</w:t>
      </w:r>
    </w:p>
    <w:p>
      <w:pPr>
        <w:pStyle w:val="Heading1"/>
      </w:pPr>
      <w:r>
        <w:t>Overview</w:t>
      </w:r>
    </w:p>
    <w:p>
      <w:r>
        <w:t>This brief summarizes how the BrandDocs Corp brand system is applied across internal documents. It exists to show a complete, on-brand template; a generation run replaces this body with the requested content.</w:t>
      </w:r>
    </w:p>
    <w:p>
      <w:pPr>
        <w:pStyle w:val="Heading2"/>
      </w:pPr>
      <w:r>
        <w:t>Methodology</w:t>
      </w:r>
    </w:p>
    <w:p>
      <w:r>
        <w:t>Figures are drawn from a synthetic operations dataset maintained by the BrandDocs brand office. Revenue, growth, and regional splits are illustrative and should not be read as real performance data.</w:t>
      </w:r>
    </w:p>
    <w:p>
      <w:pPr>
        <w:sectPr>
          <w:headerReference w:type="default" r:id="rId12"/>
          <w:footerReference w:type="default" r:id="rId13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BrandDocs landscape appendix</w:t>
      </w:r>
    </w:p>
    <w:p>
      <w:r>
        <w:t>This appendix sits in a landscape section. It carries a wide program rollout matrix and a second brand figure that the portrait body cannot fit. Demo content the generator may clear.</w:t>
      </w:r>
    </w:p>
    <w:p>
      <w:pPr>
        <w:pStyle w:val="Heading2"/>
      </w:pPr>
      <w:r>
        <w:t>Program rollout matrix</w:t>
      </w:r>
    </w:p>
    <w:tbl>
      <w:tblPr>
        <w:tblStyle w:val="BrandDocsTable"/>
        <w:tblW w:type="auto" w:w="0"/>
        <w:tblLayout w:type="fixed"/>
        <w:tblLook w:firstColumn="1" w:firstRow="1" w:lastColumn="0" w:lastRow="0" w:noHBand="0" w:noVBand="1" w:val="04A0"/>
        <w:tblLook w:firstRow="1" w:lastRow="0" w:firstColumn="0" w:lastColumn="0" w:noHBand="0" w:noVBand="1"/>
        <w:tblLayout w:type="fixed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2880"/>
          </w:tcPr>
          <w:p>
            <w:r>
              <w:t>Workstream</w:t>
            </w:r>
          </w:p>
        </w:tc>
        <w:tc>
          <w:tcPr>
            <w:tcW w:type="dxa" w:w="2400"/>
          </w:tcPr>
          <w:p>
            <w:r>
              <w:t>Owner</w:t>
            </w:r>
          </w:p>
        </w:tc>
        <w:tc>
          <w:tcPr>
            <w:tcW w:type="dxa" w:w="1680"/>
          </w:tcPr>
          <w:p>
            <w:r>
              <w:t>Q1</w:t>
            </w:r>
          </w:p>
        </w:tc>
        <w:tc>
          <w:tcPr>
            <w:tcW w:type="dxa" w:w="1680"/>
          </w:tcPr>
          <w:p>
            <w:r>
              <w:t>Q2</w:t>
            </w:r>
          </w:p>
        </w:tc>
        <w:tc>
          <w:tcPr>
            <w:tcW w:type="dxa" w:w="1680"/>
          </w:tcPr>
          <w:p>
            <w:r>
              <w:t>Q3</w:t>
            </w:r>
          </w:p>
        </w:tc>
        <w:tc>
          <w:tcPr>
            <w:tcW w:type="dxa" w:w="1680"/>
          </w:tcPr>
          <w:p>
            <w:r>
              <w:t>Q4</w:t>
            </w:r>
          </w:p>
        </w:tc>
        <w:tc>
          <w:tcPr>
            <w:tcW w:type="dxa" w:w="16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Template surface</w:t>
            </w:r>
          </w:p>
        </w:tc>
        <w:tc>
          <w:tcPr>
            <w:tcW w:type="dxa" w:w="2400"/>
          </w:tcPr>
          <w:p>
            <w:r>
              <w:t>Brand Office</w:t>
            </w:r>
          </w:p>
        </w:tc>
        <w:tc>
          <w:tcPr>
            <w:tcW w:type="dxa" w:w="1680"/>
          </w:tcPr>
          <w:p>
            <w:r>
              <w:t>Scope</w:t>
            </w:r>
          </w:p>
        </w:tc>
        <w:tc>
          <w:tcPr>
            <w:tcW w:type="dxa" w:w="1680"/>
          </w:tcPr>
          <w:p>
            <w:r>
              <w:t>Build</w:t>
            </w:r>
          </w:p>
        </w:tc>
        <w:tc>
          <w:tcPr>
            <w:tcW w:type="dxa" w:w="1680"/>
          </w:tcPr>
          <w:p>
            <w:r>
              <w:t>QA</w:t>
            </w:r>
          </w:p>
        </w:tc>
        <w:tc>
          <w:tcPr>
            <w:tcW w:type="dxa" w:w="1680"/>
          </w:tcPr>
          <w:p>
            <w:r>
              <w:t>Ship</w:t>
            </w:r>
          </w:p>
        </w:tc>
        <w:tc>
          <w:tcPr>
            <w:tcW w:type="dxa" w:w="1680"/>
          </w:tcPr>
          <w:p>
            <w:r>
              <w:t>On track</w:t>
            </w:r>
          </w:p>
        </w:tc>
      </w:tr>
      <w:tr>
        <w:tc>
          <w:tcPr>
            <w:tcW w:type="dxa" w:w="2880"/>
          </w:tcPr>
          <w:p>
            <w:r>
              <w:t>Profile extraction</w:t>
            </w:r>
          </w:p>
        </w:tc>
        <w:tc>
          <w:tcPr>
            <w:tcW w:type="dxa" w:w="2400"/>
          </w:tcPr>
          <w:p>
            <w:r>
              <w:t>Platform</w:t>
            </w:r>
          </w:p>
        </w:tc>
        <w:tc>
          <w:tcPr>
            <w:tcW w:type="dxa" w:w="1680"/>
          </w:tcPr>
          <w:p>
            <w:r>
              <w:t>Spec</w:t>
            </w:r>
          </w:p>
        </w:tc>
        <w:tc>
          <w:tcPr>
            <w:tcW w:type="dxa" w:w="1680"/>
          </w:tcPr>
          <w:p>
            <w:r>
              <w:t>Build</w:t>
            </w:r>
          </w:p>
        </w:tc>
        <w:tc>
          <w:tcPr>
            <w:tcW w:type="dxa" w:w="1680"/>
          </w:tcPr>
          <w:p>
            <w:r>
              <w:t>Verify</w:t>
            </w:r>
          </w:p>
        </w:tc>
        <w:tc>
          <w:tcPr>
            <w:tcW w:type="dxa" w:w="1680"/>
          </w:tcPr>
          <w:p>
            <w:r>
              <w:t>Tune</w:t>
            </w:r>
          </w:p>
        </w:tc>
        <w:tc>
          <w:tcPr>
            <w:tcW w:type="dxa" w:w="1680"/>
          </w:tcPr>
          <w:p>
            <w:r>
              <w:t>On track</w:t>
            </w:r>
          </w:p>
        </w:tc>
      </w:tr>
      <w:tr>
        <w:tc>
          <w:tcPr>
            <w:tcW w:type="dxa" w:w="2880"/>
          </w:tcPr>
          <w:p>
            <w:r>
              <w:t>Generation engine</w:t>
            </w:r>
          </w:p>
        </w:tc>
        <w:tc>
          <w:tcPr>
            <w:tcW w:type="dxa" w:w="2400"/>
          </w:tcPr>
          <w:p>
            <w:r>
              <w:t>Platform</w:t>
            </w:r>
          </w:p>
        </w:tc>
        <w:tc>
          <w:tcPr>
            <w:tcW w:type="dxa" w:w="1680"/>
          </w:tcPr>
          <w:p>
            <w:r>
              <w:t>Design</w:t>
            </w:r>
          </w:p>
        </w:tc>
        <w:tc>
          <w:tcPr>
            <w:tcW w:type="dxa" w:w="1680"/>
          </w:tcPr>
          <w:p>
            <w:r>
              <w:t>Build</w:t>
            </w:r>
          </w:p>
        </w:tc>
        <w:tc>
          <w:tcPr>
            <w:tcW w:type="dxa" w:w="1680"/>
          </w:tcPr>
          <w:p>
            <w:r>
              <w:t>Build</w:t>
            </w:r>
          </w:p>
        </w:tc>
        <w:tc>
          <w:tcPr>
            <w:tcW w:type="dxa" w:w="1680"/>
          </w:tcPr>
          <w:p>
            <w:r>
              <w:t>Verify</w:t>
            </w:r>
          </w:p>
        </w:tc>
        <w:tc>
          <w:tcPr>
            <w:tcW w:type="dxa" w:w="1680"/>
          </w:tcPr>
          <w:p>
            <w:r>
              <w:t>At risk</w:t>
            </w:r>
          </w:p>
        </w:tc>
      </w:tr>
      <w:tr>
        <w:tc>
          <w:tcPr>
            <w:tcW w:type="dxa" w:w="2880"/>
          </w:tcPr>
          <w:p>
            <w:r>
              <w:t>Rollout &amp; training</w:t>
            </w:r>
          </w:p>
        </w:tc>
        <w:tc>
          <w:tcPr>
            <w:tcW w:type="dxa" w:w="2400"/>
          </w:tcPr>
          <w:p>
            <w:r>
              <w:t>Enablement</w:t>
            </w:r>
          </w:p>
        </w:tc>
        <w:tc>
          <w:tcPr>
            <w:tcW w:type="dxa" w:w="1680"/>
          </w:tcPr>
          <w:p>
            <w:r>
              <w:t>Plan</w:t>
            </w:r>
          </w:p>
        </w:tc>
        <w:tc>
          <w:tcPr>
            <w:tcW w:type="dxa" w:w="1680"/>
          </w:tcPr>
          <w:p>
            <w:r>
              <w:t>Draft</w:t>
            </w:r>
          </w:p>
        </w:tc>
        <w:tc>
          <w:tcPr>
            <w:tcW w:type="dxa" w:w="1680"/>
          </w:tcPr>
          <w:p>
            <w:r>
              <w:t>Pilot</w:t>
            </w:r>
          </w:p>
        </w:tc>
        <w:tc>
          <w:tcPr>
            <w:tcW w:type="dxa" w:w="1680"/>
          </w:tcPr>
          <w:p>
            <w:r>
              <w:t>Launch</w:t>
            </w:r>
          </w:p>
        </w:tc>
        <w:tc>
          <w:tcPr>
            <w:tcW w:type="dxa" w:w="1680"/>
          </w:tcPr>
          <w:p>
            <w:r>
              <w:t>Planned</w:t>
            </w:r>
          </w:p>
        </w:tc>
      </w:tr>
    </w:tbl>
    <w:p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. BrandDocs FY2026 program rollout matrix (synthetic).</w:t>
      </w:r>
    </w:p>
    <w:p>
      <w:pPr>
        <w:pStyle w:val="Heading2"/>
      </w:pPr>
      <w:r>
        <w:t>BrandDocs growth curve</w:t>
      </w:r>
    </w:p>
    <w:p>
      <w:pPr>
        <w:jc w:val="center"/>
      </w:pPr>
      <w:r>
        <w:drawing>
          <wp:inline distT="0" distB="0" distL="0" distR="0">
            <wp:extent cx="2286000" cy="952500"/>
            <wp:effectExtent l="0" t="0" r="0" b="0"/>
            <wp:docPr id="300" name="BrandDocsGrowthFigure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0" name="BrandDocsGrowthFigure"/>
                    <ns4:cNvPicPr/>
                  </ns4:nvPicPr>
                  <ns4:blipFill>
                    <ns3:blip r:embed="rId1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2286000" cy="9525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inline>
        </w:drawing>
      </w:r>
    </w:p>
    <w:p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. BrandDocs Corp growth curve (synthetic illustration).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BrandDocs Corp is a fictional company used only for testing.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drawing>
        <wp:inline distT="0" distB="0" distL="0" distR="0">
          <wp:extent cx="914400" cy="228600"/>
          <wp:effectExtent l="0" t="0" r="0" b="0"/>
          <wp:docPr id="200" name="BrandDocsHeaderLogo"/>
          <wp:cNvGraphicFramePr>
            <ns2:graphicFrameLocks xmlns:ns2="http://schemas.openxmlformats.org/drawingml/2006/main" noChangeAspect="1"/>
          </wp:cNvGraphicFramePr>
          <ns3:graphic xmlns:ns3="http://schemas.openxmlformats.org/drawingml/2006/main">
            <ns3:graphicData uri="http://schemas.openxmlformats.org/drawingml/2006/picture">
              <ns4:pic xmlns:ns4="http://schemas.openxmlformats.org/drawingml/2006/picture">
                <ns4:nvPicPr>
                  <ns4:cNvPr id="0" name="BrandDocsHeaderLogo"/>
                  <ns4:cNvPicPr/>
                </ns4:nvPicPr>
                <ns4:blipFill>
                  <ns3:blip r:embed="rId1"/>
                  <ns3:stretch>
                    <ns3:fillRect/>
                  </ns3:stretch>
                </ns4:blipFill>
                <ns4:spPr>
                  <ns3:xfrm>
                    <ns3:off x="0" y="0"/>
                    <ns3:ext cx="914400" cy="228600"/>
                  </ns3:xfrm>
                  <ns3:prstGeom prst="rect">
                    <ns3:avLst/>
                  </ns3:prstGeom>
                </ns4:spPr>
              </ns4:pic>
            </ns3:graphicData>
          </ns3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Arial" w:hAnsi="Arial" w:cs="Aria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uiPriority w:val="39"/>
    <w:pPr>
      <w:tabs/>
    </w:pPr>
  </w:style>
  <w:style w:type="paragraph" w:styleId="TOC2">
    <w:name w:val="TOC 2"/>
    <w:basedOn w:val="Normal"/>
    <w:uiPriority w:val="39"/>
    <w:pPr>
      <w:tabs/>
    </w:pPr>
  </w:style>
  <w:style w:type="paragraph" w:styleId="TOC3">
    <w:name w:val="TOC 3"/>
    <w:basedOn w:val="Normal"/>
    <w:uiPriority w:val="39"/>
    <w:pPr>
      <w:tabs/>
    </w:pPr>
  </w:style>
  <w:style w:type="paragraph" w:styleId="TableofFigures">
    <w:name w:val="Table of Figures"/>
    <w:basedOn w:val="Normal"/>
    <w:uiPriority w:val="39"/>
  </w:style>
  <w:style w:type="paragraph" w:styleId="FootnoteText">
    <w:name w:val="Footnote Text"/>
    <w:basedOn w:val="Normal"/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BrandDocsCoverTitle" w:customStyle="1">
    <w:name w:val="BrandDocs Cover Title"/>
    <w:basedOn w:val="Normal"/>
    <w:qFormat/>
    <w:pPr/>
    <w:rPr>
      <w:b/>
      <w:color w:val="16213F"/>
      <w:sz w:val="56"/>
    </w:rPr>
  </w:style>
  <w:style w:type="paragraph" w:styleId="BrandDocsCoverSubtitle" w:customStyle="1">
    <w:name w:val="BrandDocs Cover Subtitle"/>
    <w:basedOn w:val="Normal"/>
    <w:qFormat/>
    <w:pPr/>
    <w:rPr>
      <w:color w:val="2B7CD3"/>
      <w:sz w:val="28"/>
    </w:rPr>
  </w:style>
  <w:style w:type="paragraph" w:styleId="BrandDocsCallout" w:customStyle="1">
    <w:name w:val="BrandDocs Callout"/>
    <w:basedOn w:val="Normal"/>
    <w:qFormat/>
    <w:pPr>
      <w:shd w:val="clear" w:color="auto" w:fill="EAF1FF"/>
      <w:pBdr>
        <w:top w:val="single" w:sz="12" w:space="6" w:color="2B7CD3"/>
        <w:left w:val="single" w:sz="24" w:space="6" w:color="E0742B"/>
        <w:bottom w:val="single" w:sz="12" w:space="6" w:color="2B7CD3"/>
        <w:right w:val="single" w:sz="12" w:space="6" w:color="2B7CD3"/>
      </w:pBdr>
      <w:spacing w:before="120" w:after="120"/>
    </w:pPr>
    <w:rPr>
      <w:color w:val="16213F"/>
    </w:rPr>
  </w:style>
  <w:style w:type="paragraph" w:styleId="BrandDocsQuote" w:customStyle="1">
    <w:name w:val="BrandDocs Quote"/>
    <w:basedOn w:val="Normal"/>
    <w:qFormat/>
    <w:pPr>
      <w:shd w:val="clear" w:color="auto" w:fill="DCE7FF"/>
      <w:pBdr>
        <w:top w:val="single" w:sz="12" w:space="6" w:color="16213F"/>
        <w:left w:val="single" w:sz="24" w:space="6" w:color="E0742B"/>
        <w:bottom w:val="single" w:sz="12" w:space="6" w:color="16213F"/>
        <w:right w:val="single" w:sz="12" w:space="6" w:color="16213F"/>
      </w:pBdr>
      <w:spacing w:before="120" w:after="120"/>
    </w:pPr>
    <w:rPr>
      <w:color w:val="16213F"/>
      <w:sz w:val="24"/>
    </w:rPr>
  </w:style>
  <w:style w:type="paragraph" w:styleId="BrandDocsBulletL1" w:customStyle="1">
    <w:name w:val="BrandDocs Bullet L1"/>
    <w:basedOn w:val="ListParagraph"/>
    <w:qFormat/>
    <w:pPr>
      <w:numPr>
        <w:ilvl w:val="0"/>
        <w:numId w:val="1"/>
      </w:numPr>
    </w:pPr>
  </w:style>
  <w:style w:type="paragraph" w:styleId="BrandDocsBulletL2" w:customStyle="1">
    <w:name w:val="BrandDocs Bullet L2"/>
    <w:basedOn w:val="ListParagraph"/>
    <w:qFormat/>
    <w:pPr>
      <w:numPr>
        <w:ilvl w:val="1"/>
        <w:numId w:val="2"/>
      </w:numPr>
    </w:pPr>
  </w:style>
  <w:style w:type="paragraph" w:styleId="BrandDocsNumberL1" w:customStyle="1">
    <w:name w:val="BrandDocs Number L1"/>
    <w:basedOn w:val="ListParagraph"/>
    <w:qFormat/>
    <w:pPr>
      <w:numPr>
        <w:ilvl w:val="0"/>
        <w:numId w:val="3"/>
      </w:numPr>
    </w:pPr>
  </w:style>
  <w:style w:type="table" w:styleId="BrandDocsTable" w:customStyle="1">
    <w:name w:val="BrandDocs Table"/>
    <w:basedOn w:val="TableNormal"/>
    <w:uiPriority w:val="99"/>
    <w:tblPr>
      <w:tblStyleRowBandSize w:val="1"/>
      <w:tblBorders>
        <w:top w:val="single" w:sz="4" w:space="0" w:color="16213F"/>
        <w:left w:val="single" w:sz="4" w:space="0" w:color="16213F"/>
        <w:bottom w:val="single" w:sz="4" w:space="0" w:color="16213F"/>
        <w:right w:val="single" w:sz="4" w:space="0" w:color="16213F"/>
        <w:insideH w:val="single" w:sz="4" w:space="0" w:color="16213F"/>
        <w:insideV w:val="single" w:sz="4" w:space="0" w:color="16213F"/>
      </w:tblBorders>
    </w:tblPr>
    <w:rPr>
      <w:color w:val="16213F"/>
    </w:rPr>
    <w:tblStylePr w:type="firstRow">
      <w:rPr>
        <w:b/>
        <w:color w:val="FFFFFF"/>
      </w:rPr>
      <w:tcPr>
        <w:shd w:val="clear" w:color="auto" w:fill="16213F"/>
      </w:tcPr>
    </w:tblStylePr>
    <w:tblStylePr w:type="band1Horz">
      <w:tcPr>
        <w:shd w:val="clear" w:color="auto" w:fill="DCE7F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2026-06-05T00:00:00Z</dcterms:created>
  <dcterms:modified xsi:type="dcterms:W3CDTF">2026-06-05T00:00:00Z</dcterms:modified>
  <cp:category/>
</cp:coreProperties>
</file>