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16213F"/>
          <w:sz w:val="56"/>
          <w:b/>
        </w:rPr>
        <w:alias w:val="Title"/>
        <w:tag w:val="branddocs_title"/>
        <w:id w:val="101"/>
        <w:placeholder>
          <w:docPart w:val="DefaultPlaceholder_Title"/>
        </w:placeholder>
        <w:text/>
      </w:sdtPr>
      <w:sdtEndPr/>
      <w:sdtContent>
        <w:p>
          <w:pPr>
            <w:pStyle w:val="BrandDocsCoverTitle"/>
          </w:pPr>
          <w:r>
            <w:rPr>
              <w:color w:val="16213F"/>
              <w:sz w:val="56"/>
              <w:b/>
            </w:rPr>
            <w:t>BrandDocs Brand Operations Review</w:t>
          </w:r>
        </w:p>
      </w:sdtContent>
    </w:sdt>
    <w:p>
      <w:pPr>
        <w:pStyle w:val="BrandDocsCoverSubtitle"/>
      </w:pPr>
      <w:r>
        <w:t>Annual Brand Operations Review - BrandDocs Corp (synthetic)</w:t>
      </w:r>
    </w:p>
    <w:p>
      <w:pPr>
        <w:spacing w:after="160"/>
      </w:pPr>
      <w:r>
        <w:rPr>
          <w:rFonts w:ascii="Calibri" w:hAnsi="Calibri"/>
          <w:color w:val="16213F"/>
          <w:sz w:val="22"/>
          <w:szCs w:val="22"/>
        </w:rPr>
        <w:t>Document ID: DSK-BR-2026-014</w:t>
      </w:r>
    </w:p>
    <w:p>
      <w:pPr>
        <w:spacing w:after="160"/>
      </w:pPr>
      <w:r>
        <w:rPr>
          <w:rFonts w:ascii="Calibri" w:hAnsi="Calibri"/>
          <w:color w:val="16213F"/>
          <w:sz w:val="22"/>
          <w:szCs w:val="22"/>
        </w:rPr>
        <w:t>June 5, 2026</w:t>
      </w:r>
    </w:p>
    <w:p>
      <w:pPr>
        <w:shd w:val="clear" w:color="auto" w:fill="16213F"/>
        <w:pBdr>
          <w:bottom w:val="single" w:sz="24" w:space="2" w:color="E0742B"/>
        </w:pBdr>
        <w:spacing w:before="60" w:after="180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4320"/>
            <wp:effectExtent l="0" t="0" r="0" b="0"/>
            <wp:wrapNone/>
            <wp:docPr id="400" name="BrandDocsCoverBackdrop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SpPr/>
                  <wps:spPr>
                    <ns2:xfrm>
                      <ns2:off x="0" y="0"/>
                      <ns2:ext cx="5943600" cy="274320"/>
                    </ns2:xfrm>
                    <ns2:prstGeom prst="roundRect">
                      <ns2:avLst>
                        <ns2:gd name="adj" fmla="val 8000"/>
                      </ns2:avLst>
                    </ns2:prstGeom>
                    <ns2:solidFill>
                      <ns2:srgbClr val="16213F"/>
                    </ns2:solidFill>
                    <ns2:ln w="19050">
                      <ns2:solidFill>
                        <ns2:srgbClr val="E0742B"/>
                      </ns2:solidFill>
                    </ns2:ln>
                  </wps:spPr>
                  <wps:bodyPr rtlIns="0" bIns="0"/>
                </wps:wsp>
              </ns2:graphicData>
            </ns2:graphic>
          </wp:anchor>
        </w:drawing>
      </w:r>
    </w:p>
    <w:tbl>
      <w:tblPr>
        <w:tblStyle w:val="BrandDocsTable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Brand health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Template coverage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Audit posture</w:t>
            </w:r>
          </w:p>
        </w:tc>
      </w:tr>
      <w:tr>
        <w:tc>
          <w:tcPr>
            <w:tcW w:type="dxa" w:w="2160"/>
          </w:tcPr>
          <w:p>
            <w:r>
              <w:fldChar w:fldCharType="begin" w:dirty="true"/>
            </w:r>
            <w:r>
              <w:instrText xml:space="preserve"> DOCPROPERTY BrandHealth \* MERGEFORMAT </w:instrText>
            </w:r>
            <w:r>
              <w:fldChar w:fldCharType="separate"/>
            </w:r>
            <w:r>
              <w:rPr>
                <w:color w:val="16213F"/>
                <w:rFonts w:ascii="Calibri" w:hAnsi="Calibri"/>
                <w:sz w:val="22"/>
                <w:szCs w:val="22"/>
              </w:rPr>
              <w:t xml:space="preserve">92</w:t>
            </w:r>
            <w:r>
              <w:fldChar w:fldCharType="end"/>
            </w:r>
          </w:p>
        </w:tc>
        <w:tc>
          <w:tcPr>
            <w:tcW w:type="dxa" w:w="2160"/>
          </w:tcPr>
          <w:p>
            <w:r>
              <w:fldChar w:fldCharType="begin" w:dirty="true"/>
            </w:r>
            <w:r>
              <w:instrText xml:space="preserve"> DOCPROPERTY FormatsAudited \* MERGEFORMAT </w:instrText>
            </w:r>
            <w:r>
              <w:fldChar w:fldCharType="separate"/>
            </w:r>
            <w:r>
              <w:rPr>
                <w:color w:val="16213F"/>
                <w:rFonts w:ascii="Calibri" w:hAnsi="Calibri"/>
                <w:sz w:val="22"/>
                <w:szCs w:val="22"/>
              </w:rPr>
              <w:t xml:space="preserve">3 formats</w:t>
            </w:r>
            <w:r>
              <w:fldChar w:fldCharType="end"/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Deep QA</w:t>
            </w:r>
          </w:p>
        </w:tc>
      </w:tr>
    </w:tbl>
    <w:p>
      <w:pPr>
        <w:spacing w:after="160"/>
      </w:pPr>
    </w:p>
    <w:tbl>
      <w:tblPr>
        <w:tblStyle w:val="BrandDocsTableCompact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0" w:lastRow="1" w:firstColumn="0" w:lastColumn="0" w:noHBand="1" w:noVBand="1"/>
        <w:tblLayout w:type="fixed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Templates audited</w:t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Roles captured</w:t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Open QA findings</w:t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color w:val="FFFFFF"/>
                <w:rFonts w:ascii="Calibri" w:hAnsi="Calibri"/>
                <w:sz w:val="22"/>
                <w:szCs w:val="22"/>
              </w:rPr>
              <w:t>Total checks passed</w:t>
            </w:r>
          </w:p>
        </w:tc>
        <w:tc>
          <w:tcPr>
            <w:tcW w:type="dxa" w:w="2160"/>
          </w:tcPr>
          <w:p>
            <w:r>
              <w:rPr>
                <w:color w:val="FFFFFF"/>
                <w:rFonts w:ascii="Calibri" w:hAnsi="Calibri"/>
                <w:sz w:val="22"/>
                <w:szCs w:val="22"/>
              </w:rPr>
              <w:t>27</w:t>
            </w:r>
          </w:p>
        </w:tc>
      </w:tr>
    </w:tbl>
    <w:p>
      <w:pPr>
        <w:spacing w:after="160"/>
      </w:pPr>
    </w:p>
    <w:p>
      <w:pPr>
        <w:pStyle w:val="TOCHeading"/>
      </w:pPr>
      <w:r>
        <w:t>Table of Contents</w:t>
      </w:r>
    </w:p>
    <w:p>
      <w:pPr>
        <w:spacing w:after="160"/>
      </w:pPr>
      <w:r>
        <w:fldChar w:fldCharType="begin" w:dirty="true"/>
      </w:r>
      <w:r>
        <w:instrText xml:space="preserve">TOC \o "1-3" \h \z \u </w:instrText>
      </w:r>
      <w:r>
        <w:fldChar w:fldCharType="separate"/>
      </w:r>
    </w:p>
    <w:p>
      <w:pPr>
        <w:pStyle w:val="TOC1"/>
      </w:pPr>
      <w:r>
        <w:rPr>
          <w:rFonts w:ascii="Calibri" w:hAnsi="Calibri"/>
          <w:color w:val="16213F"/>
          <w:sz w:val="22"/>
          <w:szCs w:val="22"/>
        </w:rPr>
        <w:t xml:space="preserve">1  Overview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3</w:t>
      </w:r>
      <w:r>
        <w:fldChar w:fldCharType="end"/>
      </w:r>
    </w:p>
    <w:p>
      <w:pPr>
        <w:pStyle w:val="TOC2"/>
      </w:pPr>
      <w:r>
        <w:rPr>
          <w:rFonts w:ascii="Calibri" w:hAnsi="Calibri"/>
          <w:color w:val="16213F"/>
          <w:sz w:val="22"/>
          <w:szCs w:val="22"/>
        </w:rPr>
        <w:t xml:space="preserve">1.1  Scope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3</w:t>
      </w:r>
      <w:r>
        <w:fldChar w:fldCharType="end"/>
      </w:r>
    </w:p>
    <w:p>
      <w:pPr>
        <w:pStyle w:val="TOC2"/>
      </w:pPr>
      <w:r>
        <w:rPr>
          <w:rFonts w:ascii="Calibri" w:hAnsi="Calibri"/>
          <w:color w:val="16213F"/>
          <w:sz w:val="22"/>
          <w:szCs w:val="22"/>
        </w:rPr>
        <w:t xml:space="preserve">1.2  Audience</w:t>
      </w:r>
      <w:r>
        <w:tab/>
      </w:r>
      <w:r>
        <w:fldChar w:fldCharType="begin"/>
      </w:r>
      <w:r>
        <w:instrText xml:space="preserve"> PAGEREF _Toc0004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4</w:t>
      </w:r>
      <w:r>
        <w:fldChar w:fldCharType="end"/>
      </w:r>
    </w:p>
    <w:p>
      <w:pPr>
        <w:pStyle w:val="TOC1"/>
      </w:pPr>
      <w:r>
        <w:rPr>
          <w:rFonts w:ascii="Calibri" w:hAnsi="Calibri"/>
          <w:color w:val="16213F"/>
          <w:sz w:val="22"/>
          <w:szCs w:val="22"/>
        </w:rPr>
        <w:t xml:space="preserve">2  Methodology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5</w:t>
      </w:r>
      <w:r>
        <w:fldChar w:fldCharType="end"/>
      </w:r>
    </w:p>
    <w:p>
      <w:pPr>
        <w:pStyle w:val="TOC2"/>
      </w:pPr>
      <w:r>
        <w:rPr>
          <w:rFonts w:ascii="Calibri" w:hAnsi="Calibri"/>
          <w:color w:val="16213F"/>
          <w:sz w:val="22"/>
          <w:szCs w:val="22"/>
        </w:rPr>
        <w:t xml:space="preserve">2.1  Data sources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5</w:t>
      </w:r>
      <w:r>
        <w:fldChar w:fldCharType="end"/>
      </w:r>
    </w:p>
    <w:p>
      <w:pPr>
        <w:pStyle w:val="TOC1"/>
      </w:pPr>
      <w:r>
        <w:rPr>
          <w:rFonts w:ascii="Calibri" w:hAnsi="Calibri"/>
          <w:color w:val="16213F"/>
          <w:sz w:val="22"/>
          <w:szCs w:val="22"/>
        </w:rPr>
        <w:t xml:space="preserve">3  Results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6</w:t>
      </w:r>
      <w:r>
        <w:fldChar w:fldCharType="end"/>
      </w:r>
    </w:p>
    <w:p>
      <w:pPr>
        <w:spacing w:after="160"/>
      </w:pPr>
      <w:r>
        <w:fldChar w:fldCharType="end"/>
      </w:r>
    </w:p>
    <w:p>
      <w:pPr>
        <w:pStyle w:val="TOCHeading"/>
      </w:pPr>
      <w:r>
        <w:t>Table of Tables</w:t>
      </w:r>
    </w:p>
    <w:p>
      <w:pPr>
        <w:spacing w:after="160"/>
      </w:pPr>
      <w:r>
        <w:fldChar w:fldCharType="begin" w:dirty="true"/>
      </w:r>
      <w:r>
        <w:instrText xml:space="preserve">TOC \h \z \c "Table" </w:instrText>
      </w:r>
      <w:r>
        <w:fldChar w:fldCharType="separate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Table 1. BrandDocs FY2026 quarterly revenue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5</w:t>
      </w:r>
      <w:r>
        <w:fldChar w:fldCharType="end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Table 2. BrandDocs risk and readiness matrix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6</w:t>
      </w:r>
      <w:r>
        <w:fldChar w:fldCharType="end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Table 3. BrandDocs program rollout matrix</w:t>
      </w:r>
      <w:r>
        <w:tab/>
      </w:r>
      <w:r>
        <w:fldChar w:fldCharType="begin"/>
      </w:r>
      <w:r>
        <w:instrText xml:space="preserve"> PAGEREF _Toc0007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7</w:t>
      </w:r>
      <w:r>
        <w:fldChar w:fldCharType="end"/>
      </w:r>
    </w:p>
    <w:p>
      <w:pPr>
        <w:spacing w:after="160"/>
      </w:pPr>
      <w:r>
        <w:fldChar w:fldCharType="end"/>
      </w:r>
    </w:p>
    <w:p>
      <w:pPr>
        <w:pStyle w:val="TOCHeading"/>
      </w:pPr>
      <w:r>
        <w:t>Table of Figures</w:t>
      </w:r>
    </w:p>
    <w:p>
      <w:pPr>
        <w:spacing w:after="160"/>
      </w:pPr>
      <w:r>
        <w:fldChar w:fldCharType="begin" w:dirty="true"/>
      </w:r>
      <w:r>
        <w:instrText xml:space="preserve">TOC \h \z \c "Figure" </w:instrText>
      </w:r>
      <w:r>
        <w:fldChar w:fldCharType="separate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Figure 1. BrandDocs Corp wordmark</w:t>
      </w:r>
      <w:r>
        <w:tab/>
      </w:r>
      <w:r>
        <w:fldChar w:fldCharType="begin"/>
      </w:r>
      <w:r>
        <w:instrText xml:space="preserve"> PAGEREF _Toc0002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2</w:t>
      </w:r>
      <w:r>
        <w:fldChar w:fldCharType="end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Figure 2. BrandDocs growth curve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6</w:t>
      </w:r>
      <w:r>
        <w:fldChar w:fldCharType="end"/>
      </w:r>
    </w:p>
    <w:p>
      <w:pPr>
        <w:spacing w:after="160"/>
      </w:pPr>
      <w:r>
        <w:fldChar w:fldCharType="end"/>
      </w:r>
    </w:p>
    <w:p>
      <w:pPr>
        <w:pStyle w:val="Heading1"/>
      </w:pPr>
      <w:r>
        <w:rPr>
          <w:rFonts w:ascii="Arial" w:hAnsi="Arial"/>
          <w:color w:val="16213F"/>
        </w:rPr>
        <w:t>Brand operating principles</w:t>
      </w:r>
    </w:p>
    <w:p>
      <w:pPr>
        <w:pStyle w:val="BrandDocsBulletL1"/>
      </w:pPr>
      <w:r>
        <w:rPr>
          <w:rFonts w:ascii="Calibri" w:hAnsi="Calibri"/>
          <w:color w:val="16213F"/>
          <w:sz w:val="22"/>
        </w:rPr>
        <w:t>Consistency before customization</w:t>
      </w:r>
    </w:p>
    <w:p>
      <w:pPr>
        <w:pStyle w:val="BrandDocsBulletL2"/>
      </w:pPr>
      <w:r>
        <w:rPr>
          <w:rFonts w:ascii="Calibri" w:hAnsi="Calibri"/>
          <w:color w:val="16213F"/>
          <w:sz w:val="22"/>
        </w:rPr>
        <w:t>One palette: navy, teal, amber</w:t>
      </w:r>
    </w:p>
    <w:p>
      <w:pPr>
        <w:pStyle w:val="BrandDocsBulletL2"/>
      </w:pPr>
      <w:r>
        <w:rPr>
          <w:rFonts w:ascii="Calibri" w:hAnsi="Calibri"/>
          <w:color w:val="16213F"/>
          <w:sz w:val="22"/>
        </w:rPr>
        <w:t>Type scale fixed across all templates</w:t>
      </w:r>
    </w:p>
    <w:p>
      <w:pPr>
        <w:pStyle w:val="BrandDocsBulletL1"/>
      </w:pPr>
      <w:r>
        <w:rPr>
          <w:rFonts w:ascii="Calibri" w:hAnsi="Calibri"/>
          <w:color w:val="16213F"/>
          <w:sz w:val="22"/>
        </w:rPr>
        <w:t>Templates are contracts, not suggestions</w:t>
      </w:r>
    </w:p>
    <w:p>
      <w:pPr>
        <w:pStyle w:val="BrandDocsBulletL2"/>
      </w:pPr>
      <w:r>
        <w:rPr>
          <w:rFonts w:ascii="Calibri" w:hAnsi="Calibri"/>
          <w:color w:val="16213F"/>
          <w:sz w:val="22"/>
        </w:rPr>
        <w:t>Cover, contents, and indices are preserved</w:t>
      </w:r>
    </w:p>
    <w:p>
      <w:pPr>
        <w:pStyle w:val="BrandDocsBulletL2"/>
      </w:pPr>
      <w:r>
        <w:rPr>
          <w:rFonts w:ascii="Calibri" w:hAnsi="Calibri"/>
          <w:color w:val="16213F"/>
          <w:sz w:val="22"/>
        </w:rPr>
        <w:t>Body content is regenerated per request</w:t>
      </w:r>
    </w:p>
    <w:p>
      <w:pPr>
        <w:pStyle w:val="Heading2"/>
      </w:pPr>
      <w:r>
        <w:rPr>
          <w:rFonts w:ascii="Arial" w:hAnsi="Arial"/>
          <w:color w:val="16213F"/>
        </w:rPr>
        <w:t>Rollout sequence</w:t>
      </w:r>
    </w:p>
    <w:p>
      <w:pPr>
        <w:pStyle w:val="BrandDocsNumberL1"/>
      </w:pPr>
      <w:r>
        <w:rPr>
          <w:rFonts w:ascii="Calibri" w:hAnsi="Calibri"/>
          <w:color w:val="16213F"/>
          <w:sz w:val="22"/>
        </w:rPr>
        <w:t>Extract the template surface and brand profile</w:t>
      </w:r>
    </w:p>
    <w:p>
      <w:pPr>
        <w:pStyle w:val="BrandDocsNumberL1"/>
      </w:pPr>
      <w:r>
        <w:rPr>
          <w:rFonts w:ascii="Calibri" w:hAnsi="Calibri"/>
          <w:color w:val="16213F"/>
          <w:sz w:val="22"/>
        </w:rPr>
        <w:t>Review the captured slots and index front matter</w:t>
      </w:r>
    </w:p>
    <w:p>
      <w:pPr>
        <w:pStyle w:val="BrandDocsNumberL1"/>
      </w:pPr>
      <w:r>
        <w:rPr>
          <w:rFonts w:ascii="Calibri" w:hAnsi="Calibri"/>
          <w:color w:val="16213F"/>
          <w:sz w:val="22"/>
        </w:rPr>
        <w:t>Generate the branded document</w:t>
      </w:r>
    </w:p>
    <w:p>
      <w:pPr>
        <w:pStyle w:val="Heading2"/>
      </w:pPr>
      <w:r>
        <w:rPr>
          <w:rFonts w:ascii="Arial" w:hAnsi="Arial"/>
          <w:color w:val="16213F"/>
        </w:rPr>
        <w:t>BrandDocs quarterly revenue</w:t>
      </w:r>
    </w:p>
    <w:tbl>
      <w:tblPr>
        <w:tblStyle w:val="BrandDocsTable"/>
        <w:tblW w:type="auto" w:w="0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Quarter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Growth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Region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Q1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$3.20M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+8.4%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North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Q2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$3.48M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+8.8%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South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Q3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$3.91M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+12.4%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EMEA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Q4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$4.25M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+8.7%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APAC</w:t>
            </w:r>
          </w:p>
        </w:tc>
      </w:tr>
    </w:tbl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BrandDocs FY2026 quarterly revenue by region (synthetic data).</w:t>
      </w:r>
    </w:p>
    <w:p>
      <w:pPr>
        <w:pStyle w:val="Heading2"/>
      </w:pPr>
      <w:r>
        <w:t>BrandDocs wordmark</w:t>
      </w:r>
    </w:p>
    <w:p>
      <w:pPr>
        <w:spacing w:after="160"/>
        <w:jc w:val="center"/>
      </w:pPr>
      <w:r>
        <w:drawing>
          <wp:inline distT="0" distB="0" distL="0" distR="0">
            <wp:extent cx="2743200" cy="685800"/>
            <wp:effectExtent l="0" t="0" r="0" b="0"/>
            <wp:docPr id="100" name="BrandDocsLogo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BrandDocsLogoFigure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743200" cy="685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BrandDocs Corp wordmark (synthetic).</w:t>
      </w:r>
    </w:p>
    <w:p>
      <w:pPr>
        <w:pStyle w:val="BrandDocsCallout"/>
      </w:pPr>
      <w:r>
        <w:rPr>
          <w:rStyle w:val="BrandDocsLeadIn"/>
          <w:color w:val="16213F"/>
        </w:rPr>
        <w:t xml:space="preserve">Note. </w:t>
      </w:r>
      <w:r>
        <w:rPr>
          <w:color w:val="16213F"/>
        </w:rPr>
        <w:t>BrandDocs Corp is a synthetic, fictional company used to demonstrate an on-brand internal brief. All figures, names, and regions in this template are illustrative.</w:t>
      </w:r>
    </w:p>
    <w:p>
      <w:pPr>
        <w:pStyle w:val="BrandDocsQuote"/>
      </w:pPr>
      <w:r>
        <w:rPr>
          <w:color w:val="16213F"/>
        </w:rPr>
        <w:t xml:space="preserve">Design rule: preserve proven structure only while it </w:t>
      </w:r>
      <w:r>
        <w:rPr>
          <w:rStyle w:val="BrandDocsEmphasis"/>
          <w:color w:val="2B7CD3"/>
        </w:rPr>
        <w:t>improves the final artifact</w:t>
      </w:r>
      <w:r>
        <w:rPr>
          <w:color w:val="16213F"/>
        </w:rPr>
        <w:t>. If visual QA shows blank space, stale content, or broken flow, repair the composition rather than copying the template blindly.</w:t>
      </w:r>
    </w:p>
    <w:p>
      <w:pPr>
        <w:pStyle w:val="Heading2"/>
      </w:pPr>
      <w:r>
        <w:rPr>
          <w:rFonts w:ascii="Arial" w:hAnsi="Arial"/>
          <w:color w:val="16213F"/>
        </w:rPr>
        <w:t>Readiness and risk matrix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The matrix below gives the template a realistic governance surface: it mixes status, owner, signal, and mitigation text in a branded table.</w:t>
      </w:r>
    </w:p>
    <w:tbl>
      <w:tblPr>
        <w:tblStyle w:val="BrandDocsTable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1" w:lastRow="0" w:firstColumn="0" w:lastColumn="0" w:noHBand="0" w:noVBand="1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19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Area</w:t>
            </w:r>
          </w:p>
        </w:tc>
        <w:tc>
          <w:tcPr>
            <w:tcW w:type="dxa" w:w="19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Signal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Owner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Mitigation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Visual QA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Renderer drift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Platform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Smoke-test DOCX/PPTX/XLSX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Comprehension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Missing inventory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Model Ops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Fail closed on empty refs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Brand fidelity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Style fallback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Design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Re-assert captured styles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Delivery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Stale cache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Engineering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Refresh visible field results</w:t>
            </w:r>
          </w:p>
        </w:tc>
      </w:tr>
    </w:tbl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BrandDocs risk and readiness matrix (synthetic).</w:t>
      </w:r>
    </w:p>
    <w:p>
      <w:pPr>
        <w:pStyle w:val="Heading2"/>
      </w:pPr>
      <w:r>
        <w:rPr>
          <w:rFonts w:ascii="Arial" w:hAnsi="Arial"/>
          <w:color w:val="16213F"/>
        </w:rPr>
        <w:t>BrandDocs footnote demo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BrandDocs Corp</w:t>
      </w:r>
      <w:r>
        <w:rPr>
          <w:rFonts w:ascii="Calibri" w:hAnsi="Calibri"/>
          <w:color w:val="16213F"/>
          <w:sz w:val="22"/>
        </w:rPr>
        <w:t xml:space="preserve"> is a registered placeholder brand</w:t>
      </w:r>
      <w:r>
        <w:rPr>
          <w:rStyle w:val="FootnoteReference"/>
        </w:rPr>
        <w:footnoteReference w:id="2"/>
      </w:r>
      <w:r>
        <w:rPr>
          <w:rFonts w:ascii="Calibri" w:hAnsi="Calibri"/>
          <w:color w:val="16213F"/>
          <w:sz w:val="22"/>
        </w:rPr>
        <w:t xml:space="preserve"> used throughout this template.</w:t>
      </w:r>
    </w:p>
    <w:p>
      <w:pPr>
        <w:pStyle w:val="Heading1"/>
      </w:pPr>
      <w:r>
        <w:rPr>
          <w:rFonts w:ascii="Arial" w:hAnsi="Arial"/>
          <w:color w:val="16213F"/>
        </w:rPr>
        <w:t>Overview</w:t>
      </w:r>
    </w:p>
    <w:p>
      <w:pPr>
        <w:pStyle w:val="BrandDocsLead"/>
      </w:pPr>
      <w:r>
        <w:rPr>
          <w:rFonts w:ascii="Calibri" w:hAnsi="Calibri"/>
          <w:color w:val="2B7CD3"/>
          <w:sz w:val="26"/>
        </w:rPr>
        <w:t>A complete, on-brand BrandDocs Corp template, captured and ready to drive branded generation.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This brief summarizes how the BrandDocs Corp brand system is applied across internal documents. It exists to show a complete, on-brand template; a generation run replaces this body with the requested content.</w:t>
      </w:r>
    </w:p>
    <w:p>
      <w:pPr>
        <w:pStyle w:val="Heading2"/>
      </w:pPr>
      <w:r>
        <w:rPr>
          <w:rFonts w:ascii="Arial" w:hAnsi="Arial"/>
          <w:color w:val="16213F"/>
        </w:rPr>
        <w:t>Methodology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Figures are drawn from a synthetic operations dataset maintained by the BrandDocs brand office. Revenue, growth, and regional splits are illustrative and should not be read as real performance data.</w:t>
      </w:r>
    </w:p>
    <w:p>
      <w:pPr>
        <w:spacing w:after="160"/>
      </w:pPr>
      <w:r>
        <w:rPr>
          <w:rFonts w:ascii="Arial" w:hAnsi="Arial"/>
          <w:color w:val="2B7CD3"/>
          <w:sz w:val="36"/>
        </w:rPr>
        <w:t>Key takeaways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 xml:space="preserve">Templates capture conventions, not content; the accent reserved for </w:t>
      </w:r>
      <w:r>
        <w:rPr>
          <w:rFonts w:ascii="Calibri" w:hAnsi="Calibri"/>
          <w:color w:val="C24D2B"/>
          <w:sz w:val="22"/>
        </w:rPr>
        <w:t>product callouts</w:t>
      </w:r>
      <w:r>
        <w:rPr>
          <w:rFonts w:ascii="Calibri" w:hAnsi="Calibri"/>
          <w:color w:val="16213F"/>
          <w:sz w:val="22"/>
        </w:rPr>
        <w:t xml:space="preserve"> never bleeds into body copy.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 xml:space="preserve">Full brand guidelines: </w:t>
      </w:r>
      <w:hyperlink r:id="rId13">
        <w:r>
          <w:rPr>
            <w:rStyle w:val="Hyperlink"/>
            <w:rFonts w:ascii="Calibri" w:hAnsi="Calibri"/>
            <w:color w:val="16213F"/>
            <w:sz w:val="22"/>
            <w:szCs w:val="22"/>
          </w:rPr>
          <w:t xml:space="preserve">brand.example.com</w:t>
        </w:r>
      </w:hyperlink>
    </w:p>
    <w:p>
      <w:pPr>
        <w:spacing w:after="160"/>
        <w:sectPr>
          <w:headerReference w:type="default" r:id="rId14"/>
          <w:footerReference w:type="default" r:id="rId15"/>
          <w:headerReference w:type="first" r:id="rId16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BrandDocs in brief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BrandDocs Corp is a synthetic brand used to exercise the on-brand document engine end to end. The template carries a cover, a contents block, indexed front matter, branded tables, figures, callouts, and a landscape appendix.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Everything visible here is illustrative. A generation run preserves the proven structure and replaces the body with the requested content while keeping the captured brand styles, palette, and typography intact.</w:t>
      </w:r>
    </w:p>
    <w:p>
      <w:pPr>
        <w:spacing w:after="160"/>
        <w:sectPr>
          <w:type w:val="continuous"/>
          <w:pgSz w:w="12240" w:h="15840"/>
          <w:pgMar w:top="1440" w:right="1800" w:bottom="1440" w:left="1800" w:header="720" w:footer="720" w:gutter="0"/>
          <w:docGrid w:linePitch="360"/>
          <w:cols w:num="2" w:space="720" w:sep="1" w:equalWidth="1"/>
        </w:sectPr>
      </w:pPr>
    </w:p>
    <w:p>
      <w:pPr>
        <w:pStyle w:val="Heading1"/>
      </w:pPr>
      <w:r>
        <w:t>BrandDocs landscape appendix</w:t>
      </w:r>
    </w:p>
    <w:p>
      <w:pPr>
        <w:spacing w:after="160"/>
      </w:pPr>
      <w:r>
        <w:rPr>
          <w:rFonts w:ascii="Calibri" w:hAnsi="Calibri"/>
          <w:color w:val="16213F"/>
          <w:sz w:val="22"/>
          <w:szCs w:val="22"/>
        </w:rPr>
        <w:t>This appendix sits in a landscape section. It carries a wide program rollout matrix and a second brand figure that the portrait body cannot fit. Demo content the generator may clear.</w:t>
      </w:r>
    </w:p>
    <w:p>
      <w:pPr>
        <w:pStyle w:val="Heading2"/>
      </w:pPr>
      <w:r>
        <w:t>Program rollout matrix</w:t>
      </w:r>
    </w:p>
    <w:tbl>
      <w:tblPr>
        <w:tblStyle w:val="BrandDocsTable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1" w:lastRow="0" w:firstColumn="0" w:lastColumn="0" w:noHBand="0" w:noVBand="1"/>
        <w:tblLayout w:type="fixed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Workstream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Owner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Q1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Q2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Q3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Q4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Template surface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Brand Office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Scope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QA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Ship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On track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Profile extraction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Platform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Spec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Verify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Tune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On track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Generation engine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Platform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Design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Verify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At risk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Rollout &amp; training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Enablement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Plan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Draft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Pilot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Launch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Planned</w:t>
            </w:r>
          </w:p>
        </w:tc>
      </w:tr>
    </w:tbl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BrandDocs FY2026 program rollout matrix (synthetic).</w:t>
      </w:r>
    </w:p>
    <w:p>
      <w:pPr>
        <w:pStyle w:val="Heading2"/>
      </w:pPr>
      <w:r>
        <w:t>BrandDocs growth curve</w:t>
      </w:r>
    </w:p>
    <w:p>
      <w:pPr>
        <w:spacing w:after="160"/>
        <w:jc w:val="center"/>
      </w:pPr>
      <w:r>
        <w:drawing>
          <wp:inline distT="0" distB="0" distL="0" distR="0">
            <wp:extent cx="2286000" cy="952500"/>
            <wp:effectExtent l="0" t="0" r="0" b="0"/>
            <wp:docPr id="300" name="BrandDocsGrowth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BrandDocsGrowthFigur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286000" cy="952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BrandDocs Corp growth curve (synthetic illustration).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docGrid w:linePitch="360"/>
      <w:cols w:num="2" w:space="720" w:sep="1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BrandDocs Corp is a fictional company used only for testing.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distT="0" distB="0" distL="0" distR="0">
          <wp:extent cx="914400" cy="228600"/>
          <wp:effectExtent l="0" t="0" r="0" b="0"/>
          <wp:docPr id="200" name="BrandDocsHeaderLogo"/>
          <wp:cNvGraphicFramePr>
            <ns2:graphicFrameLocks xmlns:ns2="http://schemas.openxmlformats.org/drawingml/2006/main" noChangeAspect="1"/>
          </wp:cNvGraphicFramePr>
          <ns3:graphic xmlns:ns3="http://schemas.openxmlformats.org/drawingml/2006/main">
            <ns3:graphicData uri="http://schemas.openxmlformats.org/drawingml/2006/picture">
              <ns4:pic xmlns:ns4="http://schemas.openxmlformats.org/drawingml/2006/picture">
                <ns4:nvPicPr>
                  <ns4:cNvPr id="0" name="BrandDocsHeaderLogo"/>
                  <ns4:cNvPicPr/>
                </ns4:nvPicPr>
                <ns4:blipFill>
                  <ns3:blip r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914400" cy="228600"/>
                  </ns3:xfrm>
                  <ns3:prstGeom prst="rect">
                    <ns3:avLst/>
                  </ns3:prstGeom>
                </ns4:spPr>
              </ns4:pic>
            </ns3:graphicData>
          </ns3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8" w:space="2" w:color="E0742B"/>
      </w:pBdr>
    </w:pPr>
    <w:r>
      <w:rPr>
        <w:rFonts w:ascii="Arial" w:hAnsi="Arial"/>
        <w:color w:val="16213F"/>
      </w:rPr>
      <w:t>BrandDocs Corp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Cs w:val="22"/>
        <w:lang w:val="en-US" w:eastAsia="en-US" w:bidi="ar-SA"/>
        <w:rFonts w:ascii="Calibri" w:hAnsi="Calibri"/>
        <w:color w:val="16213F"/>
        <w:sz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240" w:after="120"/>
      <w:outlineLvl w:val="0"/>
    </w:pPr>
    <w:rPr>
      <w:rFonts w:ascii="Arial" w:hAnsi="Arial"/>
      <w:b/>
      <w:color w:val="16213F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40" w:after="120"/>
      <w:outlineLvl w:val="1"/>
    </w:pPr>
    <w:rPr>
      <w:rFonts w:ascii="Arial" w:hAnsi="Arial"/>
      <w:b/>
      <w:color w:val="16213F"/>
      <w:sz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240" w:after="120"/>
      <w:outlineLvl w:val="2"/>
    </w:pPr>
    <w:rPr>
      <w:rFonts w:ascii="Arial" w:hAnsi="Arial"/>
      <w:b/>
      <w:color w:val="2B7CD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pPr>
      <w:tabs/>
    </w:pPr>
  </w:style>
  <w:style w:type="paragraph" w:styleId="TOC2">
    <w:name w:val="TOC 2"/>
    <w:basedOn w:val="Normal"/>
    <w:uiPriority w:val="39"/>
    <w:pPr>
      <w:tabs/>
    </w:pPr>
  </w:style>
  <w:style w:type="paragraph" w:styleId="TOC3">
    <w:name w:val="TOC 3"/>
    <w:basedOn w:val="Normal"/>
    <w:uiPriority w:val="39"/>
    <w:pPr>
      <w:tabs/>
    </w:pPr>
  </w:style>
  <w:style w:type="paragraph" w:styleId="TableofFigures">
    <w:name w:val="Table of Figures"/>
    <w:basedOn w:val="Normal"/>
    <w:uiPriority w:val="39"/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BrandDocsSectionNumber" w:customStyle="1">
    <w:name w:val="BrandDocs Section Number"/>
    <w:basedOn w:val="Normal"/>
    <w:qFormat/>
    <w:pPr/>
    <w:rPr>
      <w:b/>
      <w:color w:val="16213F"/>
      <w:sz w:val="22"/>
    </w:rPr>
  </w:style>
  <w:style w:type="paragraph" w:styleId="BrandDocsLead" w:customStyle="1">
    <w:name w:val="BrandDocs Lead"/>
    <w:basedOn w:val="Normal"/>
    <w:qFormat/>
    <w:pPr/>
    <w:rPr>
      <w:color w:val="2B7CD3"/>
      <w:sz w:val="26"/>
    </w:rPr>
  </w:style>
  <w:style w:type="character" w:styleId="BrandDocsEmphasis" w:customStyle="1">
    <w:name w:val="BrandDocs Emphasis"/>
    <w:uiPriority w:val="1"/>
    <w:qFormat/>
    <w:rPr>
      <w:b/>
      <w:color w:val="2B7CD3"/>
    </w:rPr>
  </w:style>
  <w:style w:type="character" w:styleId="BrandDocsLeadIn" w:customStyle="1">
    <w:name w:val="BrandDocs Lead-in"/>
    <w:uiPriority w:val="1"/>
    <w:qFormat/>
    <w:rPr>
      <w:b/>
      <w:smallCaps/>
      <w:color w:val="16213F"/>
    </w:rPr>
  </w:style>
  <w:style w:type="character" w:styleId="Hyperlink">
    <w:name w:val="Hyperlink"/>
    <w:uiPriority w:val="99"/>
    <w:rPr>
      <w:color w:val="2B7CD3"/>
      <w:u w:val="single"/>
    </w:rPr>
  </w:style>
  <w:style w:type="character" w:styleId="FollowedHyperlink">
    <w:name w:val="FollowedHyperlink"/>
    <w:uiPriority w:val="99"/>
    <w:rPr>
      <w:color w:val="16213F"/>
      <w:u w:val="single"/>
    </w:rPr>
  </w:style>
  <w:style w:type="paragraph" w:styleId="BrandDocsCoverTitle" w:customStyle="1">
    <w:name w:val="BrandDocs Cover Title"/>
    <w:basedOn w:val="Normal"/>
    <w:qFormat/>
    <w:pPr/>
    <w:rPr>
      <w:b/>
      <w:color w:val="16213F"/>
      <w:sz w:val="56"/>
    </w:rPr>
  </w:style>
  <w:style w:type="paragraph" w:styleId="BrandDocsCoverSubtitle" w:customStyle="1">
    <w:name w:val="BrandDocs Cover Subtitle"/>
    <w:basedOn w:val="Normal"/>
    <w:qFormat/>
    <w:pPr/>
    <w:rPr>
      <w:color w:val="2B7CD3"/>
      <w:sz w:val="28"/>
    </w:rPr>
  </w:style>
  <w:style w:type="paragraph" w:styleId="BrandDocsCallout" w:customStyle="1">
    <w:name w:val="BrandDocs Callout"/>
    <w:basedOn w:val="Normal"/>
    <w:qFormat/>
    <w:pPr>
      <w:shd w:val="clear" w:color="auto" w:fill="EAF1FF"/>
      <w:pBdr>
        <w:top w:val="single" w:sz="12" w:space="6" w:color="2B7CD3"/>
        <w:left w:val="single" w:sz="24" w:space="6" w:color="E0742B"/>
        <w:bottom w:val="single" w:sz="12" w:space="6" w:color="2B7CD3"/>
        <w:right w:val="single" w:sz="12" w:space="6" w:color="2B7CD3"/>
      </w:pBdr>
      <w:spacing w:before="120" w:after="120"/>
    </w:pPr>
    <w:rPr>
      <w:color w:val="16213F"/>
    </w:rPr>
  </w:style>
  <w:style w:type="paragraph" w:styleId="BrandDocsQuote" w:customStyle="1">
    <w:name w:val="BrandDocs Quote"/>
    <w:basedOn w:val="Normal"/>
    <w:qFormat/>
    <w:pPr>
      <w:shd w:val="clear" w:color="auto" w:fill="DCE7FF"/>
      <w:pBdr>
        <w:top w:val="single" w:sz="12" w:space="6" w:color="16213F"/>
        <w:left w:val="single" w:sz="24" w:space="6" w:color="E0742B"/>
        <w:bottom w:val="single" w:sz="12" w:space="6" w:color="16213F"/>
        <w:right w:val="single" w:sz="12" w:space="6" w:color="16213F"/>
      </w:pBdr>
      <w:spacing w:before="120" w:after="120"/>
    </w:pPr>
    <w:rPr>
      <w:color w:val="16213F"/>
      <w:sz w:val="24"/>
    </w:rPr>
  </w:style>
  <w:style w:type="paragraph" w:styleId="BrandDocsBulletL1" w:customStyle="1">
    <w:name w:val="BrandDocs Bullet L1"/>
    <w:basedOn w:val="ListParagraph"/>
    <w:qFormat/>
    <w:pPr>
      <w:numPr>
        <w:ilvl w:val="0"/>
        <w:numId w:val="1"/>
      </w:numPr>
    </w:pPr>
  </w:style>
  <w:style w:type="paragraph" w:styleId="BrandDocsBulletL2" w:customStyle="1">
    <w:name w:val="BrandDocs Bullet L2"/>
    <w:basedOn w:val="ListParagraph"/>
    <w:qFormat/>
    <w:pPr>
      <w:numPr>
        <w:ilvl w:val="1"/>
        <w:numId w:val="2"/>
      </w:numPr>
    </w:pPr>
  </w:style>
  <w:style w:type="paragraph" w:styleId="BrandDocsNumberL1" w:customStyle="1">
    <w:name w:val="BrandDocs Number L1"/>
    <w:basedOn w:val="ListParagraph"/>
    <w:qFormat/>
    <w:pPr>
      <w:numPr>
        <w:ilvl w:val="0"/>
        <w:numId w:val="3"/>
      </w:numPr>
    </w:pPr>
  </w:style>
  <w:style w:type="table" w:styleId="BrandDocsTable" w:customStyle="1">
    <w:name w:val="BrandDocs Table"/>
    <w:basedOn w:val="TableNormal"/>
    <w:uiPriority w:val="99"/>
    <w:tblPr>
      <w:tblStyleRowBandSize w:val="1"/>
      <w:tblBorders>
        <w:top w:val="single" w:sz="4" w:space="0" w:color="16213F"/>
        <w:left w:val="single" w:sz="4" w:space="0" w:color="16213F"/>
        <w:bottom w:val="single" w:sz="4" w:space="0" w:color="16213F"/>
        <w:right w:val="single" w:sz="4" w:space="0" w:color="16213F"/>
        <w:insideH w:val="single" w:sz="4" w:space="0" w:color="16213F"/>
        <w:insideV w:val="single" w:sz="4" w:space="0" w:color="16213F"/>
      </w:tblBorders>
    </w:tblPr>
    <w:rPr>
      <w:color w:val="16213F"/>
    </w:rPr>
    <w:tblStylePr w:type="firstRow">
      <w:rPr>
        <w:b/>
        <w:color w:val="FFFFFF"/>
      </w:rPr>
      <w:tcPr>
        <w:shd w:val="clear" w:color="auto" w:fill="16213F"/>
      </w:tcPr>
    </w:tblStylePr>
    <w:tblStylePr w:type="band1Horz">
      <w:tcPr>
        <w:shd w:val="clear" w:color="auto" w:fill="DCE7FF"/>
      </w:tcPr>
    </w:tblStylePr>
  </w:style>
  <w:style w:type="table" w:styleId="BrandDocsTableCompact" w:customStyle="1">
    <w:name w:val="BrandDocs Table Compact"/>
    <w:basedOn w:val="TableNormal"/>
    <w:uiPriority w:val="99"/>
    <w:tblPr>
      <w:tblBorders>
        <w:top w:val="single" w:sz="2" w:space="0" w:color="16213F"/>
        <w:bottom w:val="single" w:sz="2" w:space="0" w:color="16213F"/>
        <w:insideH w:val="single" w:sz="2" w:space="0" w:color="16213F"/>
      </w:tblBorders>
      <w:tblCellMar>
        <w:top w:w="40" w:type="dxa"/>
        <w:bottom w:w="40" w:type="dxa"/>
        <w:left w:w="80" w:type="dxa"/>
        <w:right w:w="80" w:type="dxa"/>
      </w:tblCellMar>
    </w:tblPr>
    <w:rPr>
      <w:color w:val="16213F"/>
    </w:rPr>
    <w:tblStylePr w:type="lastRow">
      <w:rPr>
        <w:b/>
        <w:color w:val="FFFFFF"/>
      </w:rPr>
      <w:tcPr>
        <w:shd w:val="clear" w:color="auto" w:fill="2B7CD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custom-properties" Target="../docProps/custom.xml"/><Relationship Id="rId13" Type="http://schemas.openxmlformats.org/officeDocument/2006/relationships/hyperlink" Target="https://example.com/brand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6213F"/>
      </a:dk1>
      <a:lt1>
        <a:srgbClr val="EAF1FF"/>
      </a:lt1>
      <a:dk2>
        <a:srgbClr val="2B7CD3"/>
      </a:dk2>
      <a:lt2>
        <a:srgbClr val="EAF1FF"/>
      </a:lt2>
      <a:accent1>
        <a:srgbClr val="2B7CD3"/>
      </a:accent1>
      <a:accent2>
        <a:srgbClr val="E0742B"/>
      </a:accent2>
      <a:accent3>
        <a:srgbClr val="DCE7FF"/>
      </a:accent3>
      <a:accent4>
        <a:srgbClr val="E0742B"/>
      </a:accent4>
      <a:accent5>
        <a:srgbClr val="2B7CD3"/>
      </a:accent5>
      <a:accent6>
        <a:srgbClr val="E0742B"/>
      </a:accent6>
      <a:hlink>
        <a:srgbClr val="2B7CD3"/>
      </a:hlink>
      <a:folHlink>
        <a:srgbClr val="E0742B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2026-06-05T00:00:00Z</dcterms:created>
  <dcterms:modified xsi:type="dcterms:W3CDTF">2026-06-05T00:00:00Z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dHealth">
    <vt:lpwstr>92</vt:lpwstr>
  </property>
  <property fmtid="{D5CDD505-2E9C-101B-9397-08002B2CF9AE}" pid="3" name="FormatsAudited">
    <vt:lpwstr>3 formats</vt:lpwstr>
  </property>
</Properties>
</file>