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16213F"/>
          <w:sz w:val="56"/>
          <w:b/>
        </w:rPr>
        <w:alias w:val="Title"/>
        <w:tag w:val="docuskills_title"/>
        <w:id w:val="101"/>
        <w:showingPlcHdr/>
        <w:placeholder>
          <w:docPart w:val="DefaultPlaceholder_Title"/>
        </w:placeholder>
        <w:text/>
      </w:sdtPr>
      <w:sdtEndPr/>
      <w:sdtContent>
        <w:p>
          <w:pPr>
            <w:pStyle w:val="DocuSkillsCoverTitle"/>
          </w:pPr>
          <w:r>
            <w:rPr>
              <w:color w:val="16213F"/>
              <w:sz w:val="56"/>
              <w:b/>
            </w:rPr>
            <w:t>Insert title here</w:t>
          </w:r>
        </w:p>
      </w:sdtContent>
    </w:sdt>
    <w:p>
      <w:pPr>
        <w:pStyle w:val="DocuSkillsCoverSubtitle"/>
      </w:pPr>
      <w:r>
        <w:t>{{subtitle}} - an internal DocuSkills Corp brief</w:t>
      </w:r>
    </w:p>
    <w:p>
      <w:r>
        <w:t>Document ID: {{doc_id}}</w:t>
      </w:r>
    </w:p>
    <w:p>
      <w:r>
        <w:t>{{date}}</w:t>
      </w:r>
    </w:p>
    <w:p>
      <w:pPr>
        <w:pStyle w:val="TOCHeading"/>
      </w:pPr>
      <w:r>
        <w:t>Table of Contents</w:t>
      </w:r>
    </w:p>
    <w:p>
      <w:r>
        <w:fldChar w:fldCharType="begin" w:dirty="true"/>
      </w:r>
      <w:r>
        <w:instrText xml:space="preserve">TOC \o "1-3" \h \z \u </w:instrText>
      </w:r>
      <w:r>
        <w:fldChar w:fldCharType="separate"/>
      </w:r>
    </w:p>
    <w:p>
      <w:pPr>
        <w:pStyle w:val="TOC1"/>
      </w:pPr>
      <w:r>
        <w:t xml:space="preserve">1  Overview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TOC2"/>
      </w:pPr>
      <w:r>
        <w:t xml:space="preserve">1.1  Scope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TOC2"/>
      </w:pPr>
      <w:r>
        <w:t xml:space="preserve">1.2  Audience</w:t>
      </w:r>
      <w:r>
        <w:tab/>
      </w:r>
      <w:r>
        <w:fldChar w:fldCharType="begin"/>
      </w:r>
      <w:r>
        <w:instrText xml:space="preserve"> PAGEREF _Toc0004 \h </w:instrText>
      </w:r>
      <w:r>
        <w:fldChar w:fldCharType="separate"/>
      </w:r>
      <w:r>
        <w:t xml:space="preserve">4</w:t>
      </w:r>
      <w:r>
        <w:fldChar w:fldCharType="end"/>
      </w:r>
    </w:p>
    <w:p>
      <w:pPr>
        <w:pStyle w:val="TOC1"/>
      </w:pPr>
      <w:r>
        <w:t xml:space="preserve">2  Methodology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OC2"/>
      </w:pPr>
      <w:r>
        <w:t xml:space="preserve">2.1  Data sources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OC1"/>
      </w:pPr>
      <w:r>
        <w:t xml:space="preserve">3  Results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TOCHeading"/>
      </w:pPr>
      <w:r>
        <w:t>Table of Tables</w:t>
      </w:r>
    </w:p>
    <w:p>
      <w:r>
        <w:fldChar w:fldCharType="begin" w:dirty="true"/>
      </w:r>
      <w:r>
        <w:instrText xml:space="preserve">TOC \h \z \c "Table" </w:instrText>
      </w:r>
      <w:r>
        <w:fldChar w:fldCharType="separate"/>
      </w:r>
    </w:p>
    <w:p>
      <w:pPr>
        <w:pStyle w:val="TableofFigures"/>
      </w:pPr>
      <w:r>
        <w:t xml:space="preserve">Table 1. DocuSkills quarterly revenue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ableofFigures"/>
      </w:pPr>
      <w:r>
        <w:t xml:space="preserve">Table 2. DocuSkills regional split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TOCHeading"/>
      </w:pPr>
      <w:r>
        <w:t>Table of Figures</w:t>
      </w:r>
    </w:p>
    <w:p>
      <w:r>
        <w:fldChar w:fldCharType="begin" w:dirty="true"/>
      </w:r>
      <w:r>
        <w:instrText xml:space="preserve">TOC \h \z \c "Figure" </w:instrText>
      </w:r>
      <w:r>
        <w:fldChar w:fldCharType="separate"/>
      </w:r>
    </w:p>
    <w:p>
      <w:pPr>
        <w:pStyle w:val="TableofFigures"/>
      </w:pPr>
      <w:r>
        <w:t xml:space="preserve">Figure 1. DocuSkills Corp logo mark</w:t>
      </w:r>
      <w:r>
        <w:tab/>
      </w:r>
      <w:r>
        <w:fldChar w:fldCharType="begin"/>
      </w:r>
      <w:r>
        <w:instrText xml:space="preserve"> PAGEREF _Toc0002 \h </w:instrText>
      </w:r>
      <w:r>
        <w:fldChar w:fldCharType="separate"/>
      </w:r>
      <w:r>
        <w:t xml:space="preserve">2</w:t>
      </w:r>
      <w:r>
        <w:fldChar w:fldCharType="end"/>
      </w:r>
    </w:p>
    <w:p>
      <w:pPr>
        <w:pStyle w:val="TableofFigures"/>
      </w:pPr>
      <w:r>
        <w:t xml:space="preserve">Figure 2. DocuSkills growth curve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Heading1"/>
      </w:pPr>
      <w:r>
        <w:t>Key DocuSkills principles</w:t>
      </w:r>
    </w:p>
    <w:p>
      <w:pPr>
        <w:pStyle w:val="DocuSkillsBulletL1"/>
      </w:pPr>
      <w:r>
        <w:t>First-level bullet about DocuSkills widgets</w:t>
      </w:r>
    </w:p>
    <w:p>
      <w:pPr>
        <w:pStyle w:val="DocuSkillsBulletL2"/>
      </w:pPr>
      <w:r>
        <w:t>Second-level bullet detail</w:t>
      </w:r>
    </w:p>
    <w:p>
      <w:pPr>
        <w:pStyle w:val="DocuSkillsBulletL2"/>
      </w:pPr>
      <w:r>
        <w:t>Another second-level detail</w:t>
      </w:r>
    </w:p>
    <w:p>
      <w:pPr>
        <w:pStyle w:val="DocuSkillsBulletL1"/>
      </w:pPr>
      <w:r>
        <w:t>Another first-level bullet</w:t>
      </w:r>
    </w:p>
    <w:p>
      <w:pPr>
        <w:pStyle w:val="Heading2"/>
      </w:pPr>
      <w:r>
        <w:t>DocuSkills rollout steps</w:t>
      </w:r>
    </w:p>
    <w:p>
      <w:pPr>
        <w:pStyle w:val="DocuSkillsNumberL1"/>
      </w:pPr>
      <w:r>
        <w:t>Define the DocuSkills brand profile</w:t>
      </w:r>
    </w:p>
    <w:p>
      <w:pPr>
        <w:pStyle w:val="DocuSkillsNumberL1"/>
      </w:pPr>
      <w:r>
        <w:t>Extract the template surface</w:t>
      </w:r>
    </w:p>
    <w:p>
      <w:pPr>
        <w:pStyle w:val="DocuSkillsNumberL1"/>
      </w:pPr>
      <w:r>
        <w:t>Generate the branded document</w:t>
      </w:r>
    </w:p>
    <w:p>
      <w:pPr>
        <w:pStyle w:val="Heading2"/>
      </w:pPr>
      <w:r>
        <w:t>DocuSkills quarterly revenue</w:t>
      </w:r>
    </w:p>
    <w:tbl>
      <w:tblPr>
        <w:tblStyle w:val="DocuSkillsTable"/>
        <w:tblW w:type="auto" w:w="0"/>
        <w:tblLook w:firstColumn="1" w:firstRow="1" w:lastColumn="0" w:lastRow="0" w:noHBand="0" w:noVBand="1" w:val="04A0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$3.2M</w:t>
            </w:r>
          </w:p>
        </w:tc>
        <w:tc>
          <w:tcPr>
            <w:tcW w:type="dxa" w:w="2160"/>
          </w:tcPr>
          <w:p>
            <w:r>
              <w:t>+8%</w:t>
            </w:r>
          </w:p>
        </w:tc>
        <w:tc>
          <w:tcPr>
            <w:tcW w:type="dxa" w:w="2160"/>
          </w:tcPr>
          <w:p>
            <w:r>
              <w:t>North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$3.5M</w:t>
            </w:r>
          </w:p>
        </w:tc>
        <w:tc>
          <w:tcPr>
            <w:tcW w:type="dxa" w:w="2160"/>
          </w:tcPr>
          <w:p>
            <w:r>
              <w:t>+9%</w:t>
            </w:r>
          </w:p>
        </w:tc>
        <w:tc>
          <w:tcPr>
            <w:tcW w:type="dxa" w:w="2160"/>
          </w:tcPr>
          <w:p>
            <w:r>
              <w:t>South</w:t>
            </w:r>
          </w:p>
        </w:tc>
      </w:tr>
    </w:tbl>
    <w:p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DocuSkills quarterly revenue (demo data).</w:t>
      </w:r>
    </w:p>
    <w:p>
      <w:pPr>
        <w:pStyle w:val="Heading2"/>
      </w:pPr>
      <w:r>
        <w:t>DocuSkills brand mark</w:t>
      </w:r>
    </w:p>
    <w:p>
      <w:pPr>
        <w:jc w:val="center"/>
      </w:pPr>
      <w:r>
        <w:drawing>
          <wp:inline distT="0" distB="0" distL="0" distR="0">
            <wp:extent cx="914400" cy="304800"/>
            <wp:effectExtent l="0" t="0" r="0" b="0"/>
            <wp:docPr id="100" name="DocuSkillsLogo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DocuSkillsLogoFigure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3048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DocuSkills Corp logo mark (synthetic).</w:t>
      </w:r>
    </w:p>
    <w:p>
      <w:pPr>
        <w:pStyle w:val="DocuSkillsCallout"/>
      </w:pPr>
      <w:r>
        <w:t>Note: this is a synthetic DocuSkills Corp callout box. Replace the body content during generation; the cover and the index front matter are preserved.</w:t>
      </w:r>
    </w:p>
    <w:p>
      <w:pPr>
        <w:pStyle w:val="Heading2"/>
      </w:pPr>
      <w:r>
        <w:t>DocuSkills footnote demo</w:t>
      </w:r>
    </w:p>
    <w:p>
      <w:r>
        <w:t>DocuSkills Corp</w:t>
      </w:r>
      <w:r>
        <w:t xml:space="preserve"> is a registered placeholder brand</w:t>
      </w:r>
      <w:r>
        <w:rPr>
          <w:rStyle w:val="FootnoteReference"/>
        </w:rPr>
        <w:footnoteReference w:id="2"/>
      </w:r>
      <w:r>
        <w:t xml:space="preserve"> used throughout this template.</w:t>
      </w:r>
    </w:p>
    <w:p>
      <w:pPr>
        <w:pStyle w:val="Heading1"/>
      </w:pPr>
      <w:r>
        <w:t>Example heading</w:t>
      </w:r>
    </w:p>
    <w:p>
      <w:r>
        <w:t>Lorem ipsum dolor sit amet, consectetur adipiscing elit. This demo paragraph is instruction content that a generation run should clear and replace with the user's real DocuSkills content.</w:t>
      </w:r>
    </w:p>
    <w:p>
      <w:pPr>
        <w:pStyle w:val="Heading2"/>
      </w:pPr>
      <w:r>
        <w:t>Example subheading</w:t>
      </w:r>
    </w:p>
    <w:p>
      <w:r>
        <w:t>Praesent commodo cursus magna. Curabitur blandit tempus porttitor. DocuSkills Corp placeholder body text continues here.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DocuSkills landscape appendix</w:t>
      </w:r>
    </w:p>
    <w:p>
      <w:r>
        <w:t>This appendix sits in a landscape section. Wide DocuSkills tables and figures live here. Demo content the generator may clear.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DocuSkills Corp is a fictional company used only for testing.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distT="0" distB="0" distL="0" distR="0">
          <wp:extent cx="762000" cy="254000"/>
          <wp:effectExtent l="0" t="0" r="0" b="0"/>
          <wp:docPr id="200" name="DocuSkillsHeaderLogo"/>
          <wp:cNvGraphicFramePr>
            <ns2:graphicFrameLocks xmlns:ns2="http://schemas.openxmlformats.org/drawingml/2006/main" noChangeAspect="1"/>
          </wp:cNvGraphicFramePr>
          <ns3:graphic xmlns:ns3="http://schemas.openxmlformats.org/drawingml/2006/main">
            <ns3:graphicData uri="http://schemas.openxmlformats.org/drawingml/2006/picture">
              <ns4:pic xmlns:ns4="http://schemas.openxmlformats.org/drawingml/2006/picture">
                <ns4:nvPicPr>
                  <ns4:cNvPr id="0" name="DocuSkillsHeaderLogo"/>
                  <ns4:cNvPicPr/>
                </ns4:nvPicPr>
                <ns4:blipFill>
                  <ns3:blip r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762000" cy="254000"/>
                  </ns3:xfrm>
                  <ns3:prstGeom prst="rect">
                    <ns3:avLst/>
                  </ns3:prstGeom>
                </ns4:spPr>
              </ns4:pic>
            </ns3:graphicData>
          </ns3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pPr>
      <w:tabs/>
    </w:pPr>
  </w:style>
  <w:style w:type="paragraph" w:styleId="TOC2">
    <w:name w:val="TOC 2"/>
    <w:basedOn w:val="Normal"/>
    <w:uiPriority w:val="39"/>
    <w:pPr>
      <w:tabs/>
    </w:pPr>
  </w:style>
  <w:style w:type="paragraph" w:styleId="TOC3">
    <w:name w:val="TOC 3"/>
    <w:basedOn w:val="Normal"/>
    <w:uiPriority w:val="39"/>
    <w:pPr>
      <w:tabs/>
    </w:pPr>
  </w:style>
  <w:style w:type="paragraph" w:styleId="TableofFigures">
    <w:name w:val="Table of Figures"/>
    <w:basedOn w:val="Normal"/>
    <w:uiPriority w:val="39"/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DocuSkillsCoverTitle" w:customStyle="1">
    <w:name w:val="DocuSkills Cover Title"/>
    <w:basedOn w:val="Normal"/>
    <w:qFormat/>
    <w:pPr/>
    <w:rPr>
      <w:b/>
      <w:color w:val="16213F"/>
      <w:sz w:val="56"/>
    </w:rPr>
  </w:style>
  <w:style w:type="paragraph" w:styleId="DocuSkillsCoverSubtitle" w:customStyle="1">
    <w:name w:val="DocuSkills Cover Subtitle"/>
    <w:basedOn w:val="Normal"/>
    <w:qFormat/>
    <w:pPr/>
    <w:rPr>
      <w:color w:val="2B7CD3"/>
      <w:sz w:val="28"/>
    </w:rPr>
  </w:style>
  <w:style w:type="paragraph" w:styleId="DocuSkillsCallout" w:customStyle="1">
    <w:name w:val="DocuSkills Callout"/>
    <w:basedOn w:val="Normal"/>
    <w:qFormat/>
    <w:pPr>
      <w:shd w:val="clear" w:color="auto" w:fill="EAF1FF"/>
      <w:pBdr>
        <w:top w:val="single" w:sz="12" w:space="6" w:color="2B7CD3"/>
        <w:left w:val="single" w:sz="12" w:space="6" w:color="2B7CD3"/>
        <w:bottom w:val="single" w:sz="12" w:space="6" w:color="2B7CD3"/>
        <w:right w:val="single" w:sz="12" w:space="6" w:color="2B7CD3"/>
      </w:pBdr>
      <w:spacing w:before="120" w:after="120"/>
    </w:pPr>
    <w:rPr>
      <w:color w:val="16213F"/>
    </w:rPr>
  </w:style>
  <w:style w:type="paragraph" w:styleId="DocuSkillsBulletL1" w:customStyle="1">
    <w:name w:val="DocuSkills Bullet L1"/>
    <w:basedOn w:val="ListParagraph"/>
    <w:qFormat/>
    <w:pPr>
      <w:numPr>
        <w:numId w:val="1"/>
      </w:numPr>
    </w:pPr>
  </w:style>
  <w:style w:type="paragraph" w:styleId="DocuSkillsBulletL2" w:customStyle="1">
    <w:name w:val="DocuSkills Bullet L2"/>
    <w:basedOn w:val="ListParagraph"/>
    <w:qFormat/>
    <w:pPr>
      <w:numPr>
        <w:numId w:val="2"/>
      </w:numPr>
    </w:pPr>
  </w:style>
  <w:style w:type="paragraph" w:styleId="DocuSkillsNumberL1" w:customStyle="1">
    <w:name w:val="DocuSkills Number L1"/>
    <w:basedOn w:val="ListParagraph"/>
    <w:qFormat/>
    <w:pPr>
      <w:numPr>
        <w:numId w:val="3"/>
      </w:numPr>
    </w:pPr>
  </w:style>
  <w:style w:type="table" w:styleId="DocuSkillsTable" w:customStyle="1">
    <w:name w:val="DocuSkills Table"/>
    <w:basedOn w:val="TableNormal"/>
    <w:uiPriority w:val="99"/>
    <w:tblPr>
      <w:tblStyleRowBandSize w:val="1"/>
      <w:tblBorders>
        <w:top w:val="single" w:sz="4" w:space="0" w:color="16213F"/>
        <w:left w:val="single" w:sz="4" w:space="0" w:color="16213F"/>
        <w:bottom w:val="single" w:sz="4" w:space="0" w:color="16213F"/>
        <w:right w:val="single" w:sz="4" w:space="0" w:color="16213F"/>
        <w:insideH w:val="single" w:sz="4" w:space="0" w:color="16213F"/>
        <w:insideV w:val="single" w:sz="4" w:space="0" w:color="16213F"/>
      </w:tblBorders>
    </w:tblPr>
    <w:rPr>
      <w:color w:val="16213F"/>
    </w:rPr>
    <w:tblStylePr w:type="firstRow">
      <w:rPr>
        <w:b/>
        <w:color w:val="FFFFFF"/>
      </w:rPr>
      <w:tcPr>
        <w:shd w:val="clear" w:color="auto" w:fill="16213F"/>
      </w:tcPr>
    </w:tblStylePr>
    <w:tblStylePr w:type="band1Horz">
      <w:tcPr>
        <w:shd w:val="clear" w:color="auto" w:fill="DCE7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2026-06-05T00:00:00Z</dcterms:created>
  <dcterms:modified xsi:type="dcterms:W3CDTF">2026-06-05T00:00:00Z</dcterms:modified>
  <cp:category/>
</cp:coreProperties>
</file>