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DE031" w14:textId="767919D0" w:rsidR="00785E31" w:rsidRDefault="00785E31" w:rsidP="00785E31">
      <w:pPr>
        <w:spacing w:before="100" w:beforeAutospacing="1" w:after="100" w:afterAutospacing="1" w:line="240" w:lineRule="auto"/>
        <w:jc w:val="center"/>
        <w:outlineLvl w:val="0"/>
        <w:rPr>
          <w:rFonts w:ascii="Times New Roman" w:eastAsia="Times New Roman" w:hAnsi="Times New Roman" w:cs="Times New Roman"/>
          <w:b/>
          <w:bCs/>
          <w:kern w:val="36"/>
          <w:sz w:val="56"/>
          <w:szCs w:val="56"/>
        </w:rPr>
      </w:pPr>
      <w:r w:rsidRPr="00785E31">
        <w:rPr>
          <w:rFonts w:ascii="Times New Roman" w:eastAsia="Times New Roman" w:hAnsi="Times New Roman" w:cs="Times New Roman"/>
          <w:b/>
          <w:bCs/>
          <w:kern w:val="36"/>
          <w:sz w:val="56"/>
          <w:szCs w:val="56"/>
        </w:rPr>
        <w:t>Economic Overview Report</w:t>
      </w:r>
    </w:p>
    <w:p w14:paraId="1EE03C32" w14:textId="69DA37B0" w:rsidR="00785E31" w:rsidRDefault="00785E31" w:rsidP="00785E31">
      <w:pPr>
        <w:spacing w:before="100" w:beforeAutospacing="1" w:after="100" w:afterAutospacing="1" w:line="240" w:lineRule="auto"/>
        <w:jc w:val="center"/>
        <w:outlineLvl w:val="0"/>
        <w:rPr>
          <w:rFonts w:ascii="Times New Roman" w:eastAsia="Times New Roman" w:hAnsi="Times New Roman" w:cs="Times New Roman"/>
          <w:b/>
          <w:bCs/>
          <w:kern w:val="36"/>
          <w:sz w:val="56"/>
          <w:szCs w:val="56"/>
        </w:rPr>
      </w:pPr>
    </w:p>
    <w:p w14:paraId="4CE94099" w14:textId="77777777" w:rsidR="00785E31" w:rsidRPr="00785E31" w:rsidRDefault="00785E31" w:rsidP="00785E31">
      <w:pPr>
        <w:spacing w:before="100" w:beforeAutospacing="1" w:after="100" w:afterAutospacing="1" w:line="276" w:lineRule="auto"/>
        <w:jc w:val="both"/>
        <w:outlineLvl w:val="1"/>
        <w:rPr>
          <w:rFonts w:ascii="Times New Roman" w:eastAsia="Times New Roman" w:hAnsi="Times New Roman" w:cs="Times New Roman"/>
          <w:b/>
          <w:bCs/>
          <w:sz w:val="32"/>
          <w:szCs w:val="32"/>
        </w:rPr>
      </w:pPr>
      <w:r w:rsidRPr="00785E31">
        <w:rPr>
          <w:rFonts w:ascii="Times New Roman" w:eastAsia="Times New Roman" w:hAnsi="Times New Roman" w:cs="Times New Roman"/>
          <w:b/>
          <w:bCs/>
          <w:sz w:val="32"/>
          <w:szCs w:val="32"/>
        </w:rPr>
        <w:t>Introduction</w:t>
      </w:r>
    </w:p>
    <w:p w14:paraId="2B6013A3" w14:textId="77777777" w:rsidR="00785E31" w:rsidRPr="00785E31" w:rsidRDefault="00785E31" w:rsidP="00785E31">
      <w:pPr>
        <w:spacing w:before="100" w:beforeAutospacing="1" w:after="100" w:afterAutospacing="1" w:line="276" w:lineRule="auto"/>
        <w:jc w:val="both"/>
        <w:rPr>
          <w:rFonts w:ascii="Times New Roman" w:eastAsia="Times New Roman" w:hAnsi="Times New Roman" w:cs="Times New Roman"/>
          <w:sz w:val="28"/>
          <w:szCs w:val="28"/>
        </w:rPr>
      </w:pPr>
      <w:r w:rsidRPr="00785E31">
        <w:rPr>
          <w:rFonts w:ascii="Times New Roman" w:eastAsia="Times New Roman" w:hAnsi="Times New Roman" w:cs="Times New Roman"/>
          <w:sz w:val="28"/>
          <w:szCs w:val="28"/>
        </w:rPr>
        <w:t>This report provides a detailed analysis of key economic indicators across various countries, focusing on GDP growth rates, unemployment rates, inflation rates, public debt, current account balances, foreign direct investment (FDI) inflows, trade balances, and literacy rates. The aim is to highlight trends, identify challenges, and suggest potential policy directions for improved economic performance globally.</w:t>
      </w:r>
    </w:p>
    <w:p w14:paraId="1FDE16D4" w14:textId="77777777" w:rsidR="00785E31" w:rsidRPr="00785E31" w:rsidRDefault="00785E31" w:rsidP="00785E31">
      <w:pPr>
        <w:spacing w:before="100" w:beforeAutospacing="1" w:after="100" w:afterAutospacing="1" w:line="276" w:lineRule="auto"/>
        <w:jc w:val="both"/>
        <w:outlineLvl w:val="1"/>
        <w:rPr>
          <w:rFonts w:ascii="Times New Roman" w:eastAsia="Times New Roman" w:hAnsi="Times New Roman" w:cs="Times New Roman"/>
          <w:b/>
          <w:bCs/>
          <w:sz w:val="32"/>
          <w:szCs w:val="32"/>
        </w:rPr>
      </w:pPr>
      <w:r w:rsidRPr="00785E31">
        <w:rPr>
          <w:rFonts w:ascii="Times New Roman" w:eastAsia="Times New Roman" w:hAnsi="Times New Roman" w:cs="Times New Roman"/>
          <w:b/>
          <w:bCs/>
          <w:sz w:val="32"/>
          <w:szCs w:val="32"/>
        </w:rPr>
        <w:t>Key Findings</w:t>
      </w:r>
    </w:p>
    <w:p w14:paraId="261E88DA" w14:textId="77777777" w:rsidR="00785E31" w:rsidRPr="00785E31" w:rsidRDefault="00785E31" w:rsidP="00785E31">
      <w:pPr>
        <w:spacing w:before="100" w:beforeAutospacing="1" w:after="100" w:afterAutospacing="1" w:line="276" w:lineRule="auto"/>
        <w:jc w:val="both"/>
        <w:outlineLvl w:val="2"/>
        <w:rPr>
          <w:rFonts w:ascii="Times New Roman" w:eastAsia="Times New Roman" w:hAnsi="Times New Roman" w:cs="Times New Roman"/>
          <w:b/>
          <w:bCs/>
          <w:sz w:val="28"/>
          <w:szCs w:val="28"/>
        </w:rPr>
      </w:pPr>
      <w:r w:rsidRPr="00785E31">
        <w:rPr>
          <w:rFonts w:ascii="Times New Roman" w:eastAsia="Times New Roman" w:hAnsi="Times New Roman" w:cs="Times New Roman"/>
          <w:b/>
          <w:bCs/>
          <w:sz w:val="28"/>
          <w:szCs w:val="28"/>
        </w:rPr>
        <w:t>1. GDP Growth Rate</w:t>
      </w:r>
    </w:p>
    <w:p w14:paraId="7C74D1C2" w14:textId="77777777" w:rsidR="00785E31" w:rsidRPr="00785E31" w:rsidRDefault="00785E31" w:rsidP="00785E31">
      <w:pPr>
        <w:numPr>
          <w:ilvl w:val="0"/>
          <w:numId w:val="1"/>
        </w:numPr>
        <w:spacing w:before="100" w:beforeAutospacing="1" w:after="100" w:afterAutospacing="1" w:line="276" w:lineRule="auto"/>
        <w:jc w:val="both"/>
        <w:rPr>
          <w:rFonts w:ascii="Times New Roman" w:eastAsia="Times New Roman" w:hAnsi="Times New Roman" w:cs="Times New Roman"/>
          <w:sz w:val="28"/>
          <w:szCs w:val="28"/>
        </w:rPr>
      </w:pPr>
      <w:r w:rsidRPr="00785E31">
        <w:rPr>
          <w:rFonts w:ascii="Times New Roman" w:eastAsia="Times New Roman" w:hAnsi="Times New Roman" w:cs="Times New Roman"/>
          <w:b/>
          <w:bCs/>
          <w:sz w:val="28"/>
          <w:szCs w:val="28"/>
        </w:rPr>
        <w:t>Highest GDP Growth Rate:</w:t>
      </w:r>
      <w:r w:rsidRPr="00785E31">
        <w:rPr>
          <w:rFonts w:ascii="Times New Roman" w:eastAsia="Times New Roman" w:hAnsi="Times New Roman" w:cs="Times New Roman"/>
          <w:sz w:val="28"/>
          <w:szCs w:val="28"/>
        </w:rPr>
        <w:t xml:space="preserve"> India leads with an impressive growth rate of </w:t>
      </w:r>
      <w:r w:rsidRPr="00785E31">
        <w:rPr>
          <w:rFonts w:ascii="Times New Roman" w:eastAsia="Times New Roman" w:hAnsi="Times New Roman" w:cs="Times New Roman"/>
          <w:b/>
          <w:bCs/>
          <w:sz w:val="28"/>
          <w:szCs w:val="28"/>
        </w:rPr>
        <w:t>6.1%</w:t>
      </w:r>
      <w:r w:rsidRPr="00785E31">
        <w:rPr>
          <w:rFonts w:ascii="Times New Roman" w:eastAsia="Times New Roman" w:hAnsi="Times New Roman" w:cs="Times New Roman"/>
          <w:sz w:val="28"/>
          <w:szCs w:val="28"/>
        </w:rPr>
        <w:t>, driven by a mix of robust domestic demand, government initiatives, and a young workforce.</w:t>
      </w:r>
    </w:p>
    <w:p w14:paraId="289FF305" w14:textId="1979B77F" w:rsidR="00785E31" w:rsidRDefault="00785E31" w:rsidP="00785E31">
      <w:pPr>
        <w:numPr>
          <w:ilvl w:val="0"/>
          <w:numId w:val="1"/>
        </w:numPr>
        <w:spacing w:before="100" w:beforeAutospacing="1" w:after="100" w:afterAutospacing="1" w:line="276" w:lineRule="auto"/>
        <w:jc w:val="both"/>
        <w:rPr>
          <w:rFonts w:ascii="Times New Roman" w:eastAsia="Times New Roman" w:hAnsi="Times New Roman" w:cs="Times New Roman"/>
          <w:sz w:val="28"/>
          <w:szCs w:val="28"/>
        </w:rPr>
      </w:pPr>
      <w:r w:rsidRPr="00785E31">
        <w:rPr>
          <w:rFonts w:ascii="Times New Roman" w:eastAsia="Times New Roman" w:hAnsi="Times New Roman" w:cs="Times New Roman"/>
          <w:b/>
          <w:bCs/>
          <w:sz w:val="28"/>
          <w:szCs w:val="28"/>
        </w:rPr>
        <w:t>Comparison with Other Nations:</w:t>
      </w:r>
      <w:r w:rsidRPr="00785E31">
        <w:rPr>
          <w:rFonts w:ascii="Times New Roman" w:eastAsia="Times New Roman" w:hAnsi="Times New Roman" w:cs="Times New Roman"/>
          <w:sz w:val="28"/>
          <w:szCs w:val="28"/>
        </w:rPr>
        <w:t xml:space="preserve"> Following India, China shows a growth rate of </w:t>
      </w:r>
      <w:r w:rsidRPr="00785E31">
        <w:rPr>
          <w:rFonts w:ascii="Times New Roman" w:eastAsia="Times New Roman" w:hAnsi="Times New Roman" w:cs="Times New Roman"/>
          <w:b/>
          <w:bCs/>
          <w:sz w:val="28"/>
          <w:szCs w:val="28"/>
        </w:rPr>
        <w:t>5%</w:t>
      </w:r>
      <w:r w:rsidRPr="00785E31">
        <w:rPr>
          <w:rFonts w:ascii="Times New Roman" w:eastAsia="Times New Roman" w:hAnsi="Times New Roman" w:cs="Times New Roman"/>
          <w:sz w:val="28"/>
          <w:szCs w:val="28"/>
        </w:rPr>
        <w:t>, while other countries like Bangladesh (6.2%) and Vietnam (5.5%) also demonstrate strong growth potential in emerging markets.</w:t>
      </w:r>
    </w:p>
    <w:p w14:paraId="6D814A9E" w14:textId="77777777" w:rsidR="00785E31" w:rsidRDefault="00785E31" w:rsidP="00785E31">
      <w:pPr>
        <w:numPr>
          <w:ilvl w:val="0"/>
          <w:numId w:val="1"/>
        </w:numPr>
        <w:spacing w:before="100" w:beforeAutospacing="1" w:after="100" w:afterAutospacing="1" w:line="276" w:lineRule="auto"/>
        <w:jc w:val="both"/>
        <w:rPr>
          <w:rFonts w:ascii="Times New Roman" w:eastAsia="Times New Roman" w:hAnsi="Times New Roman" w:cs="Times New Roman"/>
          <w:sz w:val="28"/>
          <w:szCs w:val="28"/>
        </w:rPr>
      </w:pPr>
    </w:p>
    <w:p w14:paraId="1B8C4DBF" w14:textId="60B52714" w:rsidR="00785E31" w:rsidRPr="00785E31" w:rsidRDefault="00785E31" w:rsidP="00785E31">
      <w:pPr>
        <w:numPr>
          <w:ilvl w:val="0"/>
          <w:numId w:val="1"/>
        </w:numPr>
        <w:spacing w:before="100" w:beforeAutospacing="1" w:after="100" w:afterAutospacing="1" w:line="276" w:lineRule="auto"/>
        <w:jc w:val="both"/>
        <w:rPr>
          <w:rFonts w:ascii="Times New Roman" w:eastAsia="Times New Roman" w:hAnsi="Times New Roman" w:cs="Times New Roman"/>
          <w:sz w:val="28"/>
          <w:szCs w:val="28"/>
        </w:rPr>
      </w:pPr>
      <w:r>
        <w:rPr>
          <w:noProof/>
        </w:rPr>
        <w:drawing>
          <wp:inline distT="0" distB="0" distL="0" distR="0" wp14:anchorId="20A916A6" wp14:editId="11D6AA83">
            <wp:extent cx="4546600" cy="2720975"/>
            <wp:effectExtent l="0" t="0" r="6350" b="3175"/>
            <wp:docPr id="1" name="Chart 1">
              <a:extLst xmlns:a="http://schemas.openxmlformats.org/drawingml/2006/main">
                <a:ext uri="{FF2B5EF4-FFF2-40B4-BE49-F238E27FC236}">
                  <a16:creationId xmlns:a16="http://schemas.microsoft.com/office/drawing/2014/main" id="{17F80A57-F53E-4F77-A331-580A136B12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92DC807" w14:textId="77777777" w:rsidR="00785E31" w:rsidRDefault="00785E31" w:rsidP="00785E31">
      <w:pPr>
        <w:spacing w:before="100" w:beforeAutospacing="1" w:after="100" w:afterAutospacing="1" w:line="276" w:lineRule="auto"/>
        <w:jc w:val="both"/>
        <w:outlineLvl w:val="2"/>
        <w:rPr>
          <w:rFonts w:ascii="Times New Roman" w:eastAsia="Times New Roman" w:hAnsi="Times New Roman" w:cs="Times New Roman"/>
          <w:b/>
          <w:bCs/>
          <w:sz w:val="28"/>
          <w:szCs w:val="28"/>
        </w:rPr>
      </w:pPr>
    </w:p>
    <w:p w14:paraId="1B3ABDE4" w14:textId="1418742E" w:rsidR="00785E31" w:rsidRPr="00785E31" w:rsidRDefault="00785E31" w:rsidP="00785E31">
      <w:pPr>
        <w:spacing w:before="100" w:beforeAutospacing="1" w:after="100" w:afterAutospacing="1" w:line="276" w:lineRule="auto"/>
        <w:jc w:val="both"/>
        <w:outlineLvl w:val="2"/>
        <w:rPr>
          <w:rFonts w:ascii="Times New Roman" w:eastAsia="Times New Roman" w:hAnsi="Times New Roman" w:cs="Times New Roman"/>
          <w:b/>
          <w:bCs/>
          <w:sz w:val="28"/>
          <w:szCs w:val="28"/>
        </w:rPr>
      </w:pPr>
      <w:r w:rsidRPr="00785E31">
        <w:rPr>
          <w:rFonts w:ascii="Times New Roman" w:eastAsia="Times New Roman" w:hAnsi="Times New Roman" w:cs="Times New Roman"/>
          <w:b/>
          <w:bCs/>
          <w:sz w:val="28"/>
          <w:szCs w:val="28"/>
        </w:rPr>
        <w:lastRenderedPageBreak/>
        <w:t>2. Unemployment Rate</w:t>
      </w:r>
    </w:p>
    <w:p w14:paraId="37939AB6" w14:textId="77777777" w:rsidR="00785E31" w:rsidRPr="00785E31" w:rsidRDefault="00785E31" w:rsidP="00785E31">
      <w:pPr>
        <w:numPr>
          <w:ilvl w:val="0"/>
          <w:numId w:val="2"/>
        </w:numPr>
        <w:spacing w:before="100" w:beforeAutospacing="1" w:after="100" w:afterAutospacing="1" w:line="276" w:lineRule="auto"/>
        <w:jc w:val="both"/>
        <w:rPr>
          <w:rFonts w:ascii="Times New Roman" w:eastAsia="Times New Roman" w:hAnsi="Times New Roman" w:cs="Times New Roman"/>
          <w:sz w:val="28"/>
          <w:szCs w:val="28"/>
        </w:rPr>
      </w:pPr>
      <w:r w:rsidRPr="00785E31">
        <w:rPr>
          <w:rFonts w:ascii="Times New Roman" w:eastAsia="Times New Roman" w:hAnsi="Times New Roman" w:cs="Times New Roman"/>
          <w:b/>
          <w:bCs/>
          <w:sz w:val="28"/>
          <w:szCs w:val="28"/>
        </w:rPr>
        <w:t>Average Unemployment Rate:</w:t>
      </w:r>
      <w:r w:rsidRPr="00785E31">
        <w:rPr>
          <w:rFonts w:ascii="Times New Roman" w:eastAsia="Times New Roman" w:hAnsi="Times New Roman" w:cs="Times New Roman"/>
          <w:sz w:val="28"/>
          <w:szCs w:val="28"/>
        </w:rPr>
        <w:t xml:space="preserve"> The average unemployment rate across the surveyed countries is approximately </w:t>
      </w:r>
      <w:r w:rsidRPr="00785E31">
        <w:rPr>
          <w:rFonts w:ascii="Times New Roman" w:eastAsia="Times New Roman" w:hAnsi="Times New Roman" w:cs="Times New Roman"/>
          <w:b/>
          <w:bCs/>
          <w:sz w:val="28"/>
          <w:szCs w:val="28"/>
        </w:rPr>
        <w:t>5.1%</w:t>
      </w:r>
      <w:r w:rsidRPr="00785E31">
        <w:rPr>
          <w:rFonts w:ascii="Times New Roman" w:eastAsia="Times New Roman" w:hAnsi="Times New Roman" w:cs="Times New Roman"/>
          <w:sz w:val="28"/>
          <w:szCs w:val="28"/>
        </w:rPr>
        <w:t>.</w:t>
      </w:r>
    </w:p>
    <w:p w14:paraId="34A30B83" w14:textId="77777777" w:rsidR="00785E31" w:rsidRPr="00785E31" w:rsidRDefault="00785E31" w:rsidP="00785E31">
      <w:pPr>
        <w:numPr>
          <w:ilvl w:val="0"/>
          <w:numId w:val="2"/>
        </w:numPr>
        <w:spacing w:before="100" w:beforeAutospacing="1" w:after="100" w:afterAutospacing="1" w:line="276" w:lineRule="auto"/>
        <w:jc w:val="both"/>
        <w:rPr>
          <w:rFonts w:ascii="Times New Roman" w:eastAsia="Times New Roman" w:hAnsi="Times New Roman" w:cs="Times New Roman"/>
          <w:sz w:val="28"/>
          <w:szCs w:val="28"/>
        </w:rPr>
      </w:pPr>
      <w:r w:rsidRPr="00785E31">
        <w:rPr>
          <w:rFonts w:ascii="Times New Roman" w:eastAsia="Times New Roman" w:hAnsi="Times New Roman" w:cs="Times New Roman"/>
          <w:b/>
          <w:bCs/>
          <w:sz w:val="28"/>
          <w:szCs w:val="28"/>
        </w:rPr>
        <w:t>Country with the Highest Unemployment Rate:</w:t>
      </w:r>
      <w:r w:rsidRPr="00785E31">
        <w:rPr>
          <w:rFonts w:ascii="Times New Roman" w:eastAsia="Times New Roman" w:hAnsi="Times New Roman" w:cs="Times New Roman"/>
          <w:sz w:val="28"/>
          <w:szCs w:val="28"/>
        </w:rPr>
        <w:t xml:space="preserve"> South Africa faces a staggering </w:t>
      </w:r>
      <w:r w:rsidRPr="00785E31">
        <w:rPr>
          <w:rFonts w:ascii="Times New Roman" w:eastAsia="Times New Roman" w:hAnsi="Times New Roman" w:cs="Times New Roman"/>
          <w:b/>
          <w:bCs/>
          <w:sz w:val="28"/>
          <w:szCs w:val="28"/>
        </w:rPr>
        <w:t>34%</w:t>
      </w:r>
      <w:r w:rsidRPr="00785E31">
        <w:rPr>
          <w:rFonts w:ascii="Times New Roman" w:eastAsia="Times New Roman" w:hAnsi="Times New Roman" w:cs="Times New Roman"/>
          <w:sz w:val="28"/>
          <w:szCs w:val="28"/>
        </w:rPr>
        <w:t xml:space="preserve"> unemployment rate, raising concerns about social stability and economic sustainability.</w:t>
      </w:r>
    </w:p>
    <w:p w14:paraId="6DFD80CC" w14:textId="77777777" w:rsidR="00785E31" w:rsidRPr="00785E31" w:rsidRDefault="00785E31" w:rsidP="00785E31">
      <w:pPr>
        <w:numPr>
          <w:ilvl w:val="0"/>
          <w:numId w:val="2"/>
        </w:numPr>
        <w:spacing w:before="100" w:beforeAutospacing="1" w:after="100" w:afterAutospacing="1" w:line="276" w:lineRule="auto"/>
        <w:jc w:val="both"/>
        <w:rPr>
          <w:rFonts w:ascii="Times New Roman" w:eastAsia="Times New Roman" w:hAnsi="Times New Roman" w:cs="Times New Roman"/>
          <w:sz w:val="28"/>
          <w:szCs w:val="28"/>
        </w:rPr>
      </w:pPr>
      <w:r w:rsidRPr="00785E31">
        <w:rPr>
          <w:rFonts w:ascii="Times New Roman" w:eastAsia="Times New Roman" w:hAnsi="Times New Roman" w:cs="Times New Roman"/>
          <w:b/>
          <w:bCs/>
          <w:sz w:val="28"/>
          <w:szCs w:val="28"/>
        </w:rPr>
        <w:t>Countries with Low Unemployment:</w:t>
      </w:r>
      <w:r w:rsidRPr="00785E31">
        <w:rPr>
          <w:rFonts w:ascii="Times New Roman" w:eastAsia="Times New Roman" w:hAnsi="Times New Roman" w:cs="Times New Roman"/>
          <w:sz w:val="28"/>
          <w:szCs w:val="28"/>
        </w:rPr>
        <w:t xml:space="preserve"> Countries like South Korea (3%) and Japan (2.6%) exhibit low unemployment rates, reflecting stronger job markets.</w:t>
      </w:r>
    </w:p>
    <w:p w14:paraId="2BA95512" w14:textId="2E2BD912" w:rsidR="00785E31" w:rsidRDefault="00785E31" w:rsidP="00785E31">
      <w:pPr>
        <w:spacing w:before="100" w:beforeAutospacing="1" w:after="100" w:afterAutospacing="1" w:line="276" w:lineRule="auto"/>
        <w:jc w:val="both"/>
        <w:outlineLvl w:val="2"/>
        <w:rPr>
          <w:rFonts w:ascii="Times New Roman" w:eastAsia="Times New Roman" w:hAnsi="Times New Roman" w:cs="Times New Roman"/>
          <w:b/>
          <w:bCs/>
          <w:sz w:val="28"/>
          <w:szCs w:val="28"/>
        </w:rPr>
      </w:pPr>
      <w:r w:rsidRPr="00785E31">
        <w:rPr>
          <w:rFonts w:ascii="Times New Roman" w:eastAsia="Times New Roman" w:hAnsi="Times New Roman" w:cs="Times New Roman"/>
          <w:b/>
          <w:bCs/>
          <w:sz w:val="28"/>
          <w:szCs w:val="28"/>
        </w:rPr>
        <w:t>3. Literacy Rate</w:t>
      </w:r>
    </w:p>
    <w:p w14:paraId="70B00C05" w14:textId="25D9B2B3" w:rsidR="00785E31" w:rsidRPr="00785E31" w:rsidRDefault="00785E31" w:rsidP="00785E31">
      <w:pPr>
        <w:spacing w:before="100" w:beforeAutospacing="1" w:after="100" w:afterAutospacing="1" w:line="276" w:lineRule="auto"/>
        <w:jc w:val="both"/>
        <w:outlineLvl w:val="2"/>
        <w:rPr>
          <w:rFonts w:ascii="Times New Roman" w:eastAsia="Times New Roman" w:hAnsi="Times New Roman" w:cs="Times New Roman"/>
          <w:b/>
          <w:bCs/>
          <w:sz w:val="28"/>
          <w:szCs w:val="28"/>
        </w:rPr>
      </w:pPr>
      <w:r w:rsidRPr="00785E31">
        <w:rPr>
          <w:rFonts w:ascii="Times New Roman" w:eastAsia="Times New Roman" w:hAnsi="Times New Roman" w:cs="Times New Roman"/>
          <w:b/>
          <w:bCs/>
          <w:sz w:val="28"/>
          <w:szCs w:val="28"/>
        </w:rPr>
        <w:t>Literacy Rate:</w:t>
      </w:r>
      <w:r w:rsidRPr="00785E31">
        <w:rPr>
          <w:rFonts w:ascii="Times New Roman" w:eastAsia="Times New Roman" w:hAnsi="Times New Roman" w:cs="Times New Roman"/>
          <w:sz w:val="28"/>
          <w:szCs w:val="28"/>
        </w:rPr>
        <w:t xml:space="preserve"> A notable </w:t>
      </w:r>
      <w:r w:rsidRPr="00785E31">
        <w:rPr>
          <w:rFonts w:ascii="Times New Roman" w:eastAsia="Times New Roman" w:hAnsi="Times New Roman" w:cs="Times New Roman"/>
          <w:b/>
          <w:bCs/>
          <w:sz w:val="28"/>
          <w:szCs w:val="28"/>
        </w:rPr>
        <w:t>30 countries</w:t>
      </w:r>
      <w:r w:rsidRPr="00785E31">
        <w:rPr>
          <w:rFonts w:ascii="Times New Roman" w:eastAsia="Times New Roman" w:hAnsi="Times New Roman" w:cs="Times New Roman"/>
          <w:sz w:val="28"/>
          <w:szCs w:val="28"/>
        </w:rPr>
        <w:t xml:space="preserve"> boast literacy rates above </w:t>
      </w:r>
      <w:r w:rsidRPr="00785E31">
        <w:rPr>
          <w:rFonts w:ascii="Times New Roman" w:eastAsia="Times New Roman" w:hAnsi="Times New Roman" w:cs="Times New Roman"/>
          <w:b/>
          <w:bCs/>
          <w:sz w:val="28"/>
          <w:szCs w:val="28"/>
        </w:rPr>
        <w:t>95%</w:t>
      </w:r>
      <w:r w:rsidRPr="00785E31">
        <w:rPr>
          <w:rFonts w:ascii="Times New Roman" w:eastAsia="Times New Roman" w:hAnsi="Times New Roman" w:cs="Times New Roman"/>
          <w:sz w:val="28"/>
          <w:szCs w:val="28"/>
        </w:rPr>
        <w:t>, indicating significant progress in education systems worldwide.</w:t>
      </w:r>
    </w:p>
    <w:p w14:paraId="2CCA10DB" w14:textId="77777777" w:rsidR="00785E31" w:rsidRPr="00785E31" w:rsidRDefault="00785E31" w:rsidP="00785E31">
      <w:pPr>
        <w:numPr>
          <w:ilvl w:val="0"/>
          <w:numId w:val="3"/>
        </w:numPr>
        <w:spacing w:before="100" w:beforeAutospacing="1" w:after="100" w:afterAutospacing="1" w:line="276" w:lineRule="auto"/>
        <w:jc w:val="both"/>
        <w:rPr>
          <w:rFonts w:ascii="Times New Roman" w:eastAsia="Times New Roman" w:hAnsi="Times New Roman" w:cs="Times New Roman"/>
          <w:sz w:val="28"/>
          <w:szCs w:val="28"/>
        </w:rPr>
      </w:pPr>
      <w:r w:rsidRPr="00785E31">
        <w:rPr>
          <w:rFonts w:ascii="Times New Roman" w:eastAsia="Times New Roman" w:hAnsi="Times New Roman" w:cs="Times New Roman"/>
          <w:b/>
          <w:bCs/>
          <w:sz w:val="28"/>
          <w:szCs w:val="28"/>
        </w:rPr>
        <w:t>Implications for Development:</w:t>
      </w:r>
      <w:r w:rsidRPr="00785E31">
        <w:rPr>
          <w:rFonts w:ascii="Times New Roman" w:eastAsia="Times New Roman" w:hAnsi="Times New Roman" w:cs="Times New Roman"/>
          <w:sz w:val="28"/>
          <w:szCs w:val="28"/>
        </w:rPr>
        <w:t xml:space="preserve"> Higher literacy rates correlate with economic growth, innovation, and productivity, underlining the importance of continued investment in education.</w:t>
      </w:r>
    </w:p>
    <w:p w14:paraId="5EF570E8" w14:textId="77777777" w:rsidR="00785E31" w:rsidRPr="00785E31" w:rsidRDefault="00785E31" w:rsidP="00785E31">
      <w:pPr>
        <w:spacing w:before="100" w:beforeAutospacing="1" w:after="100" w:afterAutospacing="1" w:line="276" w:lineRule="auto"/>
        <w:jc w:val="both"/>
        <w:outlineLvl w:val="2"/>
        <w:rPr>
          <w:rFonts w:ascii="Times New Roman" w:eastAsia="Times New Roman" w:hAnsi="Times New Roman" w:cs="Times New Roman"/>
          <w:b/>
          <w:bCs/>
          <w:sz w:val="28"/>
          <w:szCs w:val="28"/>
        </w:rPr>
      </w:pPr>
      <w:r w:rsidRPr="00785E31">
        <w:rPr>
          <w:rFonts w:ascii="Times New Roman" w:eastAsia="Times New Roman" w:hAnsi="Times New Roman" w:cs="Times New Roman"/>
          <w:b/>
          <w:bCs/>
          <w:sz w:val="28"/>
          <w:szCs w:val="28"/>
        </w:rPr>
        <w:t>4. Inflation Rate</w:t>
      </w:r>
    </w:p>
    <w:p w14:paraId="08F95BD6" w14:textId="77777777" w:rsidR="00785E31" w:rsidRPr="00785E31" w:rsidRDefault="00785E31" w:rsidP="00785E31">
      <w:pPr>
        <w:numPr>
          <w:ilvl w:val="0"/>
          <w:numId w:val="4"/>
        </w:numPr>
        <w:spacing w:before="100" w:beforeAutospacing="1" w:after="100" w:afterAutospacing="1" w:line="276" w:lineRule="auto"/>
        <w:jc w:val="both"/>
        <w:rPr>
          <w:rFonts w:ascii="Times New Roman" w:eastAsia="Times New Roman" w:hAnsi="Times New Roman" w:cs="Times New Roman"/>
          <w:sz w:val="28"/>
          <w:szCs w:val="28"/>
        </w:rPr>
      </w:pPr>
      <w:r w:rsidRPr="00785E31">
        <w:rPr>
          <w:rFonts w:ascii="Times New Roman" w:eastAsia="Times New Roman" w:hAnsi="Times New Roman" w:cs="Times New Roman"/>
          <w:b/>
          <w:bCs/>
          <w:sz w:val="28"/>
          <w:szCs w:val="28"/>
        </w:rPr>
        <w:t>Average Inflation Rate:</w:t>
      </w:r>
      <w:r w:rsidRPr="00785E31">
        <w:rPr>
          <w:rFonts w:ascii="Times New Roman" w:eastAsia="Times New Roman" w:hAnsi="Times New Roman" w:cs="Times New Roman"/>
          <w:sz w:val="28"/>
          <w:szCs w:val="28"/>
        </w:rPr>
        <w:t xml:space="preserve"> The average inflation rate across the countries is approximately </w:t>
      </w:r>
      <w:r w:rsidRPr="00785E31">
        <w:rPr>
          <w:rFonts w:ascii="Times New Roman" w:eastAsia="Times New Roman" w:hAnsi="Times New Roman" w:cs="Times New Roman"/>
          <w:b/>
          <w:bCs/>
          <w:sz w:val="28"/>
          <w:szCs w:val="28"/>
        </w:rPr>
        <w:t>7.2%</w:t>
      </w:r>
      <w:r w:rsidRPr="00785E31">
        <w:rPr>
          <w:rFonts w:ascii="Times New Roman" w:eastAsia="Times New Roman" w:hAnsi="Times New Roman" w:cs="Times New Roman"/>
          <w:sz w:val="28"/>
          <w:szCs w:val="28"/>
        </w:rPr>
        <w:t>, with notable variations.</w:t>
      </w:r>
    </w:p>
    <w:p w14:paraId="6144D544" w14:textId="77777777" w:rsidR="00785E31" w:rsidRPr="00785E31" w:rsidRDefault="00785E31" w:rsidP="00785E31">
      <w:pPr>
        <w:numPr>
          <w:ilvl w:val="0"/>
          <w:numId w:val="4"/>
        </w:numPr>
        <w:spacing w:before="100" w:beforeAutospacing="1" w:after="100" w:afterAutospacing="1" w:line="276" w:lineRule="auto"/>
        <w:jc w:val="both"/>
        <w:rPr>
          <w:rFonts w:ascii="Times New Roman" w:eastAsia="Times New Roman" w:hAnsi="Times New Roman" w:cs="Times New Roman"/>
          <w:sz w:val="28"/>
          <w:szCs w:val="28"/>
        </w:rPr>
      </w:pPr>
      <w:bookmarkStart w:id="0" w:name="_Hlk178973116"/>
      <w:r w:rsidRPr="00785E31">
        <w:rPr>
          <w:rFonts w:ascii="Times New Roman" w:eastAsia="Times New Roman" w:hAnsi="Times New Roman" w:cs="Times New Roman"/>
          <w:b/>
          <w:bCs/>
          <w:sz w:val="28"/>
          <w:szCs w:val="28"/>
        </w:rPr>
        <w:t>Country with the Highest Inflation Rate:</w:t>
      </w:r>
      <w:r w:rsidRPr="00785E31">
        <w:rPr>
          <w:rFonts w:ascii="Times New Roman" w:eastAsia="Times New Roman" w:hAnsi="Times New Roman" w:cs="Times New Roman"/>
          <w:sz w:val="28"/>
          <w:szCs w:val="28"/>
        </w:rPr>
        <w:t xml:space="preserve"> Argentina’s extreme inflation rate of </w:t>
      </w:r>
      <w:r w:rsidRPr="00785E31">
        <w:rPr>
          <w:rFonts w:ascii="Times New Roman" w:eastAsia="Times New Roman" w:hAnsi="Times New Roman" w:cs="Times New Roman"/>
          <w:b/>
          <w:bCs/>
          <w:sz w:val="28"/>
          <w:szCs w:val="28"/>
        </w:rPr>
        <w:t>124%</w:t>
      </w:r>
      <w:r w:rsidRPr="00785E31">
        <w:rPr>
          <w:rFonts w:ascii="Times New Roman" w:eastAsia="Times New Roman" w:hAnsi="Times New Roman" w:cs="Times New Roman"/>
          <w:sz w:val="28"/>
          <w:szCs w:val="28"/>
        </w:rPr>
        <w:t xml:space="preserve"> underscores severe economic distress, while other countries like Turkey (50%) and Iran (48%) also face significant inflationary pressures.</w:t>
      </w:r>
    </w:p>
    <w:p w14:paraId="68BCE57B" w14:textId="77777777" w:rsidR="00FB0C4C" w:rsidRDefault="00785E31" w:rsidP="00785E31">
      <w:pPr>
        <w:numPr>
          <w:ilvl w:val="0"/>
          <w:numId w:val="4"/>
        </w:numPr>
        <w:spacing w:before="100" w:beforeAutospacing="1" w:after="100" w:afterAutospacing="1" w:line="276" w:lineRule="auto"/>
        <w:jc w:val="both"/>
        <w:rPr>
          <w:rFonts w:ascii="Times New Roman" w:eastAsia="Times New Roman" w:hAnsi="Times New Roman" w:cs="Times New Roman"/>
          <w:sz w:val="28"/>
          <w:szCs w:val="28"/>
        </w:rPr>
      </w:pPr>
      <w:r w:rsidRPr="00785E31">
        <w:rPr>
          <w:rFonts w:ascii="Times New Roman" w:eastAsia="Times New Roman" w:hAnsi="Times New Roman" w:cs="Times New Roman"/>
          <w:b/>
          <w:bCs/>
          <w:sz w:val="28"/>
          <w:szCs w:val="28"/>
        </w:rPr>
        <w:t>Impact of Inflation:</w:t>
      </w:r>
      <w:r w:rsidRPr="00785E31">
        <w:rPr>
          <w:rFonts w:ascii="Times New Roman" w:eastAsia="Times New Roman" w:hAnsi="Times New Roman" w:cs="Times New Roman"/>
          <w:sz w:val="28"/>
          <w:szCs w:val="28"/>
        </w:rPr>
        <w:t xml:space="preserve"> High inflation adversely affects purchasing power, savings, and investment, necessitating urgent economic reforms.</w:t>
      </w:r>
    </w:p>
    <w:p w14:paraId="35F21949" w14:textId="6B925B13" w:rsidR="00785E31" w:rsidRPr="00785E31" w:rsidRDefault="00785E31" w:rsidP="00785E31">
      <w:pPr>
        <w:numPr>
          <w:ilvl w:val="0"/>
          <w:numId w:val="4"/>
        </w:numPr>
        <w:spacing w:before="100" w:beforeAutospacing="1" w:after="100" w:afterAutospacing="1" w:line="276" w:lineRule="auto"/>
        <w:jc w:val="both"/>
        <w:rPr>
          <w:rFonts w:ascii="Times New Roman" w:eastAsia="Times New Roman" w:hAnsi="Times New Roman" w:cs="Times New Roman"/>
          <w:sz w:val="28"/>
          <w:szCs w:val="28"/>
        </w:rPr>
      </w:pPr>
      <w:r>
        <w:rPr>
          <w:noProof/>
        </w:rPr>
        <w:lastRenderedPageBreak/>
        <w:drawing>
          <wp:inline distT="0" distB="0" distL="0" distR="0" wp14:anchorId="266B466B" wp14:editId="7C794312">
            <wp:extent cx="4572000" cy="2743200"/>
            <wp:effectExtent l="0" t="0" r="0" b="0"/>
            <wp:docPr id="2" name="Chart 2">
              <a:extLst xmlns:a="http://schemas.openxmlformats.org/drawingml/2006/main">
                <a:ext uri="{FF2B5EF4-FFF2-40B4-BE49-F238E27FC236}">
                  <a16:creationId xmlns:a16="http://schemas.microsoft.com/office/drawing/2014/main" id="{6933147B-7638-4AFB-B23A-352F3842D5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B2E4F4F" w14:textId="77777777" w:rsidR="00785E31" w:rsidRPr="00785E31" w:rsidRDefault="00785E31" w:rsidP="00785E31">
      <w:pPr>
        <w:spacing w:before="100" w:beforeAutospacing="1" w:after="100" w:afterAutospacing="1" w:line="276" w:lineRule="auto"/>
        <w:jc w:val="both"/>
        <w:outlineLvl w:val="2"/>
        <w:rPr>
          <w:rFonts w:ascii="Times New Roman" w:eastAsia="Times New Roman" w:hAnsi="Times New Roman" w:cs="Times New Roman"/>
          <w:b/>
          <w:bCs/>
          <w:sz w:val="28"/>
          <w:szCs w:val="28"/>
        </w:rPr>
      </w:pPr>
      <w:r w:rsidRPr="00785E31">
        <w:rPr>
          <w:rFonts w:ascii="Times New Roman" w:eastAsia="Times New Roman" w:hAnsi="Times New Roman" w:cs="Times New Roman"/>
          <w:b/>
          <w:bCs/>
          <w:sz w:val="28"/>
          <w:szCs w:val="28"/>
        </w:rPr>
        <w:t>5. Public Debt</w:t>
      </w:r>
    </w:p>
    <w:p w14:paraId="3AA58389" w14:textId="77777777" w:rsidR="00785E31" w:rsidRPr="00785E31" w:rsidRDefault="00785E31" w:rsidP="00785E31">
      <w:pPr>
        <w:numPr>
          <w:ilvl w:val="0"/>
          <w:numId w:val="5"/>
        </w:numPr>
        <w:spacing w:before="100" w:beforeAutospacing="1" w:after="100" w:afterAutospacing="1" w:line="276" w:lineRule="auto"/>
        <w:jc w:val="both"/>
        <w:rPr>
          <w:rFonts w:ascii="Times New Roman" w:eastAsia="Times New Roman" w:hAnsi="Times New Roman" w:cs="Times New Roman"/>
          <w:sz w:val="28"/>
          <w:szCs w:val="28"/>
        </w:rPr>
      </w:pPr>
      <w:r w:rsidRPr="00785E31">
        <w:rPr>
          <w:rFonts w:ascii="Times New Roman" w:eastAsia="Times New Roman" w:hAnsi="Times New Roman" w:cs="Times New Roman"/>
          <w:b/>
          <w:bCs/>
          <w:sz w:val="28"/>
          <w:szCs w:val="28"/>
        </w:rPr>
        <w:t>Lowest Public Debt:</w:t>
      </w:r>
      <w:r w:rsidRPr="00785E31">
        <w:rPr>
          <w:rFonts w:ascii="Times New Roman" w:eastAsia="Times New Roman" w:hAnsi="Times New Roman" w:cs="Times New Roman"/>
          <w:sz w:val="28"/>
          <w:szCs w:val="28"/>
        </w:rPr>
        <w:t xml:space="preserve"> Russia stands out with the lowest public debt as a percentage of GDP at </w:t>
      </w:r>
      <w:r w:rsidRPr="00785E31">
        <w:rPr>
          <w:rFonts w:ascii="Times New Roman" w:eastAsia="Times New Roman" w:hAnsi="Times New Roman" w:cs="Times New Roman"/>
          <w:b/>
          <w:bCs/>
          <w:sz w:val="28"/>
          <w:szCs w:val="28"/>
        </w:rPr>
        <w:t>20%</w:t>
      </w:r>
      <w:r w:rsidRPr="00785E31">
        <w:rPr>
          <w:rFonts w:ascii="Times New Roman" w:eastAsia="Times New Roman" w:hAnsi="Times New Roman" w:cs="Times New Roman"/>
          <w:sz w:val="28"/>
          <w:szCs w:val="28"/>
        </w:rPr>
        <w:t>, which can enhance fiscal stability and provide room for future investments.</w:t>
      </w:r>
    </w:p>
    <w:p w14:paraId="7AB3DFBB" w14:textId="32B1E527" w:rsidR="00785E31" w:rsidRDefault="00785E31" w:rsidP="00785E31">
      <w:pPr>
        <w:numPr>
          <w:ilvl w:val="0"/>
          <w:numId w:val="5"/>
        </w:numPr>
        <w:spacing w:before="100" w:beforeAutospacing="1" w:after="100" w:afterAutospacing="1" w:line="276" w:lineRule="auto"/>
        <w:jc w:val="both"/>
        <w:rPr>
          <w:rFonts w:ascii="Times New Roman" w:eastAsia="Times New Roman" w:hAnsi="Times New Roman" w:cs="Times New Roman"/>
          <w:sz w:val="28"/>
          <w:szCs w:val="28"/>
        </w:rPr>
      </w:pPr>
      <w:r w:rsidRPr="00785E31">
        <w:rPr>
          <w:rFonts w:ascii="Times New Roman" w:eastAsia="Times New Roman" w:hAnsi="Times New Roman" w:cs="Times New Roman"/>
          <w:b/>
          <w:bCs/>
          <w:sz w:val="28"/>
          <w:szCs w:val="28"/>
        </w:rPr>
        <w:t>Countries with High Public Debt:</w:t>
      </w:r>
      <w:r w:rsidRPr="00785E31">
        <w:rPr>
          <w:rFonts w:ascii="Times New Roman" w:eastAsia="Times New Roman" w:hAnsi="Times New Roman" w:cs="Times New Roman"/>
          <w:sz w:val="28"/>
          <w:szCs w:val="28"/>
        </w:rPr>
        <w:t xml:space="preserve"> Conversely, countries like Japan (260%) and Italy (144%) face considerable debt burdens, raising concerns about fiscal sustainability and potential austerity measures.</w:t>
      </w:r>
    </w:p>
    <w:p w14:paraId="6DB0E913" w14:textId="77777777" w:rsidR="00FB0C4C" w:rsidRDefault="00FB0C4C" w:rsidP="00FB0C4C">
      <w:pPr>
        <w:spacing w:before="100" w:beforeAutospacing="1" w:after="100" w:afterAutospacing="1" w:line="276" w:lineRule="auto"/>
        <w:jc w:val="both"/>
        <w:rPr>
          <w:rFonts w:ascii="Times New Roman" w:eastAsia="Times New Roman" w:hAnsi="Times New Roman" w:cs="Times New Roman"/>
          <w:sz w:val="28"/>
          <w:szCs w:val="28"/>
        </w:rPr>
      </w:pPr>
    </w:p>
    <w:p w14:paraId="5812FD75" w14:textId="77777777" w:rsidR="00FB0C4C" w:rsidRDefault="00FB0C4C" w:rsidP="00785E31">
      <w:pPr>
        <w:numPr>
          <w:ilvl w:val="0"/>
          <w:numId w:val="5"/>
        </w:numPr>
        <w:spacing w:before="100" w:beforeAutospacing="1" w:after="100" w:afterAutospacing="1" w:line="276" w:lineRule="auto"/>
        <w:jc w:val="both"/>
        <w:rPr>
          <w:rFonts w:ascii="Times New Roman" w:eastAsia="Times New Roman" w:hAnsi="Times New Roman" w:cs="Times New Roman"/>
          <w:sz w:val="28"/>
          <w:szCs w:val="28"/>
        </w:rPr>
      </w:pPr>
    </w:p>
    <w:p w14:paraId="607F3FEA" w14:textId="4717B727" w:rsidR="00FB0C4C" w:rsidRDefault="00FB0C4C" w:rsidP="00785E31">
      <w:pPr>
        <w:numPr>
          <w:ilvl w:val="0"/>
          <w:numId w:val="5"/>
        </w:numPr>
        <w:spacing w:before="100" w:beforeAutospacing="1" w:after="100" w:afterAutospacing="1" w:line="276" w:lineRule="auto"/>
        <w:jc w:val="both"/>
        <w:rPr>
          <w:rFonts w:ascii="Times New Roman" w:eastAsia="Times New Roman" w:hAnsi="Times New Roman" w:cs="Times New Roman"/>
          <w:sz w:val="28"/>
          <w:szCs w:val="28"/>
        </w:rPr>
      </w:pPr>
      <w:r>
        <w:rPr>
          <w:noProof/>
        </w:rPr>
        <w:drawing>
          <wp:inline distT="0" distB="0" distL="0" distR="0" wp14:anchorId="619922B2" wp14:editId="4AD4E6CC">
            <wp:extent cx="4572000" cy="2743200"/>
            <wp:effectExtent l="0" t="0" r="0" b="0"/>
            <wp:docPr id="3" name="Chart 3">
              <a:extLst xmlns:a="http://schemas.openxmlformats.org/drawingml/2006/main">
                <a:ext uri="{FF2B5EF4-FFF2-40B4-BE49-F238E27FC236}">
                  <a16:creationId xmlns:a16="http://schemas.microsoft.com/office/drawing/2014/main" id="{F6C712F8-B56F-43CA-AB7A-FBF3E37E38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3DA2A02" w14:textId="77777777" w:rsidR="00FB0C4C" w:rsidRPr="00785E31" w:rsidRDefault="00FB0C4C" w:rsidP="00785E31">
      <w:pPr>
        <w:numPr>
          <w:ilvl w:val="0"/>
          <w:numId w:val="5"/>
        </w:numPr>
        <w:spacing w:before="100" w:beforeAutospacing="1" w:after="100" w:afterAutospacing="1" w:line="276" w:lineRule="auto"/>
        <w:jc w:val="both"/>
        <w:rPr>
          <w:rFonts w:ascii="Times New Roman" w:eastAsia="Times New Roman" w:hAnsi="Times New Roman" w:cs="Times New Roman"/>
          <w:sz w:val="28"/>
          <w:szCs w:val="28"/>
        </w:rPr>
      </w:pPr>
    </w:p>
    <w:p w14:paraId="341147CF" w14:textId="77777777" w:rsidR="00FB0C4C" w:rsidRDefault="00FB0C4C" w:rsidP="00FB0C4C">
      <w:pPr>
        <w:spacing w:before="100" w:beforeAutospacing="1" w:after="100" w:afterAutospacing="1" w:line="240" w:lineRule="auto"/>
        <w:rPr>
          <w:rFonts w:ascii="Times New Roman" w:eastAsia="Times New Roman" w:hAnsi="Times New Roman" w:cs="Times New Roman"/>
          <w:b/>
          <w:bCs/>
          <w:sz w:val="28"/>
          <w:szCs w:val="28"/>
        </w:rPr>
      </w:pPr>
    </w:p>
    <w:p w14:paraId="1628B4EF" w14:textId="77777777" w:rsidR="00FB0C4C" w:rsidRDefault="00FB0C4C" w:rsidP="00FB0C4C">
      <w:pPr>
        <w:spacing w:before="100" w:beforeAutospacing="1" w:after="100" w:afterAutospacing="1" w:line="240" w:lineRule="auto"/>
        <w:rPr>
          <w:rFonts w:ascii="Times New Roman" w:eastAsia="Times New Roman" w:hAnsi="Times New Roman" w:cs="Times New Roman"/>
          <w:b/>
          <w:bCs/>
          <w:sz w:val="28"/>
          <w:szCs w:val="28"/>
        </w:rPr>
      </w:pPr>
    </w:p>
    <w:p w14:paraId="4B79A978" w14:textId="15FC968F" w:rsidR="00FB0C4C" w:rsidRDefault="00785E31" w:rsidP="00FB0C4C">
      <w:pPr>
        <w:spacing w:before="100" w:beforeAutospacing="1" w:after="100" w:afterAutospacing="1" w:line="240" w:lineRule="auto"/>
        <w:rPr>
          <w:rFonts w:ascii="Times New Roman" w:eastAsia="Times New Roman" w:hAnsi="Times New Roman" w:cs="Times New Roman"/>
          <w:sz w:val="24"/>
          <w:szCs w:val="24"/>
        </w:rPr>
      </w:pPr>
      <w:r w:rsidRPr="00785E31">
        <w:rPr>
          <w:rFonts w:ascii="Times New Roman" w:eastAsia="Times New Roman" w:hAnsi="Times New Roman" w:cs="Times New Roman"/>
          <w:b/>
          <w:bCs/>
          <w:sz w:val="28"/>
          <w:szCs w:val="28"/>
        </w:rPr>
        <w:t>6. Current Account Balance</w:t>
      </w:r>
    </w:p>
    <w:p w14:paraId="10C097D0" w14:textId="160F6FD1" w:rsidR="00785E31" w:rsidRPr="00FB0C4C" w:rsidRDefault="00785E31" w:rsidP="00FB0C4C">
      <w:pPr>
        <w:pStyle w:val="ListParagraph"/>
        <w:numPr>
          <w:ilvl w:val="0"/>
          <w:numId w:val="15"/>
        </w:numPr>
        <w:spacing w:before="100" w:beforeAutospacing="1" w:after="100" w:afterAutospacing="1" w:line="276" w:lineRule="auto"/>
        <w:jc w:val="both"/>
        <w:rPr>
          <w:rFonts w:ascii="Times New Roman" w:eastAsia="Times New Roman" w:hAnsi="Times New Roman" w:cs="Times New Roman"/>
          <w:sz w:val="28"/>
          <w:szCs w:val="28"/>
        </w:rPr>
      </w:pPr>
      <w:r w:rsidRPr="00FB0C4C">
        <w:rPr>
          <w:rFonts w:ascii="Times New Roman" w:eastAsia="Times New Roman" w:hAnsi="Times New Roman" w:cs="Times New Roman"/>
          <w:b/>
          <w:bCs/>
          <w:sz w:val="28"/>
          <w:szCs w:val="28"/>
        </w:rPr>
        <w:t>Positive Current Account Balance:</w:t>
      </w:r>
      <w:r w:rsidRPr="00FB0C4C">
        <w:rPr>
          <w:rFonts w:ascii="Times New Roman" w:eastAsia="Times New Roman" w:hAnsi="Times New Roman" w:cs="Times New Roman"/>
          <w:sz w:val="28"/>
          <w:szCs w:val="28"/>
        </w:rPr>
        <w:t xml:space="preserve"> A total of </w:t>
      </w:r>
      <w:r w:rsidRPr="00FB0C4C">
        <w:rPr>
          <w:rFonts w:ascii="Times New Roman" w:eastAsia="Times New Roman" w:hAnsi="Times New Roman" w:cs="Times New Roman"/>
          <w:b/>
          <w:bCs/>
          <w:sz w:val="28"/>
          <w:szCs w:val="28"/>
        </w:rPr>
        <w:t>10 countries</w:t>
      </w:r>
      <w:r w:rsidRPr="00FB0C4C">
        <w:rPr>
          <w:rFonts w:ascii="Times New Roman" w:eastAsia="Times New Roman" w:hAnsi="Times New Roman" w:cs="Times New Roman"/>
          <w:sz w:val="28"/>
          <w:szCs w:val="28"/>
        </w:rPr>
        <w:t xml:space="preserve"> report a positive current account balance, indicating stronger exports and overall trade health.</w:t>
      </w:r>
    </w:p>
    <w:p w14:paraId="478CB312" w14:textId="77777777" w:rsidR="00785E31" w:rsidRPr="00FB0C4C" w:rsidRDefault="00785E31" w:rsidP="00FB0C4C">
      <w:pPr>
        <w:pStyle w:val="ListParagraph"/>
        <w:numPr>
          <w:ilvl w:val="0"/>
          <w:numId w:val="15"/>
        </w:numPr>
        <w:spacing w:before="100" w:beforeAutospacing="1" w:after="100" w:afterAutospacing="1" w:line="276" w:lineRule="auto"/>
        <w:jc w:val="both"/>
        <w:rPr>
          <w:rFonts w:ascii="Times New Roman" w:eastAsia="Times New Roman" w:hAnsi="Times New Roman" w:cs="Times New Roman"/>
          <w:sz w:val="28"/>
          <w:szCs w:val="28"/>
        </w:rPr>
      </w:pPr>
      <w:r w:rsidRPr="00FB0C4C">
        <w:rPr>
          <w:rFonts w:ascii="Times New Roman" w:eastAsia="Times New Roman" w:hAnsi="Times New Roman" w:cs="Times New Roman"/>
          <w:b/>
          <w:bCs/>
          <w:sz w:val="28"/>
          <w:szCs w:val="28"/>
        </w:rPr>
        <w:t>Countries with Strong Balances:</w:t>
      </w:r>
      <w:r w:rsidRPr="00FB0C4C">
        <w:rPr>
          <w:rFonts w:ascii="Times New Roman" w:eastAsia="Times New Roman" w:hAnsi="Times New Roman" w:cs="Times New Roman"/>
          <w:sz w:val="28"/>
          <w:szCs w:val="28"/>
        </w:rPr>
        <w:t xml:space="preserve"> Germany (7%), the Netherlands (9%), and Singapore (18%) demonstrate effective trade strategies and investment climates.</w:t>
      </w:r>
    </w:p>
    <w:p w14:paraId="7BBE8F54" w14:textId="443A22C6" w:rsidR="00785E31" w:rsidRPr="00785E31" w:rsidRDefault="00785E31" w:rsidP="00785E31">
      <w:pPr>
        <w:spacing w:before="100" w:beforeAutospacing="1" w:after="100" w:afterAutospacing="1" w:line="276" w:lineRule="auto"/>
        <w:jc w:val="both"/>
        <w:outlineLvl w:val="2"/>
        <w:rPr>
          <w:rFonts w:ascii="Times New Roman" w:eastAsia="Times New Roman" w:hAnsi="Times New Roman" w:cs="Times New Roman"/>
          <w:b/>
          <w:bCs/>
          <w:sz w:val="28"/>
          <w:szCs w:val="28"/>
        </w:rPr>
      </w:pPr>
      <w:r w:rsidRPr="00785E31">
        <w:rPr>
          <w:rFonts w:ascii="Times New Roman" w:eastAsia="Times New Roman" w:hAnsi="Times New Roman" w:cs="Times New Roman"/>
          <w:b/>
          <w:bCs/>
          <w:sz w:val="28"/>
          <w:szCs w:val="28"/>
        </w:rPr>
        <w:t>7. Trade Balance</w:t>
      </w:r>
    </w:p>
    <w:p w14:paraId="588D88E4" w14:textId="77777777" w:rsidR="00785E31" w:rsidRPr="00785E31" w:rsidRDefault="00785E31" w:rsidP="00785E31">
      <w:pPr>
        <w:numPr>
          <w:ilvl w:val="0"/>
          <w:numId w:val="7"/>
        </w:numPr>
        <w:spacing w:before="100" w:beforeAutospacing="1" w:after="100" w:afterAutospacing="1" w:line="276" w:lineRule="auto"/>
        <w:jc w:val="both"/>
        <w:rPr>
          <w:rFonts w:ascii="Times New Roman" w:eastAsia="Times New Roman" w:hAnsi="Times New Roman" w:cs="Times New Roman"/>
          <w:sz w:val="28"/>
          <w:szCs w:val="28"/>
        </w:rPr>
      </w:pPr>
      <w:r w:rsidRPr="00785E31">
        <w:rPr>
          <w:rFonts w:ascii="Times New Roman" w:eastAsia="Times New Roman" w:hAnsi="Times New Roman" w:cs="Times New Roman"/>
          <w:b/>
          <w:bCs/>
          <w:sz w:val="28"/>
          <w:szCs w:val="28"/>
        </w:rPr>
        <w:t>Average Trade Balance:</w:t>
      </w:r>
      <w:r w:rsidRPr="00785E31">
        <w:rPr>
          <w:rFonts w:ascii="Times New Roman" w:eastAsia="Times New Roman" w:hAnsi="Times New Roman" w:cs="Times New Roman"/>
          <w:sz w:val="28"/>
          <w:szCs w:val="28"/>
        </w:rPr>
        <w:t xml:space="preserve"> The average trade balance across the surveyed countries is approximately </w:t>
      </w:r>
      <w:r w:rsidRPr="00785E31">
        <w:rPr>
          <w:rFonts w:ascii="Times New Roman" w:eastAsia="Times New Roman" w:hAnsi="Times New Roman" w:cs="Times New Roman"/>
          <w:b/>
          <w:bCs/>
          <w:sz w:val="28"/>
          <w:szCs w:val="28"/>
        </w:rPr>
        <w:t>-1.4%</w:t>
      </w:r>
      <w:r w:rsidRPr="00785E31">
        <w:rPr>
          <w:rFonts w:ascii="Times New Roman" w:eastAsia="Times New Roman" w:hAnsi="Times New Roman" w:cs="Times New Roman"/>
          <w:sz w:val="28"/>
          <w:szCs w:val="28"/>
        </w:rPr>
        <w:t>, indicating that many nations are experiencing trade deficits.</w:t>
      </w:r>
    </w:p>
    <w:p w14:paraId="48C98AF0" w14:textId="77777777" w:rsidR="00785E31" w:rsidRPr="00785E31" w:rsidRDefault="00785E31" w:rsidP="00785E31">
      <w:pPr>
        <w:numPr>
          <w:ilvl w:val="0"/>
          <w:numId w:val="7"/>
        </w:numPr>
        <w:spacing w:before="100" w:beforeAutospacing="1" w:after="100" w:afterAutospacing="1" w:line="276" w:lineRule="auto"/>
        <w:jc w:val="both"/>
        <w:rPr>
          <w:rFonts w:ascii="Times New Roman" w:eastAsia="Times New Roman" w:hAnsi="Times New Roman" w:cs="Times New Roman"/>
          <w:sz w:val="28"/>
          <w:szCs w:val="28"/>
        </w:rPr>
      </w:pPr>
      <w:r w:rsidRPr="00785E31">
        <w:rPr>
          <w:rFonts w:ascii="Times New Roman" w:eastAsia="Times New Roman" w:hAnsi="Times New Roman" w:cs="Times New Roman"/>
          <w:b/>
          <w:bCs/>
          <w:sz w:val="28"/>
          <w:szCs w:val="28"/>
        </w:rPr>
        <w:t>Countries with Positive Trade Balances:</w:t>
      </w:r>
      <w:r w:rsidRPr="00785E31">
        <w:rPr>
          <w:rFonts w:ascii="Times New Roman" w:eastAsia="Times New Roman" w:hAnsi="Times New Roman" w:cs="Times New Roman"/>
          <w:sz w:val="28"/>
          <w:szCs w:val="28"/>
        </w:rPr>
        <w:t xml:space="preserve"> Countries like Germany (6.5%) and Thailand (5%) enjoy positive trade balances, suggesting strong export sectors.</w:t>
      </w:r>
    </w:p>
    <w:p w14:paraId="76E3F98B" w14:textId="77777777" w:rsidR="00785E31" w:rsidRPr="00785E31" w:rsidRDefault="00785E31" w:rsidP="00785E31">
      <w:pPr>
        <w:spacing w:before="100" w:beforeAutospacing="1" w:after="100" w:afterAutospacing="1" w:line="276" w:lineRule="auto"/>
        <w:jc w:val="both"/>
        <w:outlineLvl w:val="2"/>
        <w:rPr>
          <w:rFonts w:ascii="Times New Roman" w:eastAsia="Times New Roman" w:hAnsi="Times New Roman" w:cs="Times New Roman"/>
          <w:b/>
          <w:bCs/>
          <w:sz w:val="28"/>
          <w:szCs w:val="28"/>
        </w:rPr>
      </w:pPr>
      <w:r w:rsidRPr="00785E31">
        <w:rPr>
          <w:rFonts w:ascii="Times New Roman" w:eastAsia="Times New Roman" w:hAnsi="Times New Roman" w:cs="Times New Roman"/>
          <w:b/>
          <w:bCs/>
          <w:sz w:val="28"/>
          <w:szCs w:val="28"/>
        </w:rPr>
        <w:t>8. Foreign Direct Investment (FDI) Inflows</w:t>
      </w:r>
    </w:p>
    <w:p w14:paraId="22E939F7" w14:textId="77777777" w:rsidR="00785E31" w:rsidRPr="00785E31" w:rsidRDefault="00785E31" w:rsidP="00785E31">
      <w:pPr>
        <w:numPr>
          <w:ilvl w:val="0"/>
          <w:numId w:val="8"/>
        </w:numPr>
        <w:spacing w:before="100" w:beforeAutospacing="1" w:after="100" w:afterAutospacing="1" w:line="276" w:lineRule="auto"/>
        <w:jc w:val="both"/>
        <w:rPr>
          <w:rFonts w:ascii="Times New Roman" w:eastAsia="Times New Roman" w:hAnsi="Times New Roman" w:cs="Times New Roman"/>
          <w:sz w:val="28"/>
          <w:szCs w:val="28"/>
        </w:rPr>
      </w:pPr>
      <w:r w:rsidRPr="00785E31">
        <w:rPr>
          <w:rFonts w:ascii="Times New Roman" w:eastAsia="Times New Roman" w:hAnsi="Times New Roman" w:cs="Times New Roman"/>
          <w:b/>
          <w:bCs/>
          <w:sz w:val="28"/>
          <w:szCs w:val="28"/>
        </w:rPr>
        <w:t>FDI Inflows:</w:t>
      </w:r>
      <w:r w:rsidRPr="00785E31">
        <w:rPr>
          <w:rFonts w:ascii="Times New Roman" w:eastAsia="Times New Roman" w:hAnsi="Times New Roman" w:cs="Times New Roman"/>
          <w:sz w:val="28"/>
          <w:szCs w:val="28"/>
        </w:rPr>
        <w:t xml:space="preserve"> Southeast Asian nations, particularly Singapore (USD </w:t>
      </w:r>
      <w:r w:rsidRPr="00785E31">
        <w:rPr>
          <w:rFonts w:ascii="Times New Roman" w:eastAsia="Times New Roman" w:hAnsi="Times New Roman" w:cs="Times New Roman"/>
          <w:b/>
          <w:bCs/>
          <w:sz w:val="28"/>
          <w:szCs w:val="28"/>
        </w:rPr>
        <w:t>70 billion</w:t>
      </w:r>
      <w:r w:rsidRPr="00785E31">
        <w:rPr>
          <w:rFonts w:ascii="Times New Roman" w:eastAsia="Times New Roman" w:hAnsi="Times New Roman" w:cs="Times New Roman"/>
          <w:sz w:val="28"/>
          <w:szCs w:val="28"/>
        </w:rPr>
        <w:t xml:space="preserve">), Thailand (USD </w:t>
      </w:r>
      <w:r w:rsidRPr="00785E31">
        <w:rPr>
          <w:rFonts w:ascii="Times New Roman" w:eastAsia="Times New Roman" w:hAnsi="Times New Roman" w:cs="Times New Roman"/>
          <w:b/>
          <w:bCs/>
          <w:sz w:val="28"/>
          <w:szCs w:val="28"/>
        </w:rPr>
        <w:t>22 billion</w:t>
      </w:r>
      <w:r w:rsidRPr="00785E31">
        <w:rPr>
          <w:rFonts w:ascii="Times New Roman" w:eastAsia="Times New Roman" w:hAnsi="Times New Roman" w:cs="Times New Roman"/>
          <w:sz w:val="28"/>
          <w:szCs w:val="28"/>
        </w:rPr>
        <w:t xml:space="preserve">), and Indonesia (USD </w:t>
      </w:r>
      <w:r w:rsidRPr="00785E31">
        <w:rPr>
          <w:rFonts w:ascii="Times New Roman" w:eastAsia="Times New Roman" w:hAnsi="Times New Roman" w:cs="Times New Roman"/>
          <w:b/>
          <w:bCs/>
          <w:sz w:val="28"/>
          <w:szCs w:val="28"/>
        </w:rPr>
        <w:t>27 billion</w:t>
      </w:r>
      <w:r w:rsidRPr="00785E31">
        <w:rPr>
          <w:rFonts w:ascii="Times New Roman" w:eastAsia="Times New Roman" w:hAnsi="Times New Roman" w:cs="Times New Roman"/>
          <w:sz w:val="28"/>
          <w:szCs w:val="28"/>
        </w:rPr>
        <w:t>), attract substantial FDI, reflecting investor confidence and strategic economic policies.</w:t>
      </w:r>
    </w:p>
    <w:p w14:paraId="686184EE" w14:textId="77777777" w:rsidR="00785E31" w:rsidRPr="00785E31" w:rsidRDefault="00785E31" w:rsidP="00785E31">
      <w:pPr>
        <w:numPr>
          <w:ilvl w:val="0"/>
          <w:numId w:val="8"/>
        </w:numPr>
        <w:spacing w:before="100" w:beforeAutospacing="1" w:after="100" w:afterAutospacing="1" w:line="276" w:lineRule="auto"/>
        <w:jc w:val="both"/>
        <w:rPr>
          <w:rFonts w:ascii="Times New Roman" w:eastAsia="Times New Roman" w:hAnsi="Times New Roman" w:cs="Times New Roman"/>
          <w:sz w:val="28"/>
          <w:szCs w:val="28"/>
        </w:rPr>
      </w:pPr>
      <w:r w:rsidRPr="00785E31">
        <w:rPr>
          <w:rFonts w:ascii="Times New Roman" w:eastAsia="Times New Roman" w:hAnsi="Times New Roman" w:cs="Times New Roman"/>
          <w:b/>
          <w:bCs/>
          <w:sz w:val="28"/>
          <w:szCs w:val="28"/>
        </w:rPr>
        <w:t>Global FDI Trends:</w:t>
      </w:r>
      <w:r w:rsidRPr="00785E31">
        <w:rPr>
          <w:rFonts w:ascii="Times New Roman" w:eastAsia="Times New Roman" w:hAnsi="Times New Roman" w:cs="Times New Roman"/>
          <w:sz w:val="28"/>
          <w:szCs w:val="28"/>
        </w:rPr>
        <w:t xml:space="preserve"> Increased FDI is critical for economic growth, technology transfer, and job creation, making it essential for governments to create favorable conditions for foreign investors.</w:t>
      </w:r>
    </w:p>
    <w:p w14:paraId="00359441" w14:textId="77777777" w:rsidR="00785E31" w:rsidRPr="00785E31" w:rsidRDefault="00785E31" w:rsidP="00785E31">
      <w:pPr>
        <w:spacing w:before="100" w:beforeAutospacing="1" w:after="100" w:afterAutospacing="1" w:line="276" w:lineRule="auto"/>
        <w:jc w:val="both"/>
        <w:outlineLvl w:val="1"/>
        <w:rPr>
          <w:rFonts w:ascii="Times New Roman" w:eastAsia="Times New Roman" w:hAnsi="Times New Roman" w:cs="Times New Roman"/>
          <w:b/>
          <w:bCs/>
          <w:sz w:val="28"/>
          <w:szCs w:val="28"/>
        </w:rPr>
      </w:pPr>
      <w:r w:rsidRPr="00785E31">
        <w:rPr>
          <w:rFonts w:ascii="Times New Roman" w:eastAsia="Times New Roman" w:hAnsi="Times New Roman" w:cs="Times New Roman"/>
          <w:b/>
          <w:bCs/>
          <w:sz w:val="28"/>
          <w:szCs w:val="28"/>
        </w:rPr>
        <w:t>Regional Insights</w:t>
      </w:r>
    </w:p>
    <w:p w14:paraId="22852368" w14:textId="77777777" w:rsidR="00785E31" w:rsidRPr="00785E31" w:rsidRDefault="00785E31" w:rsidP="00785E31">
      <w:pPr>
        <w:spacing w:before="100" w:beforeAutospacing="1" w:after="100" w:afterAutospacing="1" w:line="276" w:lineRule="auto"/>
        <w:jc w:val="both"/>
        <w:outlineLvl w:val="2"/>
        <w:rPr>
          <w:rFonts w:ascii="Times New Roman" w:eastAsia="Times New Roman" w:hAnsi="Times New Roman" w:cs="Times New Roman"/>
          <w:b/>
          <w:bCs/>
          <w:sz w:val="28"/>
          <w:szCs w:val="28"/>
        </w:rPr>
      </w:pPr>
      <w:r w:rsidRPr="00785E31">
        <w:rPr>
          <w:rFonts w:ascii="Times New Roman" w:eastAsia="Times New Roman" w:hAnsi="Times New Roman" w:cs="Times New Roman"/>
          <w:b/>
          <w:bCs/>
          <w:sz w:val="28"/>
          <w:szCs w:val="28"/>
        </w:rPr>
        <w:t>North America</w:t>
      </w:r>
    </w:p>
    <w:p w14:paraId="68AC238C" w14:textId="77777777" w:rsidR="00785E31" w:rsidRPr="00785E31" w:rsidRDefault="00785E31" w:rsidP="00785E31">
      <w:pPr>
        <w:numPr>
          <w:ilvl w:val="0"/>
          <w:numId w:val="9"/>
        </w:numPr>
        <w:spacing w:before="100" w:beforeAutospacing="1" w:after="100" w:afterAutospacing="1" w:line="276" w:lineRule="auto"/>
        <w:jc w:val="both"/>
        <w:rPr>
          <w:rFonts w:ascii="Times New Roman" w:eastAsia="Times New Roman" w:hAnsi="Times New Roman" w:cs="Times New Roman"/>
          <w:sz w:val="28"/>
          <w:szCs w:val="28"/>
        </w:rPr>
      </w:pPr>
      <w:r w:rsidRPr="00785E31">
        <w:rPr>
          <w:rFonts w:ascii="Times New Roman" w:eastAsia="Times New Roman" w:hAnsi="Times New Roman" w:cs="Times New Roman"/>
          <w:b/>
          <w:bCs/>
          <w:sz w:val="28"/>
          <w:szCs w:val="28"/>
        </w:rPr>
        <w:t>United States:</w:t>
      </w:r>
      <w:r w:rsidRPr="00785E31">
        <w:rPr>
          <w:rFonts w:ascii="Times New Roman" w:eastAsia="Times New Roman" w:hAnsi="Times New Roman" w:cs="Times New Roman"/>
          <w:sz w:val="28"/>
          <w:szCs w:val="28"/>
        </w:rPr>
        <w:t xml:space="preserve"> With a GDP growth rate of </w:t>
      </w:r>
      <w:r w:rsidRPr="00785E31">
        <w:rPr>
          <w:rFonts w:ascii="Times New Roman" w:eastAsia="Times New Roman" w:hAnsi="Times New Roman" w:cs="Times New Roman"/>
          <w:b/>
          <w:bCs/>
          <w:sz w:val="28"/>
          <w:szCs w:val="28"/>
        </w:rPr>
        <w:t>2.1%</w:t>
      </w:r>
      <w:r w:rsidRPr="00785E31">
        <w:rPr>
          <w:rFonts w:ascii="Times New Roman" w:eastAsia="Times New Roman" w:hAnsi="Times New Roman" w:cs="Times New Roman"/>
          <w:sz w:val="28"/>
          <w:szCs w:val="28"/>
        </w:rPr>
        <w:t xml:space="preserve">, the U.S. faces challenges like high public debt (120% of GDP) and a current account deficit (-3.5% of GDP). However, its high literacy rate (99%) and substantial FDI inflows (USD </w:t>
      </w:r>
      <w:r w:rsidRPr="00785E31">
        <w:rPr>
          <w:rFonts w:ascii="Times New Roman" w:eastAsia="Times New Roman" w:hAnsi="Times New Roman" w:cs="Times New Roman"/>
          <w:b/>
          <w:bCs/>
          <w:sz w:val="28"/>
          <w:szCs w:val="28"/>
        </w:rPr>
        <w:t>274 billion</w:t>
      </w:r>
      <w:r w:rsidRPr="00785E31">
        <w:rPr>
          <w:rFonts w:ascii="Times New Roman" w:eastAsia="Times New Roman" w:hAnsi="Times New Roman" w:cs="Times New Roman"/>
          <w:sz w:val="28"/>
          <w:szCs w:val="28"/>
        </w:rPr>
        <w:t>) signal ongoing economic strength.</w:t>
      </w:r>
    </w:p>
    <w:p w14:paraId="2EDCA720" w14:textId="77777777" w:rsidR="00785E31" w:rsidRPr="00785E31" w:rsidRDefault="00785E31" w:rsidP="00785E31">
      <w:pPr>
        <w:spacing w:before="100" w:beforeAutospacing="1" w:after="100" w:afterAutospacing="1" w:line="276" w:lineRule="auto"/>
        <w:jc w:val="both"/>
        <w:outlineLvl w:val="2"/>
        <w:rPr>
          <w:rFonts w:ascii="Times New Roman" w:eastAsia="Times New Roman" w:hAnsi="Times New Roman" w:cs="Times New Roman"/>
          <w:b/>
          <w:bCs/>
          <w:sz w:val="28"/>
          <w:szCs w:val="28"/>
        </w:rPr>
      </w:pPr>
      <w:r w:rsidRPr="00785E31">
        <w:rPr>
          <w:rFonts w:ascii="Times New Roman" w:eastAsia="Times New Roman" w:hAnsi="Times New Roman" w:cs="Times New Roman"/>
          <w:b/>
          <w:bCs/>
          <w:sz w:val="28"/>
          <w:szCs w:val="28"/>
        </w:rPr>
        <w:lastRenderedPageBreak/>
        <w:t>Europe</w:t>
      </w:r>
    </w:p>
    <w:p w14:paraId="6204345D" w14:textId="77777777" w:rsidR="00785E31" w:rsidRPr="00785E31" w:rsidRDefault="00785E31" w:rsidP="00785E31">
      <w:pPr>
        <w:numPr>
          <w:ilvl w:val="0"/>
          <w:numId w:val="10"/>
        </w:numPr>
        <w:spacing w:before="100" w:beforeAutospacing="1" w:after="100" w:afterAutospacing="1" w:line="276" w:lineRule="auto"/>
        <w:jc w:val="both"/>
        <w:rPr>
          <w:rFonts w:ascii="Times New Roman" w:eastAsia="Times New Roman" w:hAnsi="Times New Roman" w:cs="Times New Roman"/>
          <w:sz w:val="28"/>
          <w:szCs w:val="28"/>
        </w:rPr>
      </w:pPr>
      <w:r w:rsidRPr="00785E31">
        <w:rPr>
          <w:rFonts w:ascii="Times New Roman" w:eastAsia="Times New Roman" w:hAnsi="Times New Roman" w:cs="Times New Roman"/>
          <w:b/>
          <w:bCs/>
          <w:sz w:val="28"/>
          <w:szCs w:val="28"/>
        </w:rPr>
        <w:t>Germany and the Netherlands:</w:t>
      </w:r>
      <w:r w:rsidRPr="00785E31">
        <w:rPr>
          <w:rFonts w:ascii="Times New Roman" w:eastAsia="Times New Roman" w:hAnsi="Times New Roman" w:cs="Times New Roman"/>
          <w:sz w:val="28"/>
          <w:szCs w:val="28"/>
        </w:rPr>
        <w:t xml:space="preserve"> These countries exhibit solid growth (1.5% and 2.2% respectively) and robust current account surpluses. However, varying unemployment rates (3.2% in Germany) and inflation rates (6% in Germany) highlight different economic pressures.</w:t>
      </w:r>
    </w:p>
    <w:p w14:paraId="5659C766" w14:textId="77777777" w:rsidR="00785E31" w:rsidRPr="00785E31" w:rsidRDefault="00785E31" w:rsidP="00785E31">
      <w:pPr>
        <w:spacing w:before="100" w:beforeAutospacing="1" w:after="100" w:afterAutospacing="1" w:line="276" w:lineRule="auto"/>
        <w:jc w:val="both"/>
        <w:outlineLvl w:val="2"/>
        <w:rPr>
          <w:rFonts w:ascii="Times New Roman" w:eastAsia="Times New Roman" w:hAnsi="Times New Roman" w:cs="Times New Roman"/>
          <w:b/>
          <w:bCs/>
          <w:sz w:val="28"/>
          <w:szCs w:val="28"/>
        </w:rPr>
      </w:pPr>
      <w:r w:rsidRPr="00785E31">
        <w:rPr>
          <w:rFonts w:ascii="Times New Roman" w:eastAsia="Times New Roman" w:hAnsi="Times New Roman" w:cs="Times New Roman"/>
          <w:b/>
          <w:bCs/>
          <w:sz w:val="28"/>
          <w:szCs w:val="28"/>
        </w:rPr>
        <w:t>Asia</w:t>
      </w:r>
    </w:p>
    <w:p w14:paraId="4D43784F" w14:textId="77777777" w:rsidR="00785E31" w:rsidRPr="00785E31" w:rsidRDefault="00785E31" w:rsidP="00785E31">
      <w:pPr>
        <w:numPr>
          <w:ilvl w:val="0"/>
          <w:numId w:val="11"/>
        </w:numPr>
        <w:spacing w:before="100" w:beforeAutospacing="1" w:after="100" w:afterAutospacing="1" w:line="276" w:lineRule="auto"/>
        <w:jc w:val="both"/>
        <w:rPr>
          <w:rFonts w:ascii="Times New Roman" w:eastAsia="Times New Roman" w:hAnsi="Times New Roman" w:cs="Times New Roman"/>
          <w:sz w:val="28"/>
          <w:szCs w:val="28"/>
        </w:rPr>
      </w:pPr>
      <w:r w:rsidRPr="00785E31">
        <w:rPr>
          <w:rFonts w:ascii="Times New Roman" w:eastAsia="Times New Roman" w:hAnsi="Times New Roman" w:cs="Times New Roman"/>
          <w:b/>
          <w:bCs/>
          <w:sz w:val="28"/>
          <w:szCs w:val="28"/>
        </w:rPr>
        <w:t>Emerging Economies:</w:t>
      </w:r>
      <w:r w:rsidRPr="00785E31">
        <w:rPr>
          <w:rFonts w:ascii="Times New Roman" w:eastAsia="Times New Roman" w:hAnsi="Times New Roman" w:cs="Times New Roman"/>
          <w:sz w:val="28"/>
          <w:szCs w:val="28"/>
        </w:rPr>
        <w:t xml:space="preserve"> India, China, and Vietnam are showcasing impressive growth rates. However, challenges like inflation (1.9% in China) and unemployment rates (5.5% in India) persist, requiring targeted policy measures.</w:t>
      </w:r>
    </w:p>
    <w:p w14:paraId="306B49E3" w14:textId="77777777" w:rsidR="00785E31" w:rsidRPr="00785E31" w:rsidRDefault="00785E31" w:rsidP="00785E31">
      <w:pPr>
        <w:spacing w:before="100" w:beforeAutospacing="1" w:after="100" w:afterAutospacing="1" w:line="276" w:lineRule="auto"/>
        <w:jc w:val="both"/>
        <w:outlineLvl w:val="2"/>
        <w:rPr>
          <w:rFonts w:ascii="Times New Roman" w:eastAsia="Times New Roman" w:hAnsi="Times New Roman" w:cs="Times New Roman"/>
          <w:b/>
          <w:bCs/>
          <w:sz w:val="28"/>
          <w:szCs w:val="28"/>
        </w:rPr>
      </w:pPr>
      <w:r w:rsidRPr="00785E31">
        <w:rPr>
          <w:rFonts w:ascii="Times New Roman" w:eastAsia="Times New Roman" w:hAnsi="Times New Roman" w:cs="Times New Roman"/>
          <w:b/>
          <w:bCs/>
          <w:sz w:val="28"/>
          <w:szCs w:val="28"/>
        </w:rPr>
        <w:t>Africa</w:t>
      </w:r>
    </w:p>
    <w:p w14:paraId="1EFE657B" w14:textId="77777777" w:rsidR="00785E31" w:rsidRPr="00785E31" w:rsidRDefault="00785E31" w:rsidP="00785E31">
      <w:pPr>
        <w:numPr>
          <w:ilvl w:val="0"/>
          <w:numId w:val="12"/>
        </w:numPr>
        <w:spacing w:before="100" w:beforeAutospacing="1" w:after="100" w:afterAutospacing="1" w:line="276" w:lineRule="auto"/>
        <w:jc w:val="both"/>
        <w:rPr>
          <w:rFonts w:ascii="Times New Roman" w:eastAsia="Times New Roman" w:hAnsi="Times New Roman" w:cs="Times New Roman"/>
          <w:sz w:val="28"/>
          <w:szCs w:val="28"/>
        </w:rPr>
      </w:pPr>
      <w:r w:rsidRPr="00785E31">
        <w:rPr>
          <w:rFonts w:ascii="Times New Roman" w:eastAsia="Times New Roman" w:hAnsi="Times New Roman" w:cs="Times New Roman"/>
          <w:b/>
          <w:bCs/>
          <w:sz w:val="28"/>
          <w:szCs w:val="28"/>
        </w:rPr>
        <w:t>South Africa:</w:t>
      </w:r>
      <w:r w:rsidRPr="00785E31">
        <w:rPr>
          <w:rFonts w:ascii="Times New Roman" w:eastAsia="Times New Roman" w:hAnsi="Times New Roman" w:cs="Times New Roman"/>
          <w:sz w:val="28"/>
          <w:szCs w:val="28"/>
        </w:rPr>
        <w:t xml:space="preserve"> The high unemployment rate and significant public debt (80% of GDP) necessitate urgent policy interventions to stimulate job creation and economic growth.</w:t>
      </w:r>
    </w:p>
    <w:p w14:paraId="2087D542" w14:textId="77777777" w:rsidR="00785E31" w:rsidRPr="00785E31" w:rsidRDefault="00785E31" w:rsidP="00785E31">
      <w:pPr>
        <w:numPr>
          <w:ilvl w:val="0"/>
          <w:numId w:val="12"/>
        </w:numPr>
        <w:spacing w:before="100" w:beforeAutospacing="1" w:after="100" w:afterAutospacing="1" w:line="276" w:lineRule="auto"/>
        <w:jc w:val="both"/>
        <w:rPr>
          <w:rFonts w:ascii="Times New Roman" w:eastAsia="Times New Roman" w:hAnsi="Times New Roman" w:cs="Times New Roman"/>
          <w:sz w:val="28"/>
          <w:szCs w:val="28"/>
        </w:rPr>
      </w:pPr>
      <w:r w:rsidRPr="00785E31">
        <w:rPr>
          <w:rFonts w:ascii="Times New Roman" w:eastAsia="Times New Roman" w:hAnsi="Times New Roman" w:cs="Times New Roman"/>
          <w:b/>
          <w:bCs/>
          <w:sz w:val="28"/>
          <w:szCs w:val="28"/>
        </w:rPr>
        <w:t>Nigeria:</w:t>
      </w:r>
      <w:r w:rsidRPr="00785E31">
        <w:rPr>
          <w:rFonts w:ascii="Times New Roman" w:eastAsia="Times New Roman" w:hAnsi="Times New Roman" w:cs="Times New Roman"/>
          <w:sz w:val="28"/>
          <w:szCs w:val="28"/>
        </w:rPr>
        <w:t xml:space="preserve"> Faces challenges with a high unemployment rate (33.3%) and trade balance (-3%), indicating economic instability.</w:t>
      </w:r>
    </w:p>
    <w:p w14:paraId="160D19F3" w14:textId="77777777" w:rsidR="00785E31" w:rsidRPr="00785E31" w:rsidRDefault="00785E31" w:rsidP="00785E31">
      <w:pPr>
        <w:spacing w:before="100" w:beforeAutospacing="1" w:after="100" w:afterAutospacing="1" w:line="276" w:lineRule="auto"/>
        <w:jc w:val="both"/>
        <w:outlineLvl w:val="1"/>
        <w:rPr>
          <w:rFonts w:ascii="Times New Roman" w:eastAsia="Times New Roman" w:hAnsi="Times New Roman" w:cs="Times New Roman"/>
          <w:b/>
          <w:bCs/>
          <w:sz w:val="28"/>
          <w:szCs w:val="28"/>
        </w:rPr>
      </w:pPr>
      <w:r w:rsidRPr="00785E31">
        <w:rPr>
          <w:rFonts w:ascii="Times New Roman" w:eastAsia="Times New Roman" w:hAnsi="Times New Roman" w:cs="Times New Roman"/>
          <w:b/>
          <w:bCs/>
          <w:sz w:val="28"/>
          <w:szCs w:val="28"/>
        </w:rPr>
        <w:t>Conclusion</w:t>
      </w:r>
    </w:p>
    <w:p w14:paraId="0FA93202" w14:textId="77777777" w:rsidR="00785E31" w:rsidRPr="00785E31" w:rsidRDefault="00785E31" w:rsidP="00785E31">
      <w:pPr>
        <w:spacing w:before="100" w:beforeAutospacing="1" w:after="100" w:afterAutospacing="1" w:line="276" w:lineRule="auto"/>
        <w:jc w:val="both"/>
        <w:rPr>
          <w:rFonts w:ascii="Times New Roman" w:eastAsia="Times New Roman" w:hAnsi="Times New Roman" w:cs="Times New Roman"/>
          <w:sz w:val="28"/>
          <w:szCs w:val="28"/>
        </w:rPr>
      </w:pPr>
      <w:r w:rsidRPr="00785E31">
        <w:rPr>
          <w:rFonts w:ascii="Times New Roman" w:eastAsia="Times New Roman" w:hAnsi="Times New Roman" w:cs="Times New Roman"/>
          <w:sz w:val="28"/>
          <w:szCs w:val="28"/>
        </w:rPr>
        <w:t>This comprehensive analysis highlights the diverse economic conditions across countries, with India, Russia, and Southeast Asian nations showing promising growth potential. Conversely, high unemployment in South Africa and rampant inflation in Argentina underscore significant challenges.</w:t>
      </w:r>
    </w:p>
    <w:p w14:paraId="68F02914" w14:textId="77777777" w:rsidR="00785E31" w:rsidRPr="00785E31" w:rsidRDefault="00785E31" w:rsidP="00785E31">
      <w:pPr>
        <w:spacing w:before="100" w:beforeAutospacing="1" w:after="100" w:afterAutospacing="1" w:line="276" w:lineRule="auto"/>
        <w:jc w:val="both"/>
        <w:rPr>
          <w:rFonts w:ascii="Times New Roman" w:eastAsia="Times New Roman" w:hAnsi="Times New Roman" w:cs="Times New Roman"/>
          <w:sz w:val="28"/>
          <w:szCs w:val="28"/>
        </w:rPr>
      </w:pPr>
      <w:r w:rsidRPr="00785E31">
        <w:rPr>
          <w:rFonts w:ascii="Times New Roman" w:eastAsia="Times New Roman" w:hAnsi="Times New Roman" w:cs="Times New Roman"/>
          <w:sz w:val="28"/>
          <w:szCs w:val="28"/>
        </w:rPr>
        <w:t>To navigate the complexities of the global economy, it is essential for policymakers to adopt targeted strategies that address local challenges while leveraging growth opportunities. Continued monitoring of these indicators is crucial for informed decision-making and sustainable economic development.</w:t>
      </w:r>
    </w:p>
    <w:p w14:paraId="6064C080" w14:textId="77777777" w:rsidR="00785E31" w:rsidRPr="00785E31" w:rsidRDefault="00785E31" w:rsidP="00785E31">
      <w:pPr>
        <w:spacing w:before="100" w:beforeAutospacing="1" w:after="100" w:afterAutospacing="1" w:line="276" w:lineRule="auto"/>
        <w:jc w:val="both"/>
        <w:outlineLvl w:val="1"/>
        <w:rPr>
          <w:rFonts w:ascii="Times New Roman" w:eastAsia="Times New Roman" w:hAnsi="Times New Roman" w:cs="Times New Roman"/>
          <w:b/>
          <w:bCs/>
          <w:sz w:val="28"/>
          <w:szCs w:val="28"/>
        </w:rPr>
      </w:pPr>
      <w:r w:rsidRPr="00785E31">
        <w:rPr>
          <w:rFonts w:ascii="Times New Roman" w:eastAsia="Times New Roman" w:hAnsi="Times New Roman" w:cs="Times New Roman"/>
          <w:b/>
          <w:bCs/>
          <w:sz w:val="28"/>
          <w:szCs w:val="28"/>
        </w:rPr>
        <w:t>Recommendations</w:t>
      </w:r>
    </w:p>
    <w:p w14:paraId="1439DF58" w14:textId="77777777" w:rsidR="00785E31" w:rsidRPr="00785E31" w:rsidRDefault="00785E31" w:rsidP="00785E31">
      <w:pPr>
        <w:numPr>
          <w:ilvl w:val="0"/>
          <w:numId w:val="13"/>
        </w:numPr>
        <w:spacing w:before="100" w:beforeAutospacing="1" w:after="100" w:afterAutospacing="1" w:line="276" w:lineRule="auto"/>
        <w:jc w:val="both"/>
        <w:rPr>
          <w:rFonts w:ascii="Times New Roman" w:eastAsia="Times New Roman" w:hAnsi="Times New Roman" w:cs="Times New Roman"/>
          <w:sz w:val="28"/>
          <w:szCs w:val="28"/>
        </w:rPr>
      </w:pPr>
      <w:r w:rsidRPr="00785E31">
        <w:rPr>
          <w:rFonts w:ascii="Times New Roman" w:eastAsia="Times New Roman" w:hAnsi="Times New Roman" w:cs="Times New Roman"/>
          <w:b/>
          <w:bCs/>
          <w:sz w:val="28"/>
          <w:szCs w:val="28"/>
        </w:rPr>
        <w:t>Employment Policies:</w:t>
      </w:r>
      <w:r w:rsidRPr="00785E31">
        <w:rPr>
          <w:rFonts w:ascii="Times New Roman" w:eastAsia="Times New Roman" w:hAnsi="Times New Roman" w:cs="Times New Roman"/>
          <w:sz w:val="28"/>
          <w:szCs w:val="28"/>
        </w:rPr>
        <w:t xml:space="preserve"> Countries with high unemployment should prioritize job creation through investments in infrastructure, education, and vocational training.</w:t>
      </w:r>
    </w:p>
    <w:p w14:paraId="0B39FB94" w14:textId="77777777" w:rsidR="00785E31" w:rsidRPr="00785E31" w:rsidRDefault="00785E31" w:rsidP="00785E31">
      <w:pPr>
        <w:numPr>
          <w:ilvl w:val="0"/>
          <w:numId w:val="13"/>
        </w:numPr>
        <w:spacing w:before="100" w:beforeAutospacing="1" w:after="100" w:afterAutospacing="1" w:line="276" w:lineRule="auto"/>
        <w:jc w:val="both"/>
        <w:rPr>
          <w:rFonts w:ascii="Times New Roman" w:eastAsia="Times New Roman" w:hAnsi="Times New Roman" w:cs="Times New Roman"/>
          <w:sz w:val="28"/>
          <w:szCs w:val="28"/>
        </w:rPr>
      </w:pPr>
      <w:r w:rsidRPr="00785E31">
        <w:rPr>
          <w:rFonts w:ascii="Times New Roman" w:eastAsia="Times New Roman" w:hAnsi="Times New Roman" w:cs="Times New Roman"/>
          <w:b/>
          <w:bCs/>
          <w:sz w:val="28"/>
          <w:szCs w:val="28"/>
        </w:rPr>
        <w:lastRenderedPageBreak/>
        <w:t>Inflation Management:</w:t>
      </w:r>
      <w:r w:rsidRPr="00785E31">
        <w:rPr>
          <w:rFonts w:ascii="Times New Roman" w:eastAsia="Times New Roman" w:hAnsi="Times New Roman" w:cs="Times New Roman"/>
          <w:sz w:val="28"/>
          <w:szCs w:val="28"/>
        </w:rPr>
        <w:t xml:space="preserve"> Countries facing high inflation should implement monetary policies to stabilize prices and protect consumer purchasing power.</w:t>
      </w:r>
    </w:p>
    <w:p w14:paraId="4A75109E" w14:textId="77777777" w:rsidR="00785E31" w:rsidRPr="00785E31" w:rsidRDefault="00785E31" w:rsidP="00785E31">
      <w:pPr>
        <w:numPr>
          <w:ilvl w:val="0"/>
          <w:numId w:val="13"/>
        </w:numPr>
        <w:spacing w:before="100" w:beforeAutospacing="1" w:after="100" w:afterAutospacing="1" w:line="276" w:lineRule="auto"/>
        <w:jc w:val="both"/>
        <w:rPr>
          <w:rFonts w:ascii="Times New Roman" w:eastAsia="Times New Roman" w:hAnsi="Times New Roman" w:cs="Times New Roman"/>
          <w:sz w:val="28"/>
          <w:szCs w:val="28"/>
        </w:rPr>
      </w:pPr>
      <w:r w:rsidRPr="00785E31">
        <w:rPr>
          <w:rFonts w:ascii="Times New Roman" w:eastAsia="Times New Roman" w:hAnsi="Times New Roman" w:cs="Times New Roman"/>
          <w:b/>
          <w:bCs/>
          <w:sz w:val="28"/>
          <w:szCs w:val="28"/>
        </w:rPr>
        <w:t>Investing in Education:</w:t>
      </w:r>
      <w:r w:rsidRPr="00785E31">
        <w:rPr>
          <w:rFonts w:ascii="Times New Roman" w:eastAsia="Times New Roman" w:hAnsi="Times New Roman" w:cs="Times New Roman"/>
          <w:sz w:val="28"/>
          <w:szCs w:val="28"/>
        </w:rPr>
        <w:t xml:space="preserve"> Sustained investment in education and skill development will enhance productivity and innovation, contributing to long-term economic growth.</w:t>
      </w:r>
    </w:p>
    <w:p w14:paraId="080B4B8D" w14:textId="77777777" w:rsidR="00785E31" w:rsidRPr="00785E31" w:rsidRDefault="00785E31" w:rsidP="00785E31">
      <w:pPr>
        <w:numPr>
          <w:ilvl w:val="0"/>
          <w:numId w:val="13"/>
        </w:numPr>
        <w:spacing w:before="100" w:beforeAutospacing="1" w:after="100" w:afterAutospacing="1" w:line="276" w:lineRule="auto"/>
        <w:jc w:val="both"/>
        <w:rPr>
          <w:rFonts w:ascii="Times New Roman" w:eastAsia="Times New Roman" w:hAnsi="Times New Roman" w:cs="Times New Roman"/>
          <w:sz w:val="28"/>
          <w:szCs w:val="28"/>
        </w:rPr>
      </w:pPr>
      <w:r w:rsidRPr="00785E31">
        <w:rPr>
          <w:rFonts w:ascii="Times New Roman" w:eastAsia="Times New Roman" w:hAnsi="Times New Roman" w:cs="Times New Roman"/>
          <w:b/>
          <w:bCs/>
          <w:sz w:val="28"/>
          <w:szCs w:val="28"/>
        </w:rPr>
        <w:t>Fostering FDI:</w:t>
      </w:r>
      <w:r w:rsidRPr="00785E31">
        <w:rPr>
          <w:rFonts w:ascii="Times New Roman" w:eastAsia="Times New Roman" w:hAnsi="Times New Roman" w:cs="Times New Roman"/>
          <w:sz w:val="28"/>
          <w:szCs w:val="28"/>
        </w:rPr>
        <w:t xml:space="preserve"> Governments should create favorable investment climates by streamlining regulations, ensuring political stability, and enhancing infrastructure.</w:t>
      </w:r>
    </w:p>
    <w:p w14:paraId="345E2502" w14:textId="77777777" w:rsidR="00785E31" w:rsidRPr="00785E31" w:rsidRDefault="00785E31" w:rsidP="00785E31">
      <w:pPr>
        <w:numPr>
          <w:ilvl w:val="0"/>
          <w:numId w:val="13"/>
        </w:numPr>
        <w:spacing w:before="100" w:beforeAutospacing="1" w:after="100" w:afterAutospacing="1" w:line="276" w:lineRule="auto"/>
        <w:jc w:val="both"/>
        <w:rPr>
          <w:rFonts w:ascii="Times New Roman" w:eastAsia="Times New Roman" w:hAnsi="Times New Roman" w:cs="Times New Roman"/>
          <w:sz w:val="28"/>
          <w:szCs w:val="28"/>
        </w:rPr>
      </w:pPr>
      <w:r w:rsidRPr="00785E31">
        <w:rPr>
          <w:rFonts w:ascii="Times New Roman" w:eastAsia="Times New Roman" w:hAnsi="Times New Roman" w:cs="Times New Roman"/>
          <w:b/>
          <w:bCs/>
          <w:sz w:val="28"/>
          <w:szCs w:val="28"/>
        </w:rPr>
        <w:t>Trade Strategies:</w:t>
      </w:r>
      <w:r w:rsidRPr="00785E31">
        <w:rPr>
          <w:rFonts w:ascii="Times New Roman" w:eastAsia="Times New Roman" w:hAnsi="Times New Roman" w:cs="Times New Roman"/>
          <w:sz w:val="28"/>
          <w:szCs w:val="28"/>
        </w:rPr>
        <w:t xml:space="preserve"> Countries should explore new trade partnerships and improve export capabilities to enhance trade balances and reduce deficits.</w:t>
      </w:r>
    </w:p>
    <w:p w14:paraId="1ABE8DD4" w14:textId="77777777" w:rsidR="00785E31" w:rsidRPr="00785E31" w:rsidRDefault="00785E31" w:rsidP="00785E31">
      <w:pPr>
        <w:spacing w:after="0" w:line="276" w:lineRule="auto"/>
        <w:jc w:val="both"/>
        <w:rPr>
          <w:rFonts w:ascii="Times New Roman" w:eastAsia="Times New Roman" w:hAnsi="Times New Roman" w:cs="Times New Roman"/>
          <w:sz w:val="28"/>
          <w:szCs w:val="28"/>
        </w:rPr>
      </w:pPr>
      <w:r w:rsidRPr="00785E31">
        <w:rPr>
          <w:rFonts w:ascii="Times New Roman" w:eastAsia="Times New Roman" w:hAnsi="Times New Roman" w:cs="Times New Roman"/>
          <w:sz w:val="28"/>
          <w:szCs w:val="28"/>
        </w:rPr>
        <w:pict w14:anchorId="0FB5CF95">
          <v:rect id="_x0000_i1033" style="width:0;height:1.5pt" o:hralign="center" o:hrstd="t" o:hr="t" fillcolor="#a0a0a0" stroked="f"/>
        </w:pict>
      </w:r>
    </w:p>
    <w:p w14:paraId="1B53B82A" w14:textId="77777777" w:rsidR="00785E31" w:rsidRPr="00785E31" w:rsidRDefault="00785E31" w:rsidP="00785E31">
      <w:pPr>
        <w:spacing w:before="100" w:beforeAutospacing="1" w:after="100" w:afterAutospacing="1" w:line="276" w:lineRule="auto"/>
        <w:jc w:val="both"/>
        <w:rPr>
          <w:rFonts w:ascii="Times New Roman" w:eastAsia="Times New Roman" w:hAnsi="Times New Roman" w:cs="Times New Roman"/>
          <w:sz w:val="28"/>
          <w:szCs w:val="28"/>
        </w:rPr>
      </w:pPr>
      <w:r w:rsidRPr="00785E31">
        <w:rPr>
          <w:rFonts w:ascii="Times New Roman" w:eastAsia="Times New Roman" w:hAnsi="Times New Roman" w:cs="Times New Roman"/>
          <w:sz w:val="28"/>
          <w:szCs w:val="28"/>
        </w:rPr>
        <w:t>This report serves as a valuable resource for policymakers, investors, and stakeholders, offering insights into the current economic landscape and guiding strategic initiatives for improved performance. Further research and data analysis are recommended to adapt to evolving economic conditions.</w:t>
      </w:r>
    </w:p>
    <w:bookmarkEnd w:id="0"/>
    <w:p w14:paraId="75CCD4EF" w14:textId="77777777" w:rsidR="00785E31" w:rsidRDefault="00785E31" w:rsidP="00785E31"/>
    <w:p w14:paraId="73975571" w14:textId="77777777" w:rsidR="00785E31" w:rsidRPr="00785E31" w:rsidRDefault="00785E31" w:rsidP="00785E31">
      <w:pPr>
        <w:spacing w:before="100" w:beforeAutospacing="1" w:after="100" w:afterAutospacing="1" w:line="240" w:lineRule="auto"/>
        <w:jc w:val="center"/>
        <w:outlineLvl w:val="0"/>
        <w:rPr>
          <w:rFonts w:ascii="Times New Roman" w:eastAsia="Times New Roman" w:hAnsi="Times New Roman" w:cs="Times New Roman"/>
          <w:b/>
          <w:bCs/>
          <w:kern w:val="36"/>
          <w:sz w:val="56"/>
          <w:szCs w:val="56"/>
        </w:rPr>
      </w:pPr>
    </w:p>
    <w:p w14:paraId="04B7986D" w14:textId="77777777" w:rsidR="00785E31" w:rsidRPr="00785E31" w:rsidRDefault="00785E31" w:rsidP="00785E31">
      <w:pPr>
        <w:spacing w:before="100" w:beforeAutospacing="1" w:after="100" w:afterAutospacing="1" w:line="276" w:lineRule="auto"/>
        <w:jc w:val="both"/>
        <w:rPr>
          <w:rFonts w:ascii="Times New Roman" w:eastAsia="Times New Roman" w:hAnsi="Times New Roman" w:cs="Times New Roman"/>
          <w:sz w:val="28"/>
          <w:szCs w:val="28"/>
        </w:rPr>
      </w:pPr>
    </w:p>
    <w:p w14:paraId="125F37A3" w14:textId="77777777" w:rsidR="00785E31" w:rsidRPr="00785E31" w:rsidRDefault="00785E31" w:rsidP="00785E31">
      <w:pPr>
        <w:spacing w:before="100" w:beforeAutospacing="1" w:after="100" w:afterAutospacing="1" w:line="276" w:lineRule="auto"/>
        <w:jc w:val="both"/>
        <w:outlineLvl w:val="2"/>
        <w:rPr>
          <w:rFonts w:ascii="Times New Roman" w:eastAsia="Times New Roman" w:hAnsi="Times New Roman" w:cs="Times New Roman"/>
          <w:b/>
          <w:bCs/>
          <w:sz w:val="28"/>
          <w:szCs w:val="28"/>
        </w:rPr>
      </w:pPr>
    </w:p>
    <w:p w14:paraId="69E6235D" w14:textId="77777777" w:rsidR="00785E31" w:rsidRPr="00785E31" w:rsidRDefault="00785E31" w:rsidP="00785E31">
      <w:pPr>
        <w:spacing w:before="100" w:beforeAutospacing="1" w:after="100" w:afterAutospacing="1" w:line="276" w:lineRule="auto"/>
        <w:jc w:val="both"/>
        <w:outlineLvl w:val="2"/>
        <w:rPr>
          <w:rFonts w:ascii="Times New Roman" w:eastAsia="Times New Roman" w:hAnsi="Times New Roman" w:cs="Times New Roman"/>
          <w:b/>
          <w:bCs/>
          <w:sz w:val="28"/>
          <w:szCs w:val="28"/>
        </w:rPr>
      </w:pPr>
    </w:p>
    <w:p w14:paraId="3CE79BBB" w14:textId="77777777" w:rsidR="00785E31" w:rsidRPr="00785E31" w:rsidRDefault="00785E31" w:rsidP="00785E31">
      <w:pPr>
        <w:spacing w:line="276" w:lineRule="auto"/>
        <w:jc w:val="both"/>
        <w:rPr>
          <w:sz w:val="28"/>
          <w:szCs w:val="28"/>
        </w:rPr>
      </w:pPr>
    </w:p>
    <w:p w14:paraId="1C4E2509" w14:textId="77777777" w:rsidR="00785E31" w:rsidRPr="00785E31" w:rsidRDefault="00785E31" w:rsidP="00785E31">
      <w:pPr>
        <w:spacing w:line="276" w:lineRule="auto"/>
        <w:jc w:val="both"/>
        <w:rPr>
          <w:sz w:val="28"/>
          <w:szCs w:val="28"/>
        </w:rPr>
      </w:pPr>
    </w:p>
    <w:p w14:paraId="7CEF8469" w14:textId="77777777" w:rsidR="00785E31" w:rsidRPr="00785E31" w:rsidRDefault="00785E31" w:rsidP="00785E31">
      <w:pPr>
        <w:spacing w:after="0" w:line="276" w:lineRule="auto"/>
        <w:jc w:val="both"/>
        <w:rPr>
          <w:rFonts w:ascii="Times New Roman" w:eastAsia="Times New Roman" w:hAnsi="Times New Roman" w:cs="Times New Roman"/>
          <w:sz w:val="28"/>
          <w:szCs w:val="28"/>
        </w:rPr>
      </w:pPr>
      <w:r w:rsidRPr="00785E31">
        <w:rPr>
          <w:rFonts w:ascii="Times New Roman" w:eastAsia="Times New Roman" w:hAnsi="Times New Roman" w:cs="Times New Roman"/>
          <w:sz w:val="28"/>
          <w:szCs w:val="28"/>
        </w:rPr>
        <w:pict w14:anchorId="011B05BB">
          <v:rect id="_x0000_i1030" style="width:0;height:1.5pt" o:hralign="center" o:hrstd="t" o:hr="t" fillcolor="#a0a0a0" stroked="f"/>
        </w:pict>
      </w:r>
    </w:p>
    <w:sectPr w:rsidR="00785E31" w:rsidRPr="00785E31" w:rsidSect="00785E3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E22EE"/>
    <w:multiLevelType w:val="multilevel"/>
    <w:tmpl w:val="7696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A72DB"/>
    <w:multiLevelType w:val="hybridMultilevel"/>
    <w:tmpl w:val="8A7C3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D0B0242"/>
    <w:multiLevelType w:val="multilevel"/>
    <w:tmpl w:val="AE22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B7AE2"/>
    <w:multiLevelType w:val="multilevel"/>
    <w:tmpl w:val="1A5C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7717D"/>
    <w:multiLevelType w:val="multilevel"/>
    <w:tmpl w:val="459C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F14EF"/>
    <w:multiLevelType w:val="multilevel"/>
    <w:tmpl w:val="9C342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6D71A2"/>
    <w:multiLevelType w:val="multilevel"/>
    <w:tmpl w:val="5130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96654C"/>
    <w:multiLevelType w:val="multilevel"/>
    <w:tmpl w:val="B080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A51360"/>
    <w:multiLevelType w:val="hybridMultilevel"/>
    <w:tmpl w:val="B0CC2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1D5725"/>
    <w:multiLevelType w:val="multilevel"/>
    <w:tmpl w:val="B810E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C3289E"/>
    <w:multiLevelType w:val="multilevel"/>
    <w:tmpl w:val="C0B6A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F15E57"/>
    <w:multiLevelType w:val="multilevel"/>
    <w:tmpl w:val="EC9E2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C76F58"/>
    <w:multiLevelType w:val="multilevel"/>
    <w:tmpl w:val="87AE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664EE5"/>
    <w:multiLevelType w:val="multilevel"/>
    <w:tmpl w:val="D026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180CEC"/>
    <w:multiLevelType w:val="multilevel"/>
    <w:tmpl w:val="E1C6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7"/>
  </w:num>
  <w:num w:numId="4">
    <w:abstractNumId w:val="9"/>
  </w:num>
  <w:num w:numId="5">
    <w:abstractNumId w:val="4"/>
  </w:num>
  <w:num w:numId="6">
    <w:abstractNumId w:val="3"/>
  </w:num>
  <w:num w:numId="7">
    <w:abstractNumId w:val="6"/>
  </w:num>
  <w:num w:numId="8">
    <w:abstractNumId w:val="12"/>
  </w:num>
  <w:num w:numId="9">
    <w:abstractNumId w:val="0"/>
  </w:num>
  <w:num w:numId="10">
    <w:abstractNumId w:val="13"/>
  </w:num>
  <w:num w:numId="11">
    <w:abstractNumId w:val="10"/>
  </w:num>
  <w:num w:numId="12">
    <w:abstractNumId w:val="14"/>
  </w:num>
  <w:num w:numId="13">
    <w:abstractNumId w:val="5"/>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E30"/>
    <w:rsid w:val="00785E31"/>
    <w:rsid w:val="00885C03"/>
    <w:rsid w:val="00A14E30"/>
    <w:rsid w:val="00FB0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03188"/>
  <w15:chartTrackingRefBased/>
  <w15:docId w15:val="{38EF2BE5-C10E-4F9A-888E-7F7DDE473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E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C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Project%20file\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Project%20file\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Project%20file\Projec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[Project.xlsx]Sheet2!PivotTable1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solidFill>
              <a:schemeClr val="accent1"/>
            </a:solidFill>
            <a:ln>
              <a:noFill/>
            </a:ln>
            <a:effectLst/>
          </c:spPr>
          <c:invertIfNegative val="0"/>
          <c:cat>
            <c:strRef>
              <c:f>Sheet2!$A$4:$A$44</c:f>
              <c:strCache>
                <c:ptCount val="40"/>
                <c:pt idx="0">
                  <c:v>Bangladesh</c:v>
                </c:pt>
                <c:pt idx="1">
                  <c:v>India</c:v>
                </c:pt>
                <c:pt idx="2">
                  <c:v>Philippines</c:v>
                </c:pt>
                <c:pt idx="3">
                  <c:v>Vietnam</c:v>
                </c:pt>
                <c:pt idx="4">
                  <c:v>Kenya</c:v>
                </c:pt>
                <c:pt idx="5">
                  <c:v>Indonesia</c:v>
                </c:pt>
                <c:pt idx="6">
                  <c:v>China</c:v>
                </c:pt>
                <c:pt idx="7">
                  <c:v>Saudi Arabia</c:v>
                </c:pt>
                <c:pt idx="8">
                  <c:v>Poland</c:v>
                </c:pt>
                <c:pt idx="9">
                  <c:v>Singapore</c:v>
                </c:pt>
                <c:pt idx="10">
                  <c:v>Turkey</c:v>
                </c:pt>
                <c:pt idx="11">
                  <c:v>Colombia</c:v>
                </c:pt>
                <c:pt idx="12">
                  <c:v>Australia</c:v>
                </c:pt>
                <c:pt idx="13">
                  <c:v>Egypt</c:v>
                </c:pt>
                <c:pt idx="14">
                  <c:v>Nigeria</c:v>
                </c:pt>
                <c:pt idx="15">
                  <c:v>Peru</c:v>
                </c:pt>
                <c:pt idx="16">
                  <c:v>Hungary</c:v>
                </c:pt>
                <c:pt idx="17">
                  <c:v>Canada</c:v>
                </c:pt>
                <c:pt idx="18">
                  <c:v>Thailand</c:v>
                </c:pt>
                <c:pt idx="19">
                  <c:v>Israel</c:v>
                </c:pt>
                <c:pt idx="20">
                  <c:v>Czech Republic</c:v>
                </c:pt>
                <c:pt idx="21">
                  <c:v>Brazil</c:v>
                </c:pt>
                <c:pt idx="22">
                  <c:v>Iran</c:v>
                </c:pt>
                <c:pt idx="23">
                  <c:v>South Korea</c:v>
                </c:pt>
                <c:pt idx="24">
                  <c:v>Spain</c:v>
                </c:pt>
                <c:pt idx="25">
                  <c:v>Netherlands</c:v>
                </c:pt>
                <c:pt idx="26">
                  <c:v>United States</c:v>
                </c:pt>
                <c:pt idx="27">
                  <c:v>Argentina</c:v>
                </c:pt>
                <c:pt idx="28">
                  <c:v>Switzerland</c:v>
                </c:pt>
                <c:pt idx="29">
                  <c:v>Ukraine</c:v>
                </c:pt>
                <c:pt idx="30">
                  <c:v>United Kingdom</c:v>
                </c:pt>
                <c:pt idx="31">
                  <c:v>Mexico</c:v>
                </c:pt>
                <c:pt idx="32">
                  <c:v>France</c:v>
                </c:pt>
                <c:pt idx="33">
                  <c:v>Sweden</c:v>
                </c:pt>
                <c:pt idx="34">
                  <c:v>Belgium</c:v>
                </c:pt>
                <c:pt idx="35">
                  <c:v>Russia</c:v>
                </c:pt>
                <c:pt idx="36">
                  <c:v>Germany</c:v>
                </c:pt>
                <c:pt idx="37">
                  <c:v>Italy</c:v>
                </c:pt>
                <c:pt idx="38">
                  <c:v>South Africa</c:v>
                </c:pt>
                <c:pt idx="39">
                  <c:v>Japan</c:v>
                </c:pt>
              </c:strCache>
            </c:strRef>
          </c:cat>
          <c:val>
            <c:numRef>
              <c:f>Sheet2!$B$4:$B$44</c:f>
              <c:numCache>
                <c:formatCode>General</c:formatCode>
                <c:ptCount val="40"/>
                <c:pt idx="0">
                  <c:v>6.2</c:v>
                </c:pt>
                <c:pt idx="1">
                  <c:v>6.1</c:v>
                </c:pt>
                <c:pt idx="2">
                  <c:v>6</c:v>
                </c:pt>
                <c:pt idx="3">
                  <c:v>5.5</c:v>
                </c:pt>
                <c:pt idx="4">
                  <c:v>5.4</c:v>
                </c:pt>
                <c:pt idx="5">
                  <c:v>5.2</c:v>
                </c:pt>
                <c:pt idx="6">
                  <c:v>5</c:v>
                </c:pt>
                <c:pt idx="7">
                  <c:v>4.5</c:v>
                </c:pt>
                <c:pt idx="8">
                  <c:v>4.5</c:v>
                </c:pt>
                <c:pt idx="9">
                  <c:v>4.3</c:v>
                </c:pt>
                <c:pt idx="10">
                  <c:v>4</c:v>
                </c:pt>
                <c:pt idx="11">
                  <c:v>3.6</c:v>
                </c:pt>
                <c:pt idx="12">
                  <c:v>3.5</c:v>
                </c:pt>
                <c:pt idx="13">
                  <c:v>3.4</c:v>
                </c:pt>
                <c:pt idx="14">
                  <c:v>3.2</c:v>
                </c:pt>
                <c:pt idx="15">
                  <c:v>3</c:v>
                </c:pt>
                <c:pt idx="16">
                  <c:v>3</c:v>
                </c:pt>
                <c:pt idx="17">
                  <c:v>3</c:v>
                </c:pt>
                <c:pt idx="18">
                  <c:v>3</c:v>
                </c:pt>
                <c:pt idx="19">
                  <c:v>3</c:v>
                </c:pt>
                <c:pt idx="20">
                  <c:v>2.8</c:v>
                </c:pt>
                <c:pt idx="21">
                  <c:v>2.5</c:v>
                </c:pt>
                <c:pt idx="22">
                  <c:v>2.5</c:v>
                </c:pt>
                <c:pt idx="23">
                  <c:v>2.2999999999999998</c:v>
                </c:pt>
                <c:pt idx="24">
                  <c:v>2.2000000000000002</c:v>
                </c:pt>
                <c:pt idx="25">
                  <c:v>2.2000000000000002</c:v>
                </c:pt>
                <c:pt idx="26">
                  <c:v>2.1</c:v>
                </c:pt>
                <c:pt idx="27">
                  <c:v>2</c:v>
                </c:pt>
                <c:pt idx="28">
                  <c:v>2</c:v>
                </c:pt>
                <c:pt idx="29">
                  <c:v>2</c:v>
                </c:pt>
                <c:pt idx="30">
                  <c:v>2</c:v>
                </c:pt>
                <c:pt idx="31">
                  <c:v>2</c:v>
                </c:pt>
                <c:pt idx="32">
                  <c:v>1.9</c:v>
                </c:pt>
                <c:pt idx="33">
                  <c:v>1.9</c:v>
                </c:pt>
                <c:pt idx="34">
                  <c:v>1.8</c:v>
                </c:pt>
                <c:pt idx="35">
                  <c:v>1.5</c:v>
                </c:pt>
                <c:pt idx="36">
                  <c:v>1.5</c:v>
                </c:pt>
                <c:pt idx="37">
                  <c:v>1.3</c:v>
                </c:pt>
                <c:pt idx="38">
                  <c:v>1.2</c:v>
                </c:pt>
                <c:pt idx="39">
                  <c:v>1</c:v>
                </c:pt>
              </c:numCache>
            </c:numRef>
          </c:val>
          <c:extLst>
            <c:ext xmlns:c16="http://schemas.microsoft.com/office/drawing/2014/chart" uri="{C3380CC4-5D6E-409C-BE32-E72D297353CC}">
              <c16:uniqueId val="{00000000-A566-4E91-858D-3129FAC40FD3}"/>
            </c:ext>
          </c:extLst>
        </c:ser>
        <c:dLbls>
          <c:showLegendKey val="0"/>
          <c:showVal val="0"/>
          <c:showCatName val="0"/>
          <c:showSerName val="0"/>
          <c:showPercent val="0"/>
          <c:showBubbleSize val="0"/>
        </c:dLbls>
        <c:gapWidth val="219"/>
        <c:overlap val="-27"/>
        <c:axId val="1633077071"/>
        <c:axId val="1633084559"/>
      </c:barChart>
      <c:catAx>
        <c:axId val="16330770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3084559"/>
        <c:crosses val="autoZero"/>
        <c:auto val="1"/>
        <c:lblAlgn val="ctr"/>
        <c:lblOffset val="100"/>
        <c:noMultiLvlLbl val="0"/>
      </c:catAx>
      <c:valAx>
        <c:axId val="1633084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30770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[Project.xlsx]Sheet5!PivotTable4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
        <c:idx val="23"/>
        <c:spPr>
          <a:solidFill>
            <a:schemeClr val="accent1"/>
          </a:solidFill>
          <a:ln w="19050">
            <a:solidFill>
              <a:schemeClr val="lt1"/>
            </a:solidFill>
          </a:ln>
          <a:effectLst/>
        </c:spPr>
      </c:pivotFmt>
      <c:pivotFmt>
        <c:idx val="24"/>
        <c:spPr>
          <a:solidFill>
            <a:schemeClr val="accent1"/>
          </a:solidFill>
          <a:ln w="19050">
            <a:solidFill>
              <a:schemeClr val="lt1"/>
            </a:solidFill>
          </a:ln>
          <a:effectLst/>
        </c:spPr>
      </c:pivotFmt>
      <c:pivotFmt>
        <c:idx val="25"/>
        <c:spPr>
          <a:solidFill>
            <a:schemeClr val="accent1"/>
          </a:solidFill>
          <a:ln w="19050">
            <a:solidFill>
              <a:schemeClr val="lt1"/>
            </a:solidFill>
          </a:ln>
          <a:effectLst/>
        </c:spPr>
      </c:pivotFmt>
      <c:pivotFmt>
        <c:idx val="26"/>
        <c:spPr>
          <a:solidFill>
            <a:schemeClr val="accent1"/>
          </a:solidFill>
          <a:ln w="19050">
            <a:solidFill>
              <a:schemeClr val="lt1"/>
            </a:solidFill>
          </a:ln>
          <a:effectLst/>
        </c:spPr>
      </c:pivotFmt>
      <c:pivotFmt>
        <c:idx val="27"/>
        <c:spPr>
          <a:solidFill>
            <a:schemeClr val="accent1"/>
          </a:solidFill>
          <a:ln w="19050">
            <a:solidFill>
              <a:schemeClr val="lt1"/>
            </a:solidFill>
          </a:ln>
          <a:effectLst/>
        </c:spPr>
      </c:pivotFmt>
      <c:pivotFmt>
        <c:idx val="28"/>
        <c:spPr>
          <a:solidFill>
            <a:schemeClr val="accent1"/>
          </a:solidFill>
          <a:ln w="19050">
            <a:solidFill>
              <a:schemeClr val="lt1"/>
            </a:solidFill>
          </a:ln>
          <a:effectLst/>
        </c:spPr>
      </c:pivotFmt>
      <c:pivotFmt>
        <c:idx val="29"/>
        <c:spPr>
          <a:solidFill>
            <a:schemeClr val="accent1"/>
          </a:solidFill>
          <a:ln w="19050">
            <a:solidFill>
              <a:schemeClr val="lt1"/>
            </a:solidFill>
          </a:ln>
          <a:effectLst/>
        </c:spPr>
      </c:pivotFmt>
      <c:pivotFmt>
        <c:idx val="30"/>
        <c:spPr>
          <a:solidFill>
            <a:schemeClr val="accent1"/>
          </a:solidFill>
          <a:ln w="19050">
            <a:solidFill>
              <a:schemeClr val="lt1"/>
            </a:solidFill>
          </a:ln>
          <a:effectLst/>
        </c:spPr>
      </c:pivotFmt>
      <c:pivotFmt>
        <c:idx val="31"/>
        <c:spPr>
          <a:solidFill>
            <a:schemeClr val="accent1"/>
          </a:solidFill>
          <a:ln w="19050">
            <a:solidFill>
              <a:schemeClr val="lt1"/>
            </a:solidFill>
          </a:ln>
          <a:effectLst/>
        </c:spPr>
      </c:pivotFmt>
      <c:pivotFmt>
        <c:idx val="32"/>
        <c:spPr>
          <a:solidFill>
            <a:schemeClr val="accent1"/>
          </a:solidFill>
          <a:ln w="19050">
            <a:solidFill>
              <a:schemeClr val="lt1"/>
            </a:solidFill>
          </a:ln>
          <a:effectLst/>
        </c:spPr>
      </c:pivotFmt>
      <c:pivotFmt>
        <c:idx val="33"/>
        <c:spPr>
          <a:solidFill>
            <a:schemeClr val="accent1"/>
          </a:solidFill>
          <a:ln w="19050">
            <a:solidFill>
              <a:schemeClr val="lt1"/>
            </a:solidFill>
          </a:ln>
          <a:effectLst/>
        </c:spPr>
      </c:pivotFmt>
      <c:pivotFmt>
        <c:idx val="34"/>
        <c:spPr>
          <a:solidFill>
            <a:schemeClr val="accent1"/>
          </a:solidFill>
          <a:ln w="19050">
            <a:solidFill>
              <a:schemeClr val="lt1"/>
            </a:solidFill>
          </a:ln>
          <a:effectLst/>
        </c:spPr>
      </c:pivotFmt>
      <c:pivotFmt>
        <c:idx val="35"/>
        <c:spPr>
          <a:solidFill>
            <a:schemeClr val="accent1"/>
          </a:solidFill>
          <a:ln w="19050">
            <a:solidFill>
              <a:schemeClr val="lt1"/>
            </a:solidFill>
          </a:ln>
          <a:effectLst/>
        </c:spPr>
      </c:pivotFmt>
      <c:pivotFmt>
        <c:idx val="36"/>
        <c:spPr>
          <a:solidFill>
            <a:schemeClr val="accent1"/>
          </a:solidFill>
          <a:ln w="19050">
            <a:solidFill>
              <a:schemeClr val="lt1"/>
            </a:solidFill>
          </a:ln>
          <a:effectLst/>
        </c:spPr>
      </c:pivotFmt>
      <c:pivotFmt>
        <c:idx val="37"/>
        <c:spPr>
          <a:solidFill>
            <a:schemeClr val="accent1"/>
          </a:solidFill>
          <a:ln w="19050">
            <a:solidFill>
              <a:schemeClr val="lt1"/>
            </a:solidFill>
          </a:ln>
          <a:effectLst/>
        </c:spPr>
      </c:pivotFmt>
      <c:pivotFmt>
        <c:idx val="38"/>
        <c:spPr>
          <a:solidFill>
            <a:schemeClr val="accent1"/>
          </a:solidFill>
          <a:ln w="19050">
            <a:solidFill>
              <a:schemeClr val="lt1"/>
            </a:solidFill>
          </a:ln>
          <a:effectLst/>
        </c:spPr>
      </c:pivotFmt>
      <c:pivotFmt>
        <c:idx val="39"/>
        <c:spPr>
          <a:solidFill>
            <a:schemeClr val="accent1"/>
          </a:solidFill>
          <a:ln w="19050">
            <a:solidFill>
              <a:schemeClr val="lt1"/>
            </a:solidFill>
          </a:ln>
          <a:effectLst/>
        </c:spPr>
      </c:pivotFmt>
      <c:pivotFmt>
        <c:idx val="40"/>
        <c:spPr>
          <a:solidFill>
            <a:schemeClr val="accent1"/>
          </a:solidFill>
          <a:ln w="19050">
            <a:solidFill>
              <a:schemeClr val="lt1"/>
            </a:solidFill>
          </a:ln>
          <a:effectLst/>
        </c:spPr>
      </c:pivotFmt>
      <c:pivotFmt>
        <c:idx val="4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2"/>
        <c:spPr>
          <a:solidFill>
            <a:schemeClr val="accent1"/>
          </a:solidFill>
          <a:ln w="19050">
            <a:solidFill>
              <a:schemeClr val="lt1"/>
            </a:solidFill>
          </a:ln>
          <a:effectLst/>
        </c:spPr>
      </c:pivotFmt>
      <c:pivotFmt>
        <c:idx val="43"/>
        <c:spPr>
          <a:solidFill>
            <a:schemeClr val="accent1"/>
          </a:solidFill>
          <a:ln w="19050">
            <a:solidFill>
              <a:schemeClr val="lt1"/>
            </a:solidFill>
          </a:ln>
          <a:effectLst/>
        </c:spPr>
      </c:pivotFmt>
      <c:pivotFmt>
        <c:idx val="44"/>
        <c:spPr>
          <a:solidFill>
            <a:schemeClr val="accent1"/>
          </a:solidFill>
          <a:ln w="19050">
            <a:solidFill>
              <a:schemeClr val="lt1"/>
            </a:solidFill>
          </a:ln>
          <a:effectLst/>
        </c:spPr>
      </c:pivotFmt>
      <c:pivotFmt>
        <c:idx val="45"/>
        <c:spPr>
          <a:solidFill>
            <a:schemeClr val="accent1"/>
          </a:solidFill>
          <a:ln w="19050">
            <a:solidFill>
              <a:schemeClr val="lt1"/>
            </a:solidFill>
          </a:ln>
          <a:effectLst/>
        </c:spPr>
      </c:pivotFmt>
      <c:pivotFmt>
        <c:idx val="46"/>
        <c:spPr>
          <a:solidFill>
            <a:schemeClr val="accent1"/>
          </a:solidFill>
          <a:ln w="19050">
            <a:solidFill>
              <a:schemeClr val="lt1"/>
            </a:solidFill>
          </a:ln>
          <a:effectLst/>
        </c:spPr>
      </c:pivotFmt>
      <c:pivotFmt>
        <c:idx val="47"/>
        <c:spPr>
          <a:solidFill>
            <a:schemeClr val="accent1"/>
          </a:solidFill>
          <a:ln w="19050">
            <a:solidFill>
              <a:schemeClr val="lt1"/>
            </a:solidFill>
          </a:ln>
          <a:effectLst/>
        </c:spPr>
      </c:pivotFmt>
      <c:pivotFmt>
        <c:idx val="48"/>
        <c:spPr>
          <a:solidFill>
            <a:schemeClr val="accent1"/>
          </a:solidFill>
          <a:ln w="19050">
            <a:solidFill>
              <a:schemeClr val="lt1"/>
            </a:solidFill>
          </a:ln>
          <a:effectLst/>
        </c:spPr>
      </c:pivotFmt>
      <c:pivotFmt>
        <c:idx val="49"/>
        <c:spPr>
          <a:solidFill>
            <a:schemeClr val="accent1"/>
          </a:solidFill>
          <a:ln w="19050">
            <a:solidFill>
              <a:schemeClr val="lt1"/>
            </a:solidFill>
          </a:ln>
          <a:effectLst/>
        </c:spPr>
      </c:pivotFmt>
      <c:pivotFmt>
        <c:idx val="50"/>
        <c:spPr>
          <a:solidFill>
            <a:schemeClr val="accent1"/>
          </a:solidFill>
          <a:ln w="19050">
            <a:solidFill>
              <a:schemeClr val="lt1"/>
            </a:solidFill>
          </a:ln>
          <a:effectLst/>
        </c:spPr>
      </c:pivotFmt>
      <c:pivotFmt>
        <c:idx val="51"/>
        <c:spPr>
          <a:solidFill>
            <a:schemeClr val="accent1"/>
          </a:solidFill>
          <a:ln w="19050">
            <a:solidFill>
              <a:schemeClr val="lt1"/>
            </a:solidFill>
          </a:ln>
          <a:effectLst/>
        </c:spPr>
      </c:pivotFmt>
      <c:pivotFmt>
        <c:idx val="52"/>
        <c:spPr>
          <a:solidFill>
            <a:schemeClr val="accent1"/>
          </a:solidFill>
          <a:ln w="19050">
            <a:solidFill>
              <a:schemeClr val="lt1"/>
            </a:solidFill>
          </a:ln>
          <a:effectLst/>
        </c:spPr>
      </c:pivotFmt>
      <c:pivotFmt>
        <c:idx val="53"/>
        <c:spPr>
          <a:solidFill>
            <a:schemeClr val="accent1"/>
          </a:solidFill>
          <a:ln w="19050">
            <a:solidFill>
              <a:schemeClr val="lt1"/>
            </a:solidFill>
          </a:ln>
          <a:effectLst/>
        </c:spPr>
      </c:pivotFmt>
      <c:pivotFmt>
        <c:idx val="54"/>
        <c:spPr>
          <a:solidFill>
            <a:schemeClr val="accent1"/>
          </a:solidFill>
          <a:ln w="19050">
            <a:solidFill>
              <a:schemeClr val="lt1"/>
            </a:solidFill>
          </a:ln>
          <a:effectLst/>
        </c:spPr>
      </c:pivotFmt>
      <c:pivotFmt>
        <c:idx val="55"/>
        <c:spPr>
          <a:solidFill>
            <a:schemeClr val="accent1"/>
          </a:solidFill>
          <a:ln w="19050">
            <a:solidFill>
              <a:schemeClr val="lt1"/>
            </a:solidFill>
          </a:ln>
          <a:effectLst/>
        </c:spPr>
      </c:pivotFmt>
      <c:pivotFmt>
        <c:idx val="56"/>
        <c:spPr>
          <a:solidFill>
            <a:schemeClr val="accent1"/>
          </a:solidFill>
          <a:ln w="19050">
            <a:solidFill>
              <a:schemeClr val="lt1"/>
            </a:solidFill>
          </a:ln>
          <a:effectLst/>
        </c:spPr>
      </c:pivotFmt>
      <c:pivotFmt>
        <c:idx val="57"/>
        <c:spPr>
          <a:solidFill>
            <a:schemeClr val="accent1"/>
          </a:solidFill>
          <a:ln w="19050">
            <a:solidFill>
              <a:schemeClr val="lt1"/>
            </a:solidFill>
          </a:ln>
          <a:effectLst/>
        </c:spPr>
      </c:pivotFmt>
      <c:pivotFmt>
        <c:idx val="58"/>
        <c:spPr>
          <a:solidFill>
            <a:schemeClr val="accent1"/>
          </a:solidFill>
          <a:ln w="19050">
            <a:solidFill>
              <a:schemeClr val="lt1"/>
            </a:solidFill>
          </a:ln>
          <a:effectLst/>
        </c:spPr>
      </c:pivotFmt>
      <c:pivotFmt>
        <c:idx val="59"/>
        <c:spPr>
          <a:solidFill>
            <a:schemeClr val="accent1"/>
          </a:solidFill>
          <a:ln w="19050">
            <a:solidFill>
              <a:schemeClr val="lt1"/>
            </a:solidFill>
          </a:ln>
          <a:effectLst/>
        </c:spPr>
      </c:pivotFmt>
      <c:pivotFmt>
        <c:idx val="60"/>
        <c:spPr>
          <a:solidFill>
            <a:schemeClr val="accent1"/>
          </a:solidFill>
          <a:ln w="19050">
            <a:solidFill>
              <a:schemeClr val="lt1"/>
            </a:solidFill>
          </a:ln>
          <a:effectLst/>
        </c:spPr>
      </c:pivotFmt>
      <c:pivotFmt>
        <c:idx val="61"/>
        <c:spPr>
          <a:solidFill>
            <a:schemeClr val="accent1"/>
          </a:solidFill>
          <a:ln w="19050">
            <a:solidFill>
              <a:schemeClr val="lt1"/>
            </a:solidFill>
          </a:ln>
          <a:effectLst/>
        </c:spPr>
      </c:pivotFmt>
      <c:pivotFmt>
        <c:idx val="62"/>
        <c:spPr>
          <a:solidFill>
            <a:schemeClr val="accent1"/>
          </a:solidFill>
          <a:ln w="19050">
            <a:solidFill>
              <a:schemeClr val="lt1"/>
            </a:solidFill>
          </a:ln>
          <a:effectLst/>
        </c:spPr>
      </c:pivotFmt>
      <c:pivotFmt>
        <c:idx val="63"/>
        <c:spPr>
          <a:solidFill>
            <a:schemeClr val="accent1"/>
          </a:solidFill>
          <a:ln w="19050">
            <a:solidFill>
              <a:schemeClr val="lt1"/>
            </a:solidFill>
          </a:ln>
          <a:effectLst/>
        </c:spPr>
      </c:pivotFmt>
      <c:pivotFmt>
        <c:idx val="64"/>
        <c:spPr>
          <a:solidFill>
            <a:schemeClr val="accent1"/>
          </a:solidFill>
          <a:ln w="19050">
            <a:solidFill>
              <a:schemeClr val="lt1"/>
            </a:solidFill>
          </a:ln>
          <a:effectLst/>
        </c:spPr>
      </c:pivotFmt>
      <c:pivotFmt>
        <c:idx val="65"/>
        <c:spPr>
          <a:solidFill>
            <a:schemeClr val="accent1"/>
          </a:solidFill>
          <a:ln w="19050">
            <a:solidFill>
              <a:schemeClr val="lt1"/>
            </a:solidFill>
          </a:ln>
          <a:effectLst/>
        </c:spPr>
      </c:pivotFmt>
      <c:pivotFmt>
        <c:idx val="66"/>
        <c:spPr>
          <a:solidFill>
            <a:schemeClr val="accent1"/>
          </a:solidFill>
          <a:ln w="19050">
            <a:solidFill>
              <a:schemeClr val="lt1"/>
            </a:solidFill>
          </a:ln>
          <a:effectLst/>
        </c:spPr>
      </c:pivotFmt>
      <c:pivotFmt>
        <c:idx val="67"/>
        <c:spPr>
          <a:solidFill>
            <a:schemeClr val="accent1"/>
          </a:solidFill>
          <a:ln w="19050">
            <a:solidFill>
              <a:schemeClr val="lt1"/>
            </a:solidFill>
          </a:ln>
          <a:effectLst/>
        </c:spPr>
      </c:pivotFmt>
      <c:pivotFmt>
        <c:idx val="68"/>
        <c:spPr>
          <a:solidFill>
            <a:schemeClr val="accent1"/>
          </a:solidFill>
          <a:ln w="19050">
            <a:solidFill>
              <a:schemeClr val="lt1"/>
            </a:solidFill>
          </a:ln>
          <a:effectLst/>
        </c:spPr>
      </c:pivotFmt>
      <c:pivotFmt>
        <c:idx val="69"/>
        <c:spPr>
          <a:solidFill>
            <a:schemeClr val="accent1"/>
          </a:solidFill>
          <a:ln w="19050">
            <a:solidFill>
              <a:schemeClr val="lt1"/>
            </a:solidFill>
          </a:ln>
          <a:effectLst/>
        </c:spPr>
      </c:pivotFmt>
      <c:pivotFmt>
        <c:idx val="70"/>
        <c:spPr>
          <a:solidFill>
            <a:schemeClr val="accent1"/>
          </a:solidFill>
          <a:ln w="19050">
            <a:solidFill>
              <a:schemeClr val="lt1"/>
            </a:solidFill>
          </a:ln>
          <a:effectLst/>
        </c:spPr>
      </c:pivotFmt>
      <c:pivotFmt>
        <c:idx val="71"/>
        <c:spPr>
          <a:solidFill>
            <a:schemeClr val="accent1"/>
          </a:solidFill>
          <a:ln w="19050">
            <a:solidFill>
              <a:schemeClr val="lt1"/>
            </a:solidFill>
          </a:ln>
          <a:effectLst/>
        </c:spPr>
      </c:pivotFmt>
      <c:pivotFmt>
        <c:idx val="72"/>
        <c:spPr>
          <a:solidFill>
            <a:schemeClr val="accent1"/>
          </a:solidFill>
          <a:ln w="19050">
            <a:solidFill>
              <a:schemeClr val="lt1"/>
            </a:solidFill>
          </a:ln>
          <a:effectLst/>
        </c:spPr>
      </c:pivotFmt>
      <c:pivotFmt>
        <c:idx val="73"/>
        <c:spPr>
          <a:solidFill>
            <a:schemeClr val="accent1"/>
          </a:solidFill>
          <a:ln w="19050">
            <a:solidFill>
              <a:schemeClr val="lt1"/>
            </a:solidFill>
          </a:ln>
          <a:effectLst/>
        </c:spPr>
      </c:pivotFmt>
      <c:pivotFmt>
        <c:idx val="74"/>
        <c:spPr>
          <a:solidFill>
            <a:schemeClr val="accent1"/>
          </a:solidFill>
          <a:ln w="19050">
            <a:solidFill>
              <a:schemeClr val="lt1"/>
            </a:solidFill>
          </a:ln>
          <a:effectLst/>
        </c:spPr>
      </c:pivotFmt>
      <c:pivotFmt>
        <c:idx val="75"/>
        <c:spPr>
          <a:solidFill>
            <a:schemeClr val="accent1"/>
          </a:solidFill>
          <a:ln w="19050">
            <a:solidFill>
              <a:schemeClr val="lt1"/>
            </a:solidFill>
          </a:ln>
          <a:effectLst/>
        </c:spPr>
      </c:pivotFmt>
      <c:pivotFmt>
        <c:idx val="76"/>
        <c:spPr>
          <a:solidFill>
            <a:schemeClr val="accent1"/>
          </a:solidFill>
          <a:ln w="19050">
            <a:solidFill>
              <a:schemeClr val="lt1"/>
            </a:solidFill>
          </a:ln>
          <a:effectLst/>
        </c:spPr>
      </c:pivotFmt>
      <c:pivotFmt>
        <c:idx val="77"/>
        <c:spPr>
          <a:solidFill>
            <a:schemeClr val="accent1"/>
          </a:solidFill>
          <a:ln w="19050">
            <a:solidFill>
              <a:schemeClr val="lt1"/>
            </a:solidFill>
          </a:ln>
          <a:effectLst/>
        </c:spPr>
      </c:pivotFmt>
      <c:pivotFmt>
        <c:idx val="78"/>
        <c:spPr>
          <a:solidFill>
            <a:schemeClr val="accent1"/>
          </a:solidFill>
          <a:ln w="19050">
            <a:solidFill>
              <a:schemeClr val="lt1"/>
            </a:solidFill>
          </a:ln>
          <a:effectLst/>
        </c:spPr>
      </c:pivotFmt>
      <c:pivotFmt>
        <c:idx val="79"/>
        <c:spPr>
          <a:solidFill>
            <a:schemeClr val="accent1"/>
          </a:solidFill>
          <a:ln w="19050">
            <a:solidFill>
              <a:schemeClr val="lt1"/>
            </a:solidFill>
          </a:ln>
          <a:effectLst/>
        </c:spPr>
      </c:pivotFmt>
      <c:pivotFmt>
        <c:idx val="80"/>
        <c:spPr>
          <a:solidFill>
            <a:schemeClr val="accent1"/>
          </a:solidFill>
          <a:ln w="19050">
            <a:solidFill>
              <a:schemeClr val="lt1"/>
            </a:solidFill>
          </a:ln>
          <a:effectLst/>
        </c:spPr>
      </c:pivotFmt>
      <c:pivotFmt>
        <c:idx val="81"/>
        <c:spPr>
          <a:solidFill>
            <a:schemeClr val="accent1"/>
          </a:solidFill>
          <a:ln w="19050">
            <a:solidFill>
              <a:schemeClr val="lt1"/>
            </a:solidFill>
          </a:ln>
          <a:effectLst/>
        </c:spPr>
      </c:pivotFmt>
      <c:pivotFmt>
        <c:idx val="8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3"/>
        <c:spPr>
          <a:solidFill>
            <a:schemeClr val="accent1"/>
          </a:solidFill>
          <a:ln w="19050">
            <a:solidFill>
              <a:schemeClr val="lt1"/>
            </a:solidFill>
          </a:ln>
          <a:effectLst/>
        </c:spPr>
      </c:pivotFmt>
      <c:pivotFmt>
        <c:idx val="84"/>
        <c:spPr>
          <a:solidFill>
            <a:schemeClr val="accent1"/>
          </a:solidFill>
          <a:ln w="19050">
            <a:solidFill>
              <a:schemeClr val="lt1"/>
            </a:solidFill>
          </a:ln>
          <a:effectLst/>
        </c:spPr>
      </c:pivotFmt>
      <c:pivotFmt>
        <c:idx val="85"/>
        <c:spPr>
          <a:solidFill>
            <a:schemeClr val="accent1"/>
          </a:solidFill>
          <a:ln w="19050">
            <a:solidFill>
              <a:schemeClr val="lt1"/>
            </a:solidFill>
          </a:ln>
          <a:effectLst/>
        </c:spPr>
      </c:pivotFmt>
      <c:pivotFmt>
        <c:idx val="86"/>
        <c:spPr>
          <a:solidFill>
            <a:schemeClr val="accent1"/>
          </a:solidFill>
          <a:ln w="19050">
            <a:solidFill>
              <a:schemeClr val="lt1"/>
            </a:solidFill>
          </a:ln>
          <a:effectLst/>
        </c:spPr>
      </c:pivotFmt>
      <c:pivotFmt>
        <c:idx val="87"/>
        <c:spPr>
          <a:solidFill>
            <a:schemeClr val="accent1"/>
          </a:solidFill>
          <a:ln w="19050">
            <a:solidFill>
              <a:schemeClr val="lt1"/>
            </a:solidFill>
          </a:ln>
          <a:effectLst/>
        </c:spPr>
      </c:pivotFmt>
      <c:pivotFmt>
        <c:idx val="88"/>
        <c:spPr>
          <a:solidFill>
            <a:schemeClr val="accent1"/>
          </a:solidFill>
          <a:ln w="19050">
            <a:solidFill>
              <a:schemeClr val="lt1"/>
            </a:solidFill>
          </a:ln>
          <a:effectLst/>
        </c:spPr>
      </c:pivotFmt>
      <c:pivotFmt>
        <c:idx val="89"/>
        <c:spPr>
          <a:solidFill>
            <a:schemeClr val="accent1"/>
          </a:solidFill>
          <a:ln w="19050">
            <a:solidFill>
              <a:schemeClr val="lt1"/>
            </a:solidFill>
          </a:ln>
          <a:effectLst/>
        </c:spPr>
      </c:pivotFmt>
      <c:pivotFmt>
        <c:idx val="90"/>
        <c:spPr>
          <a:solidFill>
            <a:schemeClr val="accent1"/>
          </a:solidFill>
          <a:ln w="19050">
            <a:solidFill>
              <a:schemeClr val="lt1"/>
            </a:solidFill>
          </a:ln>
          <a:effectLst/>
        </c:spPr>
      </c:pivotFmt>
      <c:pivotFmt>
        <c:idx val="91"/>
        <c:spPr>
          <a:solidFill>
            <a:schemeClr val="accent1"/>
          </a:solidFill>
          <a:ln w="19050">
            <a:solidFill>
              <a:schemeClr val="lt1"/>
            </a:solidFill>
          </a:ln>
          <a:effectLst/>
        </c:spPr>
      </c:pivotFmt>
      <c:pivotFmt>
        <c:idx val="92"/>
        <c:spPr>
          <a:solidFill>
            <a:schemeClr val="accent1"/>
          </a:solidFill>
          <a:ln w="19050">
            <a:solidFill>
              <a:schemeClr val="lt1"/>
            </a:solidFill>
          </a:ln>
          <a:effectLst/>
        </c:spPr>
      </c:pivotFmt>
      <c:pivotFmt>
        <c:idx val="93"/>
        <c:spPr>
          <a:solidFill>
            <a:schemeClr val="accent1"/>
          </a:solidFill>
          <a:ln w="19050">
            <a:solidFill>
              <a:schemeClr val="lt1"/>
            </a:solidFill>
          </a:ln>
          <a:effectLst/>
        </c:spPr>
      </c:pivotFmt>
      <c:pivotFmt>
        <c:idx val="94"/>
        <c:spPr>
          <a:solidFill>
            <a:schemeClr val="accent1"/>
          </a:solidFill>
          <a:ln w="19050">
            <a:solidFill>
              <a:schemeClr val="lt1"/>
            </a:solidFill>
          </a:ln>
          <a:effectLst/>
        </c:spPr>
      </c:pivotFmt>
      <c:pivotFmt>
        <c:idx val="95"/>
        <c:spPr>
          <a:solidFill>
            <a:schemeClr val="accent1"/>
          </a:solidFill>
          <a:ln w="19050">
            <a:solidFill>
              <a:schemeClr val="lt1"/>
            </a:solidFill>
          </a:ln>
          <a:effectLst/>
        </c:spPr>
      </c:pivotFmt>
      <c:pivotFmt>
        <c:idx val="96"/>
        <c:spPr>
          <a:solidFill>
            <a:schemeClr val="accent1"/>
          </a:solidFill>
          <a:ln w="19050">
            <a:solidFill>
              <a:schemeClr val="lt1"/>
            </a:solidFill>
          </a:ln>
          <a:effectLst/>
        </c:spPr>
      </c:pivotFmt>
      <c:pivotFmt>
        <c:idx val="97"/>
        <c:spPr>
          <a:solidFill>
            <a:schemeClr val="accent1"/>
          </a:solidFill>
          <a:ln w="19050">
            <a:solidFill>
              <a:schemeClr val="lt1"/>
            </a:solidFill>
          </a:ln>
          <a:effectLst/>
        </c:spPr>
      </c:pivotFmt>
      <c:pivotFmt>
        <c:idx val="98"/>
        <c:spPr>
          <a:solidFill>
            <a:schemeClr val="accent1"/>
          </a:solidFill>
          <a:ln w="19050">
            <a:solidFill>
              <a:schemeClr val="lt1"/>
            </a:solidFill>
          </a:ln>
          <a:effectLst/>
        </c:spPr>
      </c:pivotFmt>
      <c:pivotFmt>
        <c:idx val="99"/>
        <c:spPr>
          <a:solidFill>
            <a:schemeClr val="accent1"/>
          </a:solidFill>
          <a:ln w="19050">
            <a:solidFill>
              <a:schemeClr val="lt1"/>
            </a:solidFill>
          </a:ln>
          <a:effectLst/>
        </c:spPr>
      </c:pivotFmt>
      <c:pivotFmt>
        <c:idx val="100"/>
        <c:spPr>
          <a:solidFill>
            <a:schemeClr val="accent1"/>
          </a:solidFill>
          <a:ln w="19050">
            <a:solidFill>
              <a:schemeClr val="lt1"/>
            </a:solidFill>
          </a:ln>
          <a:effectLst/>
        </c:spPr>
      </c:pivotFmt>
      <c:pivotFmt>
        <c:idx val="101"/>
        <c:spPr>
          <a:solidFill>
            <a:schemeClr val="accent1"/>
          </a:solidFill>
          <a:ln w="19050">
            <a:solidFill>
              <a:schemeClr val="lt1"/>
            </a:solidFill>
          </a:ln>
          <a:effectLst/>
        </c:spPr>
      </c:pivotFmt>
      <c:pivotFmt>
        <c:idx val="102"/>
        <c:spPr>
          <a:solidFill>
            <a:schemeClr val="accent1"/>
          </a:solidFill>
          <a:ln w="19050">
            <a:solidFill>
              <a:schemeClr val="lt1"/>
            </a:solidFill>
          </a:ln>
          <a:effectLst/>
        </c:spPr>
      </c:pivotFmt>
      <c:pivotFmt>
        <c:idx val="103"/>
        <c:spPr>
          <a:solidFill>
            <a:schemeClr val="accent1"/>
          </a:solidFill>
          <a:ln w="19050">
            <a:solidFill>
              <a:schemeClr val="lt1"/>
            </a:solidFill>
          </a:ln>
          <a:effectLst/>
        </c:spPr>
      </c:pivotFmt>
      <c:pivotFmt>
        <c:idx val="104"/>
        <c:spPr>
          <a:solidFill>
            <a:schemeClr val="accent1"/>
          </a:solidFill>
          <a:ln w="19050">
            <a:solidFill>
              <a:schemeClr val="lt1"/>
            </a:solidFill>
          </a:ln>
          <a:effectLst/>
        </c:spPr>
      </c:pivotFmt>
      <c:pivotFmt>
        <c:idx val="105"/>
        <c:spPr>
          <a:solidFill>
            <a:schemeClr val="accent1"/>
          </a:solidFill>
          <a:ln w="19050">
            <a:solidFill>
              <a:schemeClr val="lt1"/>
            </a:solidFill>
          </a:ln>
          <a:effectLst/>
        </c:spPr>
      </c:pivotFmt>
      <c:pivotFmt>
        <c:idx val="106"/>
        <c:spPr>
          <a:solidFill>
            <a:schemeClr val="accent1"/>
          </a:solidFill>
          <a:ln w="19050">
            <a:solidFill>
              <a:schemeClr val="lt1"/>
            </a:solidFill>
          </a:ln>
          <a:effectLst/>
        </c:spPr>
      </c:pivotFmt>
      <c:pivotFmt>
        <c:idx val="107"/>
        <c:spPr>
          <a:solidFill>
            <a:schemeClr val="accent1"/>
          </a:solidFill>
          <a:ln w="19050">
            <a:solidFill>
              <a:schemeClr val="lt1"/>
            </a:solidFill>
          </a:ln>
          <a:effectLst/>
        </c:spPr>
      </c:pivotFmt>
      <c:pivotFmt>
        <c:idx val="108"/>
        <c:spPr>
          <a:solidFill>
            <a:schemeClr val="accent1"/>
          </a:solidFill>
          <a:ln w="19050">
            <a:solidFill>
              <a:schemeClr val="lt1"/>
            </a:solidFill>
          </a:ln>
          <a:effectLst/>
        </c:spPr>
      </c:pivotFmt>
      <c:pivotFmt>
        <c:idx val="109"/>
        <c:spPr>
          <a:solidFill>
            <a:schemeClr val="accent1"/>
          </a:solidFill>
          <a:ln w="19050">
            <a:solidFill>
              <a:schemeClr val="lt1"/>
            </a:solidFill>
          </a:ln>
          <a:effectLst/>
        </c:spPr>
      </c:pivotFmt>
      <c:pivotFmt>
        <c:idx val="110"/>
        <c:spPr>
          <a:solidFill>
            <a:schemeClr val="accent1"/>
          </a:solidFill>
          <a:ln w="19050">
            <a:solidFill>
              <a:schemeClr val="lt1"/>
            </a:solidFill>
          </a:ln>
          <a:effectLst/>
        </c:spPr>
      </c:pivotFmt>
      <c:pivotFmt>
        <c:idx val="111"/>
        <c:spPr>
          <a:solidFill>
            <a:schemeClr val="accent1"/>
          </a:solidFill>
          <a:ln w="19050">
            <a:solidFill>
              <a:schemeClr val="lt1"/>
            </a:solidFill>
          </a:ln>
          <a:effectLst/>
        </c:spPr>
      </c:pivotFmt>
      <c:pivotFmt>
        <c:idx val="112"/>
        <c:spPr>
          <a:solidFill>
            <a:schemeClr val="accent1"/>
          </a:solidFill>
          <a:ln w="19050">
            <a:solidFill>
              <a:schemeClr val="lt1"/>
            </a:solidFill>
          </a:ln>
          <a:effectLst/>
        </c:spPr>
      </c:pivotFmt>
      <c:pivotFmt>
        <c:idx val="113"/>
        <c:spPr>
          <a:solidFill>
            <a:schemeClr val="accent1"/>
          </a:solidFill>
          <a:ln w="19050">
            <a:solidFill>
              <a:schemeClr val="lt1"/>
            </a:solidFill>
          </a:ln>
          <a:effectLst/>
        </c:spPr>
      </c:pivotFmt>
      <c:pivotFmt>
        <c:idx val="114"/>
        <c:spPr>
          <a:solidFill>
            <a:schemeClr val="accent1"/>
          </a:solidFill>
          <a:ln w="19050">
            <a:solidFill>
              <a:schemeClr val="lt1"/>
            </a:solidFill>
          </a:ln>
          <a:effectLst/>
        </c:spPr>
      </c:pivotFmt>
      <c:pivotFmt>
        <c:idx val="115"/>
        <c:spPr>
          <a:solidFill>
            <a:schemeClr val="accent1"/>
          </a:solidFill>
          <a:ln w="19050">
            <a:solidFill>
              <a:schemeClr val="lt1"/>
            </a:solidFill>
          </a:ln>
          <a:effectLst/>
        </c:spPr>
      </c:pivotFmt>
      <c:pivotFmt>
        <c:idx val="116"/>
        <c:spPr>
          <a:solidFill>
            <a:schemeClr val="accent1"/>
          </a:solidFill>
          <a:ln w="19050">
            <a:solidFill>
              <a:schemeClr val="lt1"/>
            </a:solidFill>
          </a:ln>
          <a:effectLst/>
        </c:spPr>
      </c:pivotFmt>
      <c:pivotFmt>
        <c:idx val="117"/>
        <c:spPr>
          <a:solidFill>
            <a:schemeClr val="accent1"/>
          </a:solidFill>
          <a:ln w="19050">
            <a:solidFill>
              <a:schemeClr val="lt1"/>
            </a:solidFill>
          </a:ln>
          <a:effectLst/>
        </c:spPr>
      </c:pivotFmt>
      <c:pivotFmt>
        <c:idx val="118"/>
        <c:spPr>
          <a:solidFill>
            <a:schemeClr val="accent1"/>
          </a:solidFill>
          <a:ln w="19050">
            <a:solidFill>
              <a:schemeClr val="lt1"/>
            </a:solidFill>
          </a:ln>
          <a:effectLst/>
        </c:spPr>
      </c:pivotFmt>
      <c:pivotFmt>
        <c:idx val="119"/>
        <c:spPr>
          <a:solidFill>
            <a:schemeClr val="accent1"/>
          </a:solidFill>
          <a:ln w="19050">
            <a:solidFill>
              <a:schemeClr val="lt1"/>
            </a:solidFill>
          </a:ln>
          <a:effectLst/>
        </c:spPr>
      </c:pivotFmt>
      <c:pivotFmt>
        <c:idx val="120"/>
        <c:spPr>
          <a:solidFill>
            <a:schemeClr val="accent1"/>
          </a:solidFill>
          <a:ln w="19050">
            <a:solidFill>
              <a:schemeClr val="lt1"/>
            </a:solidFill>
          </a:ln>
          <a:effectLst/>
        </c:spPr>
      </c:pivotFmt>
      <c:pivotFmt>
        <c:idx val="121"/>
        <c:spPr>
          <a:solidFill>
            <a:schemeClr val="accent1"/>
          </a:solidFill>
          <a:ln w="19050">
            <a:solidFill>
              <a:schemeClr val="lt1"/>
            </a:solidFill>
          </a:ln>
          <a:effectLst/>
        </c:spPr>
      </c:pivotFmt>
      <c:pivotFmt>
        <c:idx val="122"/>
        <c:spPr>
          <a:solidFill>
            <a:schemeClr val="accent1"/>
          </a:solidFill>
          <a:ln w="19050">
            <a:solidFill>
              <a:schemeClr val="lt1"/>
            </a:solidFill>
          </a:ln>
          <a:effectLst/>
        </c:spPr>
      </c:pivotFmt>
    </c:pivotFmts>
    <c:plotArea>
      <c:layout/>
      <c:pieChart>
        <c:varyColors val="1"/>
        <c:ser>
          <c:idx val="0"/>
          <c:order val="0"/>
          <c:tx>
            <c:strRef>
              <c:f>Sheet5!$B$3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ADA-4DE3-9034-56B1CF15AC9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ADA-4DE3-9034-56B1CF15AC9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ADA-4DE3-9034-56B1CF15AC9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ADA-4DE3-9034-56B1CF15AC9E}"/>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ADA-4DE3-9034-56B1CF15AC9E}"/>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ADA-4DE3-9034-56B1CF15AC9E}"/>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ADA-4DE3-9034-56B1CF15AC9E}"/>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ADA-4DE3-9034-56B1CF15AC9E}"/>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EADA-4DE3-9034-56B1CF15AC9E}"/>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EADA-4DE3-9034-56B1CF15AC9E}"/>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EADA-4DE3-9034-56B1CF15AC9E}"/>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EADA-4DE3-9034-56B1CF15AC9E}"/>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9-EADA-4DE3-9034-56B1CF15AC9E}"/>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B-EADA-4DE3-9034-56B1CF15AC9E}"/>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EADA-4DE3-9034-56B1CF15AC9E}"/>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1F-EADA-4DE3-9034-56B1CF15AC9E}"/>
              </c:ext>
            </c:extLst>
          </c:dPt>
          <c:dPt>
            <c:idx val="16"/>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21-EADA-4DE3-9034-56B1CF15AC9E}"/>
              </c:ext>
            </c:extLst>
          </c:dPt>
          <c:dPt>
            <c:idx val="17"/>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23-EADA-4DE3-9034-56B1CF15AC9E}"/>
              </c:ext>
            </c:extLst>
          </c:dPt>
          <c:dPt>
            <c:idx val="18"/>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25-EADA-4DE3-9034-56B1CF15AC9E}"/>
              </c:ext>
            </c:extLst>
          </c:dPt>
          <c:dPt>
            <c:idx val="1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27-EADA-4DE3-9034-56B1CF15AC9E}"/>
              </c:ext>
            </c:extLst>
          </c:dPt>
          <c:dPt>
            <c:idx val="20"/>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029-EADA-4DE3-9034-56B1CF15AC9E}"/>
              </c:ext>
            </c:extLst>
          </c:dPt>
          <c:dPt>
            <c:idx val="21"/>
            <c:bubble3D val="0"/>
            <c:spPr>
              <a:solidFill>
                <a:schemeClr val="accent4">
                  <a:lumMod val="80000"/>
                </a:schemeClr>
              </a:solidFill>
              <a:ln w="19050">
                <a:solidFill>
                  <a:schemeClr val="lt1"/>
                </a:solidFill>
              </a:ln>
              <a:effectLst/>
            </c:spPr>
            <c:extLst>
              <c:ext xmlns:c16="http://schemas.microsoft.com/office/drawing/2014/chart" uri="{C3380CC4-5D6E-409C-BE32-E72D297353CC}">
                <c16:uniqueId val="{0000002B-EADA-4DE3-9034-56B1CF15AC9E}"/>
              </c:ext>
            </c:extLst>
          </c:dPt>
          <c:dPt>
            <c:idx val="22"/>
            <c:bubble3D val="0"/>
            <c:spPr>
              <a:solidFill>
                <a:schemeClr val="accent5">
                  <a:lumMod val="80000"/>
                </a:schemeClr>
              </a:solidFill>
              <a:ln w="19050">
                <a:solidFill>
                  <a:schemeClr val="lt1"/>
                </a:solidFill>
              </a:ln>
              <a:effectLst/>
            </c:spPr>
            <c:extLst>
              <c:ext xmlns:c16="http://schemas.microsoft.com/office/drawing/2014/chart" uri="{C3380CC4-5D6E-409C-BE32-E72D297353CC}">
                <c16:uniqueId val="{0000002D-EADA-4DE3-9034-56B1CF15AC9E}"/>
              </c:ext>
            </c:extLst>
          </c:dPt>
          <c:dPt>
            <c:idx val="23"/>
            <c:bubble3D val="0"/>
            <c:spPr>
              <a:solidFill>
                <a:schemeClr val="accent6">
                  <a:lumMod val="80000"/>
                </a:schemeClr>
              </a:solidFill>
              <a:ln w="19050">
                <a:solidFill>
                  <a:schemeClr val="lt1"/>
                </a:solidFill>
              </a:ln>
              <a:effectLst/>
            </c:spPr>
            <c:extLst>
              <c:ext xmlns:c16="http://schemas.microsoft.com/office/drawing/2014/chart" uri="{C3380CC4-5D6E-409C-BE32-E72D297353CC}">
                <c16:uniqueId val="{0000002F-EADA-4DE3-9034-56B1CF15AC9E}"/>
              </c:ext>
            </c:extLst>
          </c:dPt>
          <c:dPt>
            <c:idx val="24"/>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31-EADA-4DE3-9034-56B1CF15AC9E}"/>
              </c:ext>
            </c:extLst>
          </c:dPt>
          <c:dPt>
            <c:idx val="25"/>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33-EADA-4DE3-9034-56B1CF15AC9E}"/>
              </c:ext>
            </c:extLst>
          </c:dPt>
          <c:dPt>
            <c:idx val="26"/>
            <c:bubble3D val="0"/>
            <c:spPr>
              <a:solidFill>
                <a:schemeClr val="accent3">
                  <a:lumMod val="60000"/>
                  <a:lumOff val="40000"/>
                </a:schemeClr>
              </a:solidFill>
              <a:ln w="19050">
                <a:solidFill>
                  <a:schemeClr val="lt1"/>
                </a:solidFill>
              </a:ln>
              <a:effectLst/>
            </c:spPr>
            <c:extLst>
              <c:ext xmlns:c16="http://schemas.microsoft.com/office/drawing/2014/chart" uri="{C3380CC4-5D6E-409C-BE32-E72D297353CC}">
                <c16:uniqueId val="{00000035-EADA-4DE3-9034-56B1CF15AC9E}"/>
              </c:ext>
            </c:extLst>
          </c:dPt>
          <c:dPt>
            <c:idx val="27"/>
            <c:bubble3D val="0"/>
            <c:spPr>
              <a:solidFill>
                <a:schemeClr val="accent4">
                  <a:lumMod val="60000"/>
                  <a:lumOff val="40000"/>
                </a:schemeClr>
              </a:solidFill>
              <a:ln w="19050">
                <a:solidFill>
                  <a:schemeClr val="lt1"/>
                </a:solidFill>
              </a:ln>
              <a:effectLst/>
            </c:spPr>
            <c:extLst>
              <c:ext xmlns:c16="http://schemas.microsoft.com/office/drawing/2014/chart" uri="{C3380CC4-5D6E-409C-BE32-E72D297353CC}">
                <c16:uniqueId val="{00000037-EADA-4DE3-9034-56B1CF15AC9E}"/>
              </c:ext>
            </c:extLst>
          </c:dPt>
          <c:dPt>
            <c:idx val="28"/>
            <c:bubble3D val="0"/>
            <c:spPr>
              <a:solidFill>
                <a:schemeClr val="accent5">
                  <a:lumMod val="60000"/>
                  <a:lumOff val="40000"/>
                </a:schemeClr>
              </a:solidFill>
              <a:ln w="19050">
                <a:solidFill>
                  <a:schemeClr val="lt1"/>
                </a:solidFill>
              </a:ln>
              <a:effectLst/>
            </c:spPr>
            <c:extLst>
              <c:ext xmlns:c16="http://schemas.microsoft.com/office/drawing/2014/chart" uri="{C3380CC4-5D6E-409C-BE32-E72D297353CC}">
                <c16:uniqueId val="{00000039-EADA-4DE3-9034-56B1CF15AC9E}"/>
              </c:ext>
            </c:extLst>
          </c:dPt>
          <c:dPt>
            <c:idx val="29"/>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3B-EADA-4DE3-9034-56B1CF15AC9E}"/>
              </c:ext>
            </c:extLst>
          </c:dPt>
          <c:dPt>
            <c:idx val="30"/>
            <c:bubble3D val="0"/>
            <c:spPr>
              <a:solidFill>
                <a:schemeClr val="accent1">
                  <a:lumMod val="50000"/>
                </a:schemeClr>
              </a:solidFill>
              <a:ln w="19050">
                <a:solidFill>
                  <a:schemeClr val="lt1"/>
                </a:solidFill>
              </a:ln>
              <a:effectLst/>
            </c:spPr>
            <c:extLst>
              <c:ext xmlns:c16="http://schemas.microsoft.com/office/drawing/2014/chart" uri="{C3380CC4-5D6E-409C-BE32-E72D297353CC}">
                <c16:uniqueId val="{0000003D-EADA-4DE3-9034-56B1CF15AC9E}"/>
              </c:ext>
            </c:extLst>
          </c:dPt>
          <c:dPt>
            <c:idx val="31"/>
            <c:bubble3D val="0"/>
            <c:spPr>
              <a:solidFill>
                <a:schemeClr val="accent2">
                  <a:lumMod val="50000"/>
                </a:schemeClr>
              </a:solidFill>
              <a:ln w="19050">
                <a:solidFill>
                  <a:schemeClr val="lt1"/>
                </a:solidFill>
              </a:ln>
              <a:effectLst/>
            </c:spPr>
            <c:extLst>
              <c:ext xmlns:c16="http://schemas.microsoft.com/office/drawing/2014/chart" uri="{C3380CC4-5D6E-409C-BE32-E72D297353CC}">
                <c16:uniqueId val="{0000003F-EADA-4DE3-9034-56B1CF15AC9E}"/>
              </c:ext>
            </c:extLst>
          </c:dPt>
          <c:dPt>
            <c:idx val="32"/>
            <c:bubble3D val="0"/>
            <c:spPr>
              <a:solidFill>
                <a:schemeClr val="accent3">
                  <a:lumMod val="50000"/>
                </a:schemeClr>
              </a:solidFill>
              <a:ln w="19050">
                <a:solidFill>
                  <a:schemeClr val="lt1"/>
                </a:solidFill>
              </a:ln>
              <a:effectLst/>
            </c:spPr>
            <c:extLst>
              <c:ext xmlns:c16="http://schemas.microsoft.com/office/drawing/2014/chart" uri="{C3380CC4-5D6E-409C-BE32-E72D297353CC}">
                <c16:uniqueId val="{00000041-EADA-4DE3-9034-56B1CF15AC9E}"/>
              </c:ext>
            </c:extLst>
          </c:dPt>
          <c:dPt>
            <c:idx val="33"/>
            <c:bubble3D val="0"/>
            <c:spPr>
              <a:solidFill>
                <a:schemeClr val="accent4">
                  <a:lumMod val="50000"/>
                </a:schemeClr>
              </a:solidFill>
              <a:ln w="19050">
                <a:solidFill>
                  <a:schemeClr val="lt1"/>
                </a:solidFill>
              </a:ln>
              <a:effectLst/>
            </c:spPr>
            <c:extLst>
              <c:ext xmlns:c16="http://schemas.microsoft.com/office/drawing/2014/chart" uri="{C3380CC4-5D6E-409C-BE32-E72D297353CC}">
                <c16:uniqueId val="{00000043-EADA-4DE3-9034-56B1CF15AC9E}"/>
              </c:ext>
            </c:extLst>
          </c:dPt>
          <c:dPt>
            <c:idx val="34"/>
            <c:bubble3D val="0"/>
            <c:spPr>
              <a:solidFill>
                <a:schemeClr val="accent5">
                  <a:lumMod val="50000"/>
                </a:schemeClr>
              </a:solidFill>
              <a:ln w="19050">
                <a:solidFill>
                  <a:schemeClr val="lt1"/>
                </a:solidFill>
              </a:ln>
              <a:effectLst/>
            </c:spPr>
            <c:extLst>
              <c:ext xmlns:c16="http://schemas.microsoft.com/office/drawing/2014/chart" uri="{C3380CC4-5D6E-409C-BE32-E72D297353CC}">
                <c16:uniqueId val="{00000045-EADA-4DE3-9034-56B1CF15AC9E}"/>
              </c:ext>
            </c:extLst>
          </c:dPt>
          <c:dPt>
            <c:idx val="35"/>
            <c:bubble3D val="0"/>
            <c:spPr>
              <a:solidFill>
                <a:schemeClr val="accent6">
                  <a:lumMod val="50000"/>
                </a:schemeClr>
              </a:solidFill>
              <a:ln w="19050">
                <a:solidFill>
                  <a:schemeClr val="lt1"/>
                </a:solidFill>
              </a:ln>
              <a:effectLst/>
            </c:spPr>
            <c:extLst>
              <c:ext xmlns:c16="http://schemas.microsoft.com/office/drawing/2014/chart" uri="{C3380CC4-5D6E-409C-BE32-E72D297353CC}">
                <c16:uniqueId val="{00000047-EADA-4DE3-9034-56B1CF15AC9E}"/>
              </c:ext>
            </c:extLst>
          </c:dPt>
          <c:dPt>
            <c:idx val="36"/>
            <c:bubble3D val="0"/>
            <c:spPr>
              <a:solidFill>
                <a:schemeClr val="accent1">
                  <a:lumMod val="70000"/>
                  <a:lumOff val="30000"/>
                </a:schemeClr>
              </a:solidFill>
              <a:ln w="19050">
                <a:solidFill>
                  <a:schemeClr val="lt1"/>
                </a:solidFill>
              </a:ln>
              <a:effectLst/>
            </c:spPr>
            <c:extLst>
              <c:ext xmlns:c16="http://schemas.microsoft.com/office/drawing/2014/chart" uri="{C3380CC4-5D6E-409C-BE32-E72D297353CC}">
                <c16:uniqueId val="{00000049-EADA-4DE3-9034-56B1CF15AC9E}"/>
              </c:ext>
            </c:extLst>
          </c:dPt>
          <c:dPt>
            <c:idx val="37"/>
            <c:bubble3D val="0"/>
            <c:spPr>
              <a:solidFill>
                <a:schemeClr val="accent2">
                  <a:lumMod val="70000"/>
                  <a:lumOff val="30000"/>
                </a:schemeClr>
              </a:solidFill>
              <a:ln w="19050">
                <a:solidFill>
                  <a:schemeClr val="lt1"/>
                </a:solidFill>
              </a:ln>
              <a:effectLst/>
            </c:spPr>
            <c:extLst>
              <c:ext xmlns:c16="http://schemas.microsoft.com/office/drawing/2014/chart" uri="{C3380CC4-5D6E-409C-BE32-E72D297353CC}">
                <c16:uniqueId val="{0000004B-EADA-4DE3-9034-56B1CF15AC9E}"/>
              </c:ext>
            </c:extLst>
          </c:dPt>
          <c:dPt>
            <c:idx val="38"/>
            <c:bubble3D val="0"/>
            <c:spPr>
              <a:solidFill>
                <a:schemeClr val="accent3">
                  <a:lumMod val="70000"/>
                  <a:lumOff val="30000"/>
                </a:schemeClr>
              </a:solidFill>
              <a:ln w="19050">
                <a:solidFill>
                  <a:schemeClr val="lt1"/>
                </a:solidFill>
              </a:ln>
              <a:effectLst/>
            </c:spPr>
            <c:extLst>
              <c:ext xmlns:c16="http://schemas.microsoft.com/office/drawing/2014/chart" uri="{C3380CC4-5D6E-409C-BE32-E72D297353CC}">
                <c16:uniqueId val="{0000004D-EADA-4DE3-9034-56B1CF15AC9E}"/>
              </c:ext>
            </c:extLst>
          </c:dPt>
          <c:dPt>
            <c:idx val="39"/>
            <c:bubble3D val="0"/>
            <c:spPr>
              <a:solidFill>
                <a:schemeClr val="accent4">
                  <a:lumMod val="70000"/>
                  <a:lumOff val="30000"/>
                </a:schemeClr>
              </a:solidFill>
              <a:ln w="19050">
                <a:solidFill>
                  <a:schemeClr val="lt1"/>
                </a:solidFill>
              </a:ln>
              <a:effectLst/>
            </c:spPr>
            <c:extLst>
              <c:ext xmlns:c16="http://schemas.microsoft.com/office/drawing/2014/chart" uri="{C3380CC4-5D6E-409C-BE32-E72D297353CC}">
                <c16:uniqueId val="{0000004F-EADA-4DE3-9034-56B1CF15AC9E}"/>
              </c:ext>
            </c:extLst>
          </c:dPt>
          <c:cat>
            <c:strRef>
              <c:f>Sheet5!$A$4:$A$44</c:f>
              <c:strCache>
                <c:ptCount val="40"/>
                <c:pt idx="0">
                  <c:v>Argentina</c:v>
                </c:pt>
                <c:pt idx="1">
                  <c:v>Australia</c:v>
                </c:pt>
                <c:pt idx="2">
                  <c:v>Bangladesh</c:v>
                </c:pt>
                <c:pt idx="3">
                  <c:v>Belgium</c:v>
                </c:pt>
                <c:pt idx="4">
                  <c:v>Brazil</c:v>
                </c:pt>
                <c:pt idx="5">
                  <c:v>Canada</c:v>
                </c:pt>
                <c:pt idx="6">
                  <c:v>China</c:v>
                </c:pt>
                <c:pt idx="7">
                  <c:v>Colombia</c:v>
                </c:pt>
                <c:pt idx="8">
                  <c:v>Czech Republic</c:v>
                </c:pt>
                <c:pt idx="9">
                  <c:v>Egypt</c:v>
                </c:pt>
                <c:pt idx="10">
                  <c:v>France</c:v>
                </c:pt>
                <c:pt idx="11">
                  <c:v>Germany</c:v>
                </c:pt>
                <c:pt idx="12">
                  <c:v>Hungary</c:v>
                </c:pt>
                <c:pt idx="13">
                  <c:v>India</c:v>
                </c:pt>
                <c:pt idx="14">
                  <c:v>Indonesia</c:v>
                </c:pt>
                <c:pt idx="15">
                  <c:v>Iran</c:v>
                </c:pt>
                <c:pt idx="16">
                  <c:v>Israel</c:v>
                </c:pt>
                <c:pt idx="17">
                  <c:v>Italy</c:v>
                </c:pt>
                <c:pt idx="18">
                  <c:v>Japan</c:v>
                </c:pt>
                <c:pt idx="19">
                  <c:v>Kenya</c:v>
                </c:pt>
                <c:pt idx="20">
                  <c:v>Mexico</c:v>
                </c:pt>
                <c:pt idx="21">
                  <c:v>Netherlands</c:v>
                </c:pt>
                <c:pt idx="22">
                  <c:v>Nigeria</c:v>
                </c:pt>
                <c:pt idx="23">
                  <c:v>Peru</c:v>
                </c:pt>
                <c:pt idx="24">
                  <c:v>Philippines</c:v>
                </c:pt>
                <c:pt idx="25">
                  <c:v>Poland</c:v>
                </c:pt>
                <c:pt idx="26">
                  <c:v>Russia</c:v>
                </c:pt>
                <c:pt idx="27">
                  <c:v>Saudi Arabia</c:v>
                </c:pt>
                <c:pt idx="28">
                  <c:v>Singapore</c:v>
                </c:pt>
                <c:pt idx="29">
                  <c:v>South Africa</c:v>
                </c:pt>
                <c:pt idx="30">
                  <c:v>South Korea</c:v>
                </c:pt>
                <c:pt idx="31">
                  <c:v>Spain</c:v>
                </c:pt>
                <c:pt idx="32">
                  <c:v>Sweden</c:v>
                </c:pt>
                <c:pt idx="33">
                  <c:v>Switzerland</c:v>
                </c:pt>
                <c:pt idx="34">
                  <c:v>Thailand</c:v>
                </c:pt>
                <c:pt idx="35">
                  <c:v>Turkey</c:v>
                </c:pt>
                <c:pt idx="36">
                  <c:v>Ukraine</c:v>
                </c:pt>
                <c:pt idx="37">
                  <c:v>United Kingdom</c:v>
                </c:pt>
                <c:pt idx="38">
                  <c:v>United States</c:v>
                </c:pt>
                <c:pt idx="39">
                  <c:v>Vietnam</c:v>
                </c:pt>
              </c:strCache>
            </c:strRef>
          </c:cat>
          <c:val>
            <c:numRef>
              <c:f>Sheet5!$B$4:$B$44</c:f>
              <c:numCache>
                <c:formatCode>General</c:formatCode>
                <c:ptCount val="40"/>
                <c:pt idx="0">
                  <c:v>124</c:v>
                </c:pt>
                <c:pt idx="1">
                  <c:v>5</c:v>
                </c:pt>
                <c:pt idx="2">
                  <c:v>5.6</c:v>
                </c:pt>
                <c:pt idx="3">
                  <c:v>5.3</c:v>
                </c:pt>
                <c:pt idx="4">
                  <c:v>5.4</c:v>
                </c:pt>
                <c:pt idx="5">
                  <c:v>4.0999999999999996</c:v>
                </c:pt>
                <c:pt idx="6">
                  <c:v>1.9</c:v>
                </c:pt>
                <c:pt idx="7">
                  <c:v>5</c:v>
                </c:pt>
                <c:pt idx="8">
                  <c:v>3.6</c:v>
                </c:pt>
                <c:pt idx="9">
                  <c:v>22</c:v>
                </c:pt>
                <c:pt idx="10">
                  <c:v>5.6</c:v>
                </c:pt>
                <c:pt idx="11">
                  <c:v>6</c:v>
                </c:pt>
                <c:pt idx="12">
                  <c:v>9</c:v>
                </c:pt>
                <c:pt idx="13">
                  <c:v>4.5</c:v>
                </c:pt>
                <c:pt idx="14">
                  <c:v>3.1</c:v>
                </c:pt>
                <c:pt idx="15">
                  <c:v>48</c:v>
                </c:pt>
                <c:pt idx="16">
                  <c:v>2.2999999999999998</c:v>
                </c:pt>
                <c:pt idx="17">
                  <c:v>5</c:v>
                </c:pt>
                <c:pt idx="18">
                  <c:v>2.8</c:v>
                </c:pt>
                <c:pt idx="19">
                  <c:v>7.5</c:v>
                </c:pt>
                <c:pt idx="20">
                  <c:v>4</c:v>
                </c:pt>
                <c:pt idx="21">
                  <c:v>4.9000000000000004</c:v>
                </c:pt>
                <c:pt idx="22">
                  <c:v>18</c:v>
                </c:pt>
                <c:pt idx="23">
                  <c:v>4.2</c:v>
                </c:pt>
                <c:pt idx="24">
                  <c:v>3.8</c:v>
                </c:pt>
                <c:pt idx="25">
                  <c:v>3.5</c:v>
                </c:pt>
                <c:pt idx="26">
                  <c:v>4.5</c:v>
                </c:pt>
                <c:pt idx="27">
                  <c:v>2.1</c:v>
                </c:pt>
                <c:pt idx="28">
                  <c:v>2.5</c:v>
                </c:pt>
                <c:pt idx="29">
                  <c:v>6.2</c:v>
                </c:pt>
                <c:pt idx="30">
                  <c:v>4.5999999999999996</c:v>
                </c:pt>
                <c:pt idx="31">
                  <c:v>4.0999999999999996</c:v>
                </c:pt>
                <c:pt idx="32">
                  <c:v>4.5</c:v>
                </c:pt>
                <c:pt idx="33">
                  <c:v>3</c:v>
                </c:pt>
                <c:pt idx="34">
                  <c:v>1.5</c:v>
                </c:pt>
                <c:pt idx="35">
                  <c:v>50</c:v>
                </c:pt>
                <c:pt idx="36">
                  <c:v>24</c:v>
                </c:pt>
                <c:pt idx="37">
                  <c:v>6.5</c:v>
                </c:pt>
                <c:pt idx="38">
                  <c:v>3.7</c:v>
                </c:pt>
                <c:pt idx="39">
                  <c:v>3</c:v>
                </c:pt>
              </c:numCache>
            </c:numRef>
          </c:val>
          <c:extLst>
            <c:ext xmlns:c16="http://schemas.microsoft.com/office/drawing/2014/chart" uri="{C3380CC4-5D6E-409C-BE32-E72D297353CC}">
              <c16:uniqueId val="{00000050-EADA-4DE3-9034-56B1CF15AC9E}"/>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[Project.xlsx]Sheet6!PivotTable5</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Sheet6!$B$3</c:f>
              <c:strCache>
                <c:ptCount val="1"/>
                <c:pt idx="0">
                  <c:v>Total</c:v>
                </c:pt>
              </c:strCache>
            </c:strRef>
          </c:tx>
          <c:spPr>
            <a:solidFill>
              <a:schemeClr val="accent1"/>
            </a:solidFill>
            <a:ln>
              <a:noFill/>
            </a:ln>
            <a:effectLst/>
          </c:spPr>
          <c:invertIfNegative val="0"/>
          <c:cat>
            <c:strRef>
              <c:f>Sheet6!$A$4:$A$44</c:f>
              <c:strCache>
                <c:ptCount val="40"/>
                <c:pt idx="0">
                  <c:v>Russia</c:v>
                </c:pt>
                <c:pt idx="1">
                  <c:v>Saudi Arabia</c:v>
                </c:pt>
                <c:pt idx="2">
                  <c:v>Nigeria</c:v>
                </c:pt>
                <c:pt idx="3">
                  <c:v>Peru</c:v>
                </c:pt>
                <c:pt idx="4">
                  <c:v>Bangladesh</c:v>
                </c:pt>
                <c:pt idx="5">
                  <c:v>Indonesia</c:v>
                </c:pt>
                <c:pt idx="6">
                  <c:v>Sweden</c:v>
                </c:pt>
                <c:pt idx="7">
                  <c:v>Turkey</c:v>
                </c:pt>
                <c:pt idx="8">
                  <c:v>Iran</c:v>
                </c:pt>
                <c:pt idx="9">
                  <c:v>Australia</c:v>
                </c:pt>
                <c:pt idx="10">
                  <c:v>Switzerland</c:v>
                </c:pt>
                <c:pt idx="11">
                  <c:v>Czech Republic</c:v>
                </c:pt>
                <c:pt idx="12">
                  <c:v>South Korea</c:v>
                </c:pt>
                <c:pt idx="13">
                  <c:v>Vietnam</c:v>
                </c:pt>
                <c:pt idx="14">
                  <c:v>Canada</c:v>
                </c:pt>
                <c:pt idx="15">
                  <c:v>Poland</c:v>
                </c:pt>
                <c:pt idx="16">
                  <c:v>Netherlands</c:v>
                </c:pt>
                <c:pt idx="17">
                  <c:v>Mexico</c:v>
                </c:pt>
                <c:pt idx="18">
                  <c:v>Thailand</c:v>
                </c:pt>
                <c:pt idx="19">
                  <c:v>Ukraine</c:v>
                </c:pt>
                <c:pt idx="20">
                  <c:v>Israel</c:v>
                </c:pt>
                <c:pt idx="21">
                  <c:v>Philippines</c:v>
                </c:pt>
                <c:pt idx="22">
                  <c:v>Kenya</c:v>
                </c:pt>
                <c:pt idx="23">
                  <c:v>Colombia</c:v>
                </c:pt>
                <c:pt idx="24">
                  <c:v>China</c:v>
                </c:pt>
                <c:pt idx="25">
                  <c:v>Germany</c:v>
                </c:pt>
                <c:pt idx="26">
                  <c:v>Argentina</c:v>
                </c:pt>
                <c:pt idx="27">
                  <c:v>Hungary</c:v>
                </c:pt>
                <c:pt idx="28">
                  <c:v>South Africa</c:v>
                </c:pt>
                <c:pt idx="29">
                  <c:v>India</c:v>
                </c:pt>
                <c:pt idx="30">
                  <c:v>Brazil</c:v>
                </c:pt>
                <c:pt idx="31">
                  <c:v>Egypt</c:v>
                </c:pt>
                <c:pt idx="32">
                  <c:v>United Kingdom</c:v>
                </c:pt>
                <c:pt idx="33">
                  <c:v>Belgium</c:v>
                </c:pt>
                <c:pt idx="34">
                  <c:v>Singapore</c:v>
                </c:pt>
                <c:pt idx="35">
                  <c:v>Spain</c:v>
                </c:pt>
                <c:pt idx="36">
                  <c:v>France</c:v>
                </c:pt>
                <c:pt idx="37">
                  <c:v>United States</c:v>
                </c:pt>
                <c:pt idx="38">
                  <c:v>Italy</c:v>
                </c:pt>
                <c:pt idx="39">
                  <c:v>Japan</c:v>
                </c:pt>
              </c:strCache>
            </c:strRef>
          </c:cat>
          <c:val>
            <c:numRef>
              <c:f>Sheet6!$B$4:$B$44</c:f>
              <c:numCache>
                <c:formatCode>General</c:formatCode>
                <c:ptCount val="40"/>
                <c:pt idx="0">
                  <c:v>20</c:v>
                </c:pt>
                <c:pt idx="1">
                  <c:v>25</c:v>
                </c:pt>
                <c:pt idx="2">
                  <c:v>35</c:v>
                </c:pt>
                <c:pt idx="3">
                  <c:v>35</c:v>
                </c:pt>
                <c:pt idx="4">
                  <c:v>37</c:v>
                </c:pt>
                <c:pt idx="5">
                  <c:v>38</c:v>
                </c:pt>
                <c:pt idx="6">
                  <c:v>39</c:v>
                </c:pt>
                <c:pt idx="7">
                  <c:v>40</c:v>
                </c:pt>
                <c:pt idx="8">
                  <c:v>40</c:v>
                </c:pt>
                <c:pt idx="9">
                  <c:v>40</c:v>
                </c:pt>
                <c:pt idx="10">
                  <c:v>40</c:v>
                </c:pt>
                <c:pt idx="11">
                  <c:v>43</c:v>
                </c:pt>
                <c:pt idx="12">
                  <c:v>47</c:v>
                </c:pt>
                <c:pt idx="13">
                  <c:v>48</c:v>
                </c:pt>
                <c:pt idx="14">
                  <c:v>50</c:v>
                </c:pt>
                <c:pt idx="15">
                  <c:v>50</c:v>
                </c:pt>
                <c:pt idx="16">
                  <c:v>55</c:v>
                </c:pt>
                <c:pt idx="17">
                  <c:v>60</c:v>
                </c:pt>
                <c:pt idx="18">
                  <c:v>60</c:v>
                </c:pt>
                <c:pt idx="19">
                  <c:v>60</c:v>
                </c:pt>
                <c:pt idx="20">
                  <c:v>60</c:v>
                </c:pt>
                <c:pt idx="21">
                  <c:v>61</c:v>
                </c:pt>
                <c:pt idx="22">
                  <c:v>64</c:v>
                </c:pt>
                <c:pt idx="23">
                  <c:v>64</c:v>
                </c:pt>
                <c:pt idx="24">
                  <c:v>70</c:v>
                </c:pt>
                <c:pt idx="25">
                  <c:v>70</c:v>
                </c:pt>
                <c:pt idx="26">
                  <c:v>80</c:v>
                </c:pt>
                <c:pt idx="27">
                  <c:v>80</c:v>
                </c:pt>
                <c:pt idx="28">
                  <c:v>80</c:v>
                </c:pt>
                <c:pt idx="29">
                  <c:v>83</c:v>
                </c:pt>
                <c:pt idx="30">
                  <c:v>90</c:v>
                </c:pt>
                <c:pt idx="31">
                  <c:v>95</c:v>
                </c:pt>
                <c:pt idx="32">
                  <c:v>97</c:v>
                </c:pt>
                <c:pt idx="33">
                  <c:v>102</c:v>
                </c:pt>
                <c:pt idx="34">
                  <c:v>110</c:v>
                </c:pt>
                <c:pt idx="35">
                  <c:v>113</c:v>
                </c:pt>
                <c:pt idx="36">
                  <c:v>113</c:v>
                </c:pt>
                <c:pt idx="37">
                  <c:v>120</c:v>
                </c:pt>
                <c:pt idx="38">
                  <c:v>144</c:v>
                </c:pt>
                <c:pt idx="39">
                  <c:v>260</c:v>
                </c:pt>
              </c:numCache>
            </c:numRef>
          </c:val>
          <c:extLst>
            <c:ext xmlns:c16="http://schemas.microsoft.com/office/drawing/2014/chart" uri="{C3380CC4-5D6E-409C-BE32-E72D297353CC}">
              <c16:uniqueId val="{00000000-1ACC-4859-9140-CB2D4AE5606A}"/>
            </c:ext>
          </c:extLst>
        </c:ser>
        <c:dLbls>
          <c:showLegendKey val="0"/>
          <c:showVal val="0"/>
          <c:showCatName val="0"/>
          <c:showSerName val="0"/>
          <c:showPercent val="0"/>
          <c:showBubbleSize val="0"/>
        </c:dLbls>
        <c:gapWidth val="150"/>
        <c:overlap val="100"/>
        <c:axId val="1532930175"/>
        <c:axId val="1532930591"/>
      </c:barChart>
      <c:catAx>
        <c:axId val="15329301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2930591"/>
        <c:crosses val="autoZero"/>
        <c:auto val="1"/>
        <c:lblAlgn val="ctr"/>
        <c:lblOffset val="100"/>
        <c:noMultiLvlLbl val="0"/>
      </c:catAx>
      <c:valAx>
        <c:axId val="1532930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293017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F894D-B0B0-4189-B473-5D650A054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dc:creator>
  <cp:keywords/>
  <dc:description/>
  <cp:lastModifiedBy>Sathi</cp:lastModifiedBy>
  <cp:revision>2</cp:revision>
  <dcterms:created xsi:type="dcterms:W3CDTF">2024-10-04T16:46:00Z</dcterms:created>
  <dcterms:modified xsi:type="dcterms:W3CDTF">2024-10-04T16:46:00Z</dcterms:modified>
</cp:coreProperties>
</file>