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media/image51.png" ContentType="image/png"/>
  <Override PartName="/word/media/image49.png" ContentType="image/png"/>
  <Override PartName="/word/media/image48.png" ContentType="image/png"/>
  <Override PartName="/word/media/image47.png" ContentType="image/png"/>
  <Override PartName="/word/media/image50.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6.png" ContentType="image/png"/>
  <Override PartName="/word/media/image40.wmf" ContentType="image/x-wmf"/>
  <Override PartName="/word/media/image3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2063115" cy="196024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63115" cy="1960245"/>
                    </a:xfrm>
                    <a:prstGeom prst="rect">
                      <a:avLst/>
                    </a:prstGeom>
                    <a:noFill/>
                    <a:ln w="9525">
                      <a:noFill/>
                      <a:miter lim="800000"/>
                      <a:headEnd/>
                      <a:tailEnd/>
                    </a:ln>
                  </pic:spPr>
                </pic:pic>
              </a:graphicData>
            </a:graphic>
          </wp:inline>
        </w:drawing>
      </w:r>
      <w:r>
        <w:rPr/>
        <w:drawing>
          <wp:inline distT="0" distB="0" distL="0" distR="0">
            <wp:extent cx="1938655" cy="1972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38655" cy="1972310"/>
                    </a:xfrm>
                    <a:prstGeom prst="rect">
                      <a:avLst/>
                    </a:prstGeom>
                    <a:noFill/>
                    <a:ln w="9525">
                      <a:noFill/>
                      <a:miter lim="800000"/>
                      <a:headEnd/>
                      <a:tailEnd/>
                    </a:ln>
                  </pic:spPr>
                </pic:pic>
              </a:graphicData>
            </a:graphic>
          </wp:inline>
        </w:drawing>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Default"/>
        <w:jc w:val="center"/>
        <w:rPr>
          <w:rFonts w:cs="Arial" w:ascii="Arial" w:hAnsi="Arial"/>
          <w:b/>
          <w:bCs/>
          <w:sz w:val="28"/>
          <w:szCs w:val="20"/>
        </w:rPr>
      </w:pPr>
      <w:r>
        <w:rPr>
          <w:rFonts w:cs="Arial" w:ascii="Arial" w:hAnsi="Arial"/>
          <w:b/>
          <w:bCs/>
          <w:sz w:val="28"/>
          <w:szCs w:val="20"/>
        </w:rPr>
        <w:t>A NOVEL COMPARISION OF KNAPSACK PROBLEM</w:t>
      </w:r>
    </w:p>
    <w:p>
      <w:pPr>
        <w:pStyle w:val="Default"/>
        <w:jc w:val="center"/>
        <w:rPr>
          <w:rFonts w:cs="Arial" w:ascii="Arial" w:hAnsi="Arial"/>
          <w:b/>
          <w:bCs/>
          <w:sz w:val="28"/>
          <w:szCs w:val="20"/>
        </w:rPr>
      </w:pPr>
      <w:r>
        <w:rPr>
          <w:rFonts w:cs="Arial" w:ascii="Arial" w:hAnsi="Arial"/>
          <w:b/>
          <w:bCs/>
          <w:sz w:val="28"/>
          <w:szCs w:val="20"/>
        </w:rPr>
        <w:t xml:space="preserve"> </w:t>
      </w:r>
      <w:r>
        <w:rPr>
          <w:rFonts w:cs="Arial" w:ascii="Arial" w:hAnsi="Arial"/>
          <w:b/>
          <w:bCs/>
          <w:sz w:val="28"/>
          <w:szCs w:val="20"/>
        </w:rPr>
        <w:t>COMPUTATION TIME IN PYTHON AND R</w:t>
      </w:r>
    </w:p>
    <w:p>
      <w:pPr>
        <w:pStyle w:val="Default"/>
        <w:jc w:val="center"/>
        <w:rPr>
          <w:rFonts w:cs="Arial" w:ascii="Arial" w:hAnsi="Arial"/>
          <w:sz w:val="20"/>
          <w:szCs w:val="20"/>
        </w:rPr>
      </w:pPr>
      <w:r>
        <w:rPr>
          <w:rFonts w:cs="Arial" w:ascii="Arial" w:hAnsi="Arial"/>
          <w:sz w:val="20"/>
          <w:szCs w:val="20"/>
        </w:rPr>
      </w:r>
    </w:p>
    <w:p>
      <w:pPr>
        <w:pStyle w:val="Default"/>
        <w:jc w:val="center"/>
        <w:rPr>
          <w:rFonts w:cs="Arial" w:ascii="Arial" w:hAnsi="Arial"/>
          <w:szCs w:val="20"/>
        </w:rPr>
      </w:pPr>
      <w:r>
        <w:rPr>
          <w:rFonts w:cs="Arial" w:ascii="Arial" w:hAnsi="Arial"/>
          <w:szCs w:val="20"/>
        </w:rPr>
        <w:t>PROJECT FOR OPER 610: LINEAR PROGRAMMING</w:t>
      </w:r>
    </w:p>
    <w:p>
      <w:pPr>
        <w:pStyle w:val="Default"/>
        <w:jc w:val="center"/>
        <w:rPr>
          <w:rFonts w:cs="Arial" w:ascii="Arial" w:hAnsi="Arial"/>
          <w:szCs w:val="20"/>
        </w:rPr>
      </w:pPr>
      <w:r>
        <w:rPr>
          <w:rFonts w:cs="Arial" w:ascii="Arial" w:hAnsi="Arial"/>
          <w:szCs w:val="20"/>
        </w:rPr>
      </w:r>
    </w:p>
    <w:p>
      <w:pPr>
        <w:pStyle w:val="Default"/>
        <w:jc w:val="center"/>
        <w:rPr>
          <w:rFonts w:cs="Arial" w:ascii="Arial" w:hAnsi="Arial"/>
          <w:szCs w:val="20"/>
        </w:rPr>
      </w:pPr>
      <w:r>
        <w:rPr>
          <w:rFonts w:cs="Arial" w:ascii="Arial" w:hAnsi="Arial"/>
          <w:szCs w:val="20"/>
        </w:rPr>
        <w:t>Matthew D. Ferguson, Major, U.S. Army</w:t>
      </w:r>
    </w:p>
    <w:p>
      <w:pPr>
        <w:pStyle w:val="Normal"/>
        <w:jc w:val="center"/>
        <w:rPr>
          <w:rFonts w:cs="Arial" w:ascii="Arial" w:hAnsi="Arial"/>
          <w:sz w:val="24"/>
          <w:szCs w:val="20"/>
        </w:rPr>
      </w:pPr>
      <w:r>
        <w:rPr>
          <w:rFonts w:cs="Arial" w:ascii="Arial" w:hAnsi="Arial"/>
          <w:sz w:val="24"/>
          <w:szCs w:val="20"/>
        </w:rPr>
        <w:t>AFIT-ENS-17-M-1</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r>
    </w:p>
    <w:p>
      <w:pPr>
        <w:pStyle w:val="Normal"/>
        <w:spacing w:lineRule="auto" w:line="240" w:before="0" w:after="0"/>
        <w:jc w:val="center"/>
        <w:rPr>
          <w:rFonts w:cs="Arial" w:ascii="Arial" w:hAnsi="Arial"/>
          <w:b/>
          <w:bCs/>
          <w:color w:val="000000"/>
          <w:sz w:val="23"/>
          <w:szCs w:val="23"/>
        </w:rPr>
      </w:pPr>
      <w:r>
        <w:rPr>
          <w:rFonts w:cs="Arial" w:ascii="Arial" w:hAnsi="Arial"/>
          <w:b/>
          <w:bCs/>
          <w:color w:val="000000"/>
          <w:sz w:val="23"/>
          <w:szCs w:val="23"/>
        </w:rPr>
        <w:t>DEPARTMENT OF THE AIR FORCE</w:t>
      </w:r>
    </w:p>
    <w:p>
      <w:pPr>
        <w:pStyle w:val="Normal"/>
        <w:spacing w:lineRule="auto" w:line="240" w:before="0" w:after="0"/>
        <w:jc w:val="center"/>
        <w:rPr>
          <w:rFonts w:cs="Arial" w:ascii="Arial" w:hAnsi="Arial"/>
          <w:b/>
          <w:bCs/>
          <w:color w:val="000000"/>
          <w:sz w:val="23"/>
          <w:szCs w:val="23"/>
        </w:rPr>
      </w:pPr>
      <w:r>
        <w:rPr>
          <w:rFonts w:cs="Arial" w:ascii="Arial" w:hAnsi="Arial"/>
          <w:b/>
          <w:bCs/>
          <w:color w:val="000000"/>
          <w:sz w:val="23"/>
          <w:szCs w:val="23"/>
        </w:rPr>
        <w:t>AIR UNIVERSITY</w:t>
      </w:r>
    </w:p>
    <w:p>
      <w:pPr>
        <w:pStyle w:val="Normal"/>
        <w:spacing w:lineRule="auto" w:line="240" w:before="0" w:after="0"/>
        <w:jc w:val="center"/>
        <w:rPr>
          <w:rFonts w:cs="Arial" w:ascii="Arial" w:hAnsi="Arial"/>
          <w:b/>
          <w:bCs/>
          <w:color w:val="000000"/>
          <w:sz w:val="36"/>
          <w:szCs w:val="36"/>
          <w:u w:val="thick"/>
        </w:rPr>
      </w:pPr>
      <w:r>
        <w:rPr>
          <w:rFonts w:cs="Arial" w:ascii="Arial" w:hAnsi="Arial"/>
          <w:b/>
          <w:bCs/>
          <w:color w:val="000000"/>
          <w:sz w:val="36"/>
          <w:szCs w:val="36"/>
          <w:u w:val="thick"/>
        </w:rPr>
        <w:t>AIR FORCE INSTITUTE OF TECHNOLOGY</w:t>
      </w:r>
    </w:p>
    <w:p>
      <w:pPr>
        <w:pStyle w:val="Normal"/>
        <w:spacing w:lineRule="auto" w:line="240" w:before="0" w:after="0"/>
        <w:rPr>
          <w:rFonts w:cs="Arial" w:ascii="Arial" w:hAnsi="Arial"/>
          <w:b/>
          <w:bCs/>
          <w:color w:val="000000"/>
          <w:sz w:val="14"/>
          <w:szCs w:val="23"/>
        </w:rPr>
      </w:pPr>
      <w:r>
        <w:rPr>
          <w:rFonts w:cs="Arial" w:ascii="Arial" w:hAnsi="Arial"/>
          <w:b/>
          <w:bCs/>
          <w:color w:val="000000"/>
          <w:sz w:val="14"/>
          <w:szCs w:val="23"/>
        </w:rPr>
        <w:pict>
          <v:line id="shape_0" from="39.65pt,5.55pt" to="426.85pt,5.55pt" stroked="t" style="position:absolute">
            <v:stroke color="black" joinstyle="round" endcap="flat"/>
            <v:fill on="false" detectmouseclick="t"/>
          </v:line>
        </w:pict>
      </w:r>
    </w:p>
    <w:p>
      <w:pPr>
        <w:pStyle w:val="Normal"/>
        <w:jc w:val="center"/>
        <w:rPr>
          <w:rFonts w:cs="Arial" w:ascii="Arial" w:hAnsi="Arial"/>
          <w:b/>
          <w:bCs/>
          <w:color w:val="000000"/>
          <w:sz w:val="23"/>
          <w:szCs w:val="23"/>
        </w:rPr>
      </w:pPr>
      <w:r>
        <w:rPr>
          <w:rFonts w:cs="Arial" w:ascii="Arial" w:hAnsi="Arial"/>
          <w:b/>
          <w:bCs/>
          <w:color w:val="000000"/>
          <w:sz w:val="23"/>
          <w:szCs w:val="23"/>
        </w:rPr>
        <w:t>Wright-Patterson Air Force Base, Ohio</w:t>
      </w:r>
    </w:p>
    <w:p>
      <w:pPr>
        <w:pStyle w:val="Normal"/>
        <w:rPr>
          <w:rFonts w:cs="Arial" w:ascii="Arial" w:hAnsi="Arial"/>
          <w:b/>
          <w:bCs/>
          <w:color w:val="000000"/>
          <w:sz w:val="23"/>
          <w:szCs w:val="23"/>
        </w:rPr>
      </w:pPr>
      <w:r>
        <w:rPr>
          <w:rFonts w:cs="Arial" w:ascii="Arial" w:hAnsi="Arial"/>
          <w:b/>
          <w:bCs/>
          <w:color w:val="000000"/>
          <w:sz w:val="23"/>
          <w:szCs w:val="23"/>
        </w:rPr>
      </w:r>
    </w:p>
    <w:p>
      <w:pPr>
        <w:pStyle w:val="Normal"/>
        <w:pageBreakBefore/>
        <w:jc w:val="center"/>
        <w:rPr>
          <w:rFonts w:ascii="Arial" w:hAnsi="Arial"/>
          <w:sz w:val="22"/>
          <w:szCs w:val="22"/>
        </w:rPr>
      </w:pPr>
      <w:r>
        <w:rPr>
          <w:rFonts w:ascii="Arial" w:hAnsi="Arial"/>
          <w:sz w:val="22"/>
          <w:szCs w:val="22"/>
        </w:rPr>
      </w:r>
    </w:p>
    <w:p>
      <w:pPr>
        <w:pStyle w:val="Normal"/>
        <w:rPr>
          <w:rFonts w:cs="Arial" w:ascii="Arial" w:hAnsi="Arial"/>
          <w:sz w:val="24"/>
          <w:szCs w:val="24"/>
          <w:u w:val="single"/>
        </w:rPr>
      </w:pPr>
      <w:bookmarkStart w:id="0" w:name="_GoBack"/>
      <w:bookmarkEnd w:id="0"/>
      <w:r>
        <w:rPr>
          <w:rFonts w:cs="Arial" w:ascii="Arial" w:hAnsi="Arial"/>
          <w:sz w:val="24"/>
          <w:szCs w:val="24"/>
          <w:u w:val="single"/>
        </w:rPr>
        <w:t>Project Objectives:</w:t>
      </w:r>
    </w:p>
    <w:p>
      <w:pPr>
        <w:pStyle w:val="Normal"/>
        <w:rPr>
          <w:rFonts w:cs="Arial" w:ascii="Arial" w:hAnsi="Arial"/>
          <w:sz w:val="22"/>
          <w:szCs w:val="22"/>
        </w:rPr>
      </w:pPr>
      <w:r>
        <w:rPr>
          <w:rFonts w:cs="Arial" w:ascii="Arial" w:hAnsi="Arial"/>
          <w:sz w:val="22"/>
          <w:szCs w:val="22"/>
        </w:rPr>
        <w:t>The objectives of this project are to practice to utilizing different computer programs to solve mathematical programming problems, demonstrate familiarity with the testing and comparison of solution methods of those programs, become familiar with technical writing and exhibit intellectual curiosity.</w:t>
      </w:r>
      <w:r>
        <w:pict>
          <v:rect fillcolor="#FFFFFF" strokecolor="#000000" strokeweight="0pt" style="position:absolute;width:150.05pt;height:166.35pt;mso-wrap-distance-left:0pt;mso-wrap-distance-right:0pt;mso-wrap-distance-top:0pt;mso-wrap-distance-bottom:10pt;margin-top:1.7pt;margin-left:319.85pt">
            <v:textbox inset="0in,0in,0in,0in">
              <w:txbxContent>
                <w:p>
                  <w:pPr>
                    <w:pStyle w:val="Illustration"/>
                    <w:spacing w:before="120" w:after="120"/>
                    <w:rPr/>
                  </w:pPr>
                  <w:r>
                    <w:rPr/>
                    <w:drawing>
                      <wp:inline distT="0" distB="0" distL="0" distR="0">
                        <wp:extent cx="1905635" cy="15347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50843" t="51294" r="29976" b="16865"/>
                                <a:stretch>
                                  <a:fillRect/>
                                </a:stretch>
                              </pic:blipFill>
                              <pic:spPr bwMode="auto">
                                <a:xfrm>
                                  <a:off x="0" y="0"/>
                                  <a:ext cx="1905635" cy="1534795"/>
                                </a:xfrm>
                                <a:prstGeom prst="rect">
                                  <a:avLst/>
                                </a:prstGeom>
                                <a:noFill/>
                                <a:ln w="9525">
                                  <a:noFill/>
                                  <a:miter lim="800000"/>
                                  <a:headEnd/>
                                  <a:tailEnd/>
                                </a:ln>
                              </pic:spPr>
                            </pic:pic>
                          </a:graphicData>
                        </a:graphic>
                      </wp:inline>
                    </w:drawing>
                  </w:r>
                  <w:r>
                    <w:rPr/>
                    <w:t xml:space="preserve">Illustration </w:t>
                  </w:r>
                  <w:r>
                    <w:rPr/>
                    <w:t>1:</w:t>
                  </w:r>
                  <w:r>
                    <w:rPr/>
                    <w:t xml:space="preserve"> Sample algorithm results.</w:t>
                  </w:r>
                </w:p>
              </w:txbxContent>
            </v:textbox>
            <w10:wrap type="square"/>
          </v:rect>
        </w:pict>
      </w:r>
    </w:p>
    <w:p>
      <w:pPr>
        <w:pStyle w:val="Normal"/>
        <w:rPr>
          <w:rFonts w:cs="Arial" w:ascii="Arial" w:hAnsi="Arial"/>
          <w:sz w:val="24"/>
          <w:szCs w:val="24"/>
          <w:u w:val="single"/>
        </w:rPr>
      </w:pPr>
      <w:r>
        <w:rPr>
          <w:rFonts w:cs="Arial" w:ascii="Arial" w:hAnsi="Arial"/>
          <w:sz w:val="24"/>
          <w:szCs w:val="24"/>
          <w:u w:val="single"/>
        </w:rPr>
        <w:t>Model, and Method to Generate Instances:</w:t>
      </w:r>
    </w:p>
    <w:p>
      <w:pPr>
        <w:pStyle w:val="Normal"/>
        <w:rPr>
          <w:rFonts w:cs="Arial" w:ascii="Arial" w:hAnsi="Arial"/>
          <w:sz w:val="22"/>
          <w:szCs w:val="22"/>
        </w:rPr>
      </w:pPr>
      <w:r>
        <w:rPr>
          <w:rFonts w:cs="Arial" w:ascii="Arial" w:hAnsi="Arial"/>
          <w:sz w:val="22"/>
          <w:szCs w:val="22"/>
        </w:rPr>
        <w:t xml:space="preserve">     </w:t>
      </w:r>
      <w:bookmarkStart w:id="1" w:name="__DdeLink__1956_35677990"/>
      <w:r>
        <w:rPr>
          <w:rFonts w:cs="Arial" w:ascii="Arial" w:hAnsi="Arial"/>
          <w:sz w:val="22"/>
          <w:szCs w:val="22"/>
        </w:rPr>
        <w:t>This proje</w:t>
      </w:r>
      <w:bookmarkEnd w:id="1"/>
      <w:r>
        <w:rPr>
          <w:rFonts w:cs="Arial" w:ascii="Arial" w:hAnsi="Arial"/>
          <w:sz w:val="22"/>
          <w:szCs w:val="22"/>
        </w:rPr>
        <w:t>ct studies the vexful question, “what should I read next?”.   Given a comma separated value (csv) file scraped from a Goodreads library and an objective derived from the desire to make the most out of limited reading time, we can formulate a mixed integer linear program with boolean decision variables to optimize reading time subject to some desired constraints.  The resultant output should provide insight into what books to shelve or acquire for consumption over the next time period, in this case a fiscal quarter.  A sample of such an output is shown in Illustration 1.</w:t>
      </w:r>
    </w:p>
    <w:p>
      <w:pPr>
        <w:pStyle w:val="Normal"/>
        <w:rPr>
          <w:rStyle w:val="EndnoteAnchor"/>
          <w:rFonts w:cs="Arial" w:ascii="Arial" w:hAnsi="Arial"/>
          <w:i/>
          <w:sz w:val="22"/>
          <w:szCs w:val="22"/>
          <w:shd w:fill="FFFFFF" w:val="clear"/>
        </w:rPr>
      </w:pPr>
      <w:r>
        <w:rPr>
          <w:rFonts w:cs="Arial" w:ascii="Arial" w:hAnsi="Arial"/>
          <w:sz w:val="22"/>
          <w:szCs w:val="22"/>
        </w:rPr>
        <w:t xml:space="preserve">     </w:t>
      </w:r>
      <w:r>
        <w:rPr>
          <w:rFonts w:cs="Arial" w:ascii="Arial" w:hAnsi="Arial"/>
          <w:sz w:val="22"/>
          <w:szCs w:val="22"/>
        </w:rPr>
        <w:t>Given the structure of this model, we can utilize the formulation of the knapsack problem.  A knapsack is a combinatorial optimization problem representing the decision to ch</w:t>
      </w:r>
      <w:r>
        <w:rPr>
          <w:rFonts w:cs="Arial" w:ascii="Arial" w:hAnsi="Arial"/>
          <w:sz w:val="22"/>
          <w:szCs w:val="22"/>
          <w:shd w:fill="FFFFFF" w:val="clear"/>
        </w:rPr>
        <w:t xml:space="preserve">oose a limited subset of a collection of objects, each with some known utility and cost, such taking up space or weight in the knapsack.  Wikipedia cites the boolean knapsack as the  most common formulation of the knapsack problem, where the number of copies of each kind of item to zero or one. Given a set of </w:t>
      </w:r>
      <w:r>
        <w:rPr>
          <w:rFonts w:cs="Arial" w:ascii="Arial" w:hAnsi="Arial"/>
          <w:i/>
          <w:sz w:val="22"/>
          <w:szCs w:val="22"/>
          <w:shd w:fill="FFFFFF" w:val="clear"/>
        </w:rPr>
        <w:t>n</w:t>
      </w:r>
      <w:r>
        <w:rPr>
          <w:rFonts w:cs="Arial" w:ascii="Arial" w:hAnsi="Arial"/>
          <w:sz w:val="22"/>
          <w:szCs w:val="22"/>
          <w:shd w:fill="FFFFFF" w:val="clear"/>
        </w:rPr>
        <w:t xml:space="preserve"> items numbered from 1 up to </w:t>
      </w:r>
      <w:r>
        <w:rPr>
          <w:rFonts w:cs="Arial" w:ascii="Arial" w:hAnsi="Arial"/>
          <w:i/>
          <w:sz w:val="22"/>
          <w:szCs w:val="22"/>
          <w:shd w:fill="FFFFFF" w:val="clear"/>
        </w:rPr>
        <w:t>n</w:t>
      </w:r>
      <w:r>
        <w:rPr>
          <w:rFonts w:cs="Arial" w:ascii="Arial" w:hAnsi="Arial"/>
          <w:sz w:val="22"/>
          <w:szCs w:val="22"/>
          <w:shd w:fill="FFFFFF" w:val="clear"/>
        </w:rPr>
        <w:t xml:space="preserve">, each with a weight </w:t>
      </w:r>
      <w:r>
        <w:rPr>
          <w:rFonts w:cs="Arial" w:ascii="Arial" w:hAnsi="Arial"/>
          <w:i/>
          <w:sz w:val="22"/>
          <w:szCs w:val="22"/>
          <w:shd w:fill="FFFFFF" w:val="clear"/>
        </w:rPr>
        <w:t>w</w:t>
      </w:r>
      <w:r>
        <w:rPr>
          <w:rFonts w:cs="Arial" w:ascii="Arial" w:hAnsi="Arial"/>
          <w:i/>
          <w:position w:val="-5"/>
          <w:sz w:val="22"/>
          <w:szCs w:val="22"/>
          <w:shd w:fill="FFFFFF" w:val="clear"/>
        </w:rPr>
        <w:t>i</w:t>
      </w:r>
      <w:r>
        <w:rPr>
          <w:rFonts w:cs="Arial" w:ascii="Arial" w:hAnsi="Arial"/>
          <w:sz w:val="22"/>
          <w:szCs w:val="22"/>
          <w:shd w:fill="FFFFFF" w:val="clear"/>
        </w:rPr>
        <w:t xml:space="preserve"> and a value </w:t>
      </w:r>
      <w:r>
        <w:rPr>
          <w:rFonts w:cs="Arial" w:ascii="Arial" w:hAnsi="Arial"/>
          <w:i/>
          <w:sz w:val="22"/>
          <w:szCs w:val="22"/>
          <w:shd w:fill="FFFFFF" w:val="clear"/>
        </w:rPr>
        <w:t>v</w:t>
      </w:r>
      <w:r>
        <w:rPr>
          <w:rFonts w:cs="Arial" w:ascii="Arial" w:hAnsi="Arial"/>
          <w:i/>
          <w:position w:val="-5"/>
          <w:sz w:val="22"/>
          <w:szCs w:val="22"/>
          <w:shd w:fill="FFFFFF" w:val="clear"/>
        </w:rPr>
        <w:t>i</w:t>
      </w:r>
      <w:r>
        <w:rPr>
          <w:rFonts w:cs="Arial" w:ascii="Arial" w:hAnsi="Arial"/>
          <w:sz w:val="22"/>
          <w:szCs w:val="22"/>
          <w:shd w:fill="FFFFFF" w:val="clear"/>
        </w:rPr>
        <w:t xml:space="preserve">, along with a maximum weight capacity </w:t>
      </w:r>
      <w:r>
        <w:rPr>
          <w:rFonts w:cs="Arial" w:ascii="Arial" w:hAnsi="Arial"/>
          <w:i/>
          <w:sz w:val="22"/>
          <w:szCs w:val="22"/>
          <w:shd w:fill="FFFFFF" w:val="clear"/>
        </w:rPr>
        <w:t xml:space="preserve">W: </w:t>
      </w:r>
      <w:r>
        <w:rPr>
          <w:rStyle w:val="EndnoteAnchor"/>
          <w:rFonts w:cs="Arial" w:ascii="Arial" w:hAnsi="Arial"/>
          <w:i/>
          <w:sz w:val="22"/>
          <w:szCs w:val="22"/>
          <w:shd w:fill="FFFFFF" w:val="clear"/>
        </w:rPr>
        <w:endnoteReference w:id="2"/>
      </w:r>
    </w:p>
    <w:p>
      <w:pPr>
        <w:pStyle w:val="Normal"/>
        <w:widowControl/>
        <w:bidi w:val="0"/>
        <w:ind w:left="0" w:right="-540" w:hanging="0"/>
        <w:jc w:val="left"/>
        <w:rPr>
          <w:rFonts w:cs="Arial" w:ascii="Arial" w:hAnsi="Arial"/>
          <w:sz w:val="22"/>
          <w:szCs w:val="22"/>
          <w:shd w:fill="FFFFFF" w:val="clear"/>
        </w:rPr>
      </w:pPr>
      <w:r>
        <w:rPr>
          <w:rFonts w:ascii="Arial" w:hAnsi="Arial"/>
          <w:i/>
          <w:sz w:val="22"/>
          <w:szCs w:val="22"/>
        </w:rPr>
        <w:t xml:space="preserve">Maximize      </w:t>
      </w:r>
      <w:r>
        <w:rPr>
          <w:rFonts w:cs="Arial" w:ascii="Arial" w:hAnsi="Arial"/>
          <w:sz w:val="22"/>
          <w:szCs w:val="22"/>
          <w:shd w:fill="FFFFFF" w:val="clear"/>
        </w:rPr>
        <w:t xml:space="preserve">    </w:t>
        <w:tab/>
        <w:t xml:space="preserve">s.t.                     </w:t>
        <w:tab/>
        <w:t xml:space="preserve">and      </w:t>
        <w:tab/>
        <w:tab/>
        <w:t xml:space="preserve">(1) </w:t>
        <w:drawing>
          <wp:anchor behindDoc="0" distT="0" distB="127000" distL="0" distR="0" simplePos="0" locked="0" layoutInCell="1" allowOverlap="1" relativeHeight="0">
            <wp:simplePos x="0" y="0"/>
            <wp:positionH relativeFrom="column">
              <wp:posOffset>762000</wp:posOffset>
            </wp:positionH>
            <wp:positionV relativeFrom="paragraph">
              <wp:posOffset>-107950</wp:posOffset>
            </wp:positionV>
            <wp:extent cx="552450" cy="4572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52450" cy="45720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1">
            <wp:simplePos x="0" y="0"/>
            <wp:positionH relativeFrom="column">
              <wp:posOffset>1618615</wp:posOffset>
            </wp:positionH>
            <wp:positionV relativeFrom="paragraph">
              <wp:posOffset>-116840</wp:posOffset>
            </wp:positionV>
            <wp:extent cx="1057275" cy="4572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057275" cy="45720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2">
            <wp:simplePos x="0" y="0"/>
            <wp:positionH relativeFrom="column">
              <wp:posOffset>3057525</wp:posOffset>
            </wp:positionH>
            <wp:positionV relativeFrom="paragraph">
              <wp:posOffset>-12700</wp:posOffset>
            </wp:positionV>
            <wp:extent cx="838200" cy="19050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838200" cy="190500"/>
                    </a:xfrm>
                    <a:prstGeom prst="rect">
                      <a:avLst/>
                    </a:prstGeom>
                    <a:noFill/>
                    <a:ln w="9525">
                      <a:noFill/>
                      <a:miter lim="800000"/>
                      <a:headEnd/>
                      <a:tailEnd/>
                    </a:ln>
                  </pic:spPr>
                </pic:pic>
              </a:graphicData>
            </a:graphic>
          </wp:anchor>
        </w:drawing>
      </w:r>
    </w:p>
    <w:p>
      <w:pPr>
        <w:pStyle w:val="Normal"/>
        <w:rPr>
          <w:rFonts w:ascii="Arial" w:hAnsi="Arial"/>
          <w:sz w:val="12"/>
          <w:szCs w:val="12"/>
        </w:rPr>
      </w:pPr>
      <w:r>
        <w:rPr>
          <w:rFonts w:ascii="Arial" w:hAnsi="Arial"/>
          <w:sz w:val="12"/>
          <w:szCs w:val="12"/>
        </w:rPr>
        <w:t xml:space="preserve">    </w:t>
      </w:r>
    </w:p>
    <w:p>
      <w:pPr>
        <w:pStyle w:val="Normal"/>
        <w:rPr>
          <w:rFonts w:cs="Arial" w:ascii="Arial" w:hAnsi="Arial"/>
          <w:sz w:val="22"/>
          <w:szCs w:val="22"/>
          <w:shd w:fill="FFFFFF" w:val="clear"/>
        </w:rPr>
      </w:pPr>
      <w:r>
        <w:rPr>
          <w:rFonts w:ascii="Arial" w:hAnsi="Arial"/>
          <w:sz w:val="12"/>
          <w:szCs w:val="12"/>
        </w:rPr>
        <w:t xml:space="preserve"> </w:t>
      </w:r>
      <w:r>
        <w:rPr>
          <w:rFonts w:ascii="Arial" w:hAnsi="Arial"/>
          <w:sz w:val="22"/>
          <w:szCs w:val="22"/>
        </w:rPr>
        <w:t xml:space="preserve">   </w:t>
      </w:r>
      <w:r>
        <w:rPr>
          <w:rFonts w:ascii="Arial" w:hAnsi="Arial"/>
          <w:sz w:val="22"/>
          <w:szCs w:val="22"/>
        </w:rPr>
        <w:t xml:space="preserve">For this problem, the decision variables consist of the (then) 431 books </w:t>
      </w:r>
      <w:r>
        <w:rPr>
          <w:rFonts w:cs="Arial" w:ascii="Arial" w:hAnsi="Arial"/>
          <w:sz w:val="22"/>
          <w:szCs w:val="22"/>
        </w:rPr>
        <w:t>from an online database record, specifically from the Goodreads library of the author.</w:t>
      </w:r>
      <w:r>
        <w:rPr>
          <w:rFonts w:ascii="Arial" w:hAnsi="Arial"/>
          <w:sz w:val="22"/>
          <w:szCs w:val="22"/>
        </w:rPr>
        <w:t xml:space="preserve"> These titles are further divided among several not mutually exclusive categories or 'bookshelves.'  T</w:t>
      </w:r>
      <w:r>
        <w:rPr>
          <w:rFonts w:cs="Arial" w:ascii="Arial" w:hAnsi="Arial"/>
          <w:sz w:val="22"/>
          <w:szCs w:val="22"/>
        </w:rPr>
        <w:t>he objective and technological coefficients come from ratings and other data in this database.  As shown in Illustrati</w:t>
      </w:r>
      <w:r>
        <w:rPr>
          <w:rFonts w:cs="Arial" w:ascii="Arial" w:hAnsi="Arial"/>
          <w:sz w:val="22"/>
          <w:szCs w:val="22"/>
          <w:shd w:fill="FFFFFF" w:val="clear"/>
        </w:rPr>
        <w:t>on 2, the database provides ratings and other informati</w:t>
      </w:r>
      <w:r>
        <w:rPr>
          <w:rFonts w:cs="Arial" w:ascii="Arial" w:hAnsi="Arial"/>
          <w:sz w:val="22"/>
          <w:szCs w:val="22"/>
          <w:shd w:fill="FFFFFF" w:val="clear"/>
        </w:rPr>
        <w:t>o</w:t>
      </w:r>
      <w:r>
        <w:rPr>
          <w:rFonts w:cs="Arial" w:ascii="Arial" w:hAnsi="Arial"/>
          <w:sz w:val="22"/>
          <w:szCs w:val="22"/>
          <w:shd w:fill="FFFFFF" w:val="clear"/>
        </w:rPr>
        <w:t xml:space="preserve">n about each book.  The value of each boolean decision variable can be interpreted logically as either a true or false statement regarding whether that book should be read during the time period under consideration.  </w:t>
      </w:r>
      <w:r>
        <w:pict>
          <v:rect fillcolor="#FFFFFF" strokecolor="#000000" strokeweight="0pt" style="position:absolute;width:167.45pt;height:141.2pt;mso-wrap-distance-left:0pt;mso-wrap-distance-right:0pt;mso-wrap-distance-top:0pt;mso-wrap-distance-bottom:10pt;margin-top:42.25pt;margin-left:294.1pt">
            <v:fill opacity="0f"/>
            <v:textbox inset="0.0201388888888889in,0.0201388888888889in,0.0201388888888889in,0.0201388888888889in">
              <w:txbxContent>
                <w:p>
                  <w:pPr>
                    <w:pStyle w:val="Illustration"/>
                    <w:spacing w:before="120" w:after="120"/>
                    <w:rPr/>
                  </w:pPr>
                  <w:r>
                    <w:rPr/>
                    <w:t xml:space="preserve">Illustration </w:t>
                  </w:r>
                  <w:r>
                    <w:rPr/>
                    <w:t>2</w:t>
                  </w:r>
                  <w:r>
                    <w:rPr/>
                    <w:t>: The Goodreads data source</w:t>
                    <w:drawing>
                      <wp:anchor behindDoc="0" distT="0" distB="0" distL="0" distR="0" simplePos="0" locked="0" layoutInCell="1" allowOverlap="1" relativeHeight="4">
                        <wp:simplePos x="0" y="0"/>
                        <wp:positionH relativeFrom="column">
                          <wp:posOffset>18415</wp:posOffset>
                        </wp:positionH>
                        <wp:positionV relativeFrom="paragraph">
                          <wp:posOffset>59055</wp:posOffset>
                        </wp:positionV>
                        <wp:extent cx="2004695" cy="128714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rcRect l="32328" t="16195" r="16158" b="21599"/>
                                <a:stretch>
                                  <a:fillRect/>
                                </a:stretch>
                              </pic:blipFill>
                              <pic:spPr bwMode="auto">
                                <a:xfrm>
                                  <a:off x="0" y="0"/>
                                  <a:ext cx="2004695" cy="1287145"/>
                                </a:xfrm>
                                <a:prstGeom prst="rect">
                                  <a:avLst/>
                                </a:prstGeom>
                                <a:noFill/>
                                <a:ln w="9525">
                                  <a:noFill/>
                                  <a:miter lim="800000"/>
                                  <a:headEnd/>
                                  <a:tailEnd/>
                                </a:ln>
                              </pic:spPr>
                            </pic:pic>
                          </a:graphicData>
                        </a:graphic>
                      </wp:anchor>
                    </w:drawing>
                  </w:r>
                </w:p>
              </w:txbxContent>
            </v:textbox>
            <w10:wrap type="square"/>
          </v:rect>
        </w:pict>
      </w:r>
    </w:p>
    <w:p>
      <w:pPr>
        <w:pStyle w:val="Normal"/>
        <w:rPr>
          <w:rFonts w:cs="Arial" w:ascii="Arial" w:hAnsi="Arial"/>
          <w:sz w:val="22"/>
          <w:szCs w:val="22"/>
          <w:shd w:fill="FFFFFF" w:val="clear"/>
        </w:rPr>
      </w:pPr>
      <w:r>
        <w:rPr>
          <w:rFonts w:cs="Arial" w:ascii="Arial" w:hAnsi="Arial"/>
          <w:sz w:val="22"/>
          <w:szCs w:val="22"/>
          <w:shd w:fill="FFFFFF" w:val="clear"/>
        </w:rPr>
        <w:t xml:space="preserve">     </w:t>
      </w:r>
      <w:r>
        <w:rPr>
          <w:rFonts w:cs="Arial" w:ascii="Arial" w:hAnsi="Arial"/>
          <w:sz w:val="22"/>
          <w:szCs w:val="22"/>
          <w:shd w:fill="FFFFFF" w:val="clear"/>
        </w:rPr>
        <w:t xml:space="preserve">The objective is to maximize the product of page count and either the imputed ratings of the user if available, or the average Goodreads community rating if there is no user assigned rating.  This product of scalar values still yields a linear objective function, but adequately weights the preferences of the decision-maker.  Technological coefficients stem from the weighted preferences of the decision-maker regarding various constraints, such as either the percentage or absolute number of books from a particular shelf.  In order to develop a variety of model instances, we utilized the numpy Python package to generate random variates for each parameter, either as integers for the available number of hours or specific book category limits, or real valued percentages for percentage constraints.  </w:t>
        <w:tab/>
      </w:r>
      <w:r>
        <w:pict>
          <v:rect fillcolor="#FFFFFF" strokecolor="#000000" strokeweight="0pt" style="position:absolute;width:506.85pt;height:176.6pt;mso-wrap-distance-left:0pt;mso-wrap-distance-right:0pt;mso-wrap-distance-top:0pt;mso-wrap-distance-bottom:0pt;margin-top:567.35pt;margin-left:49.1pt">
            <v:textbox inset="0in,0in,0in,0in">
              <w:txbxContent>
                <w:p>
                  <w:pPr>
                    <w:pStyle w:val="Illustration"/>
                    <w:spacing w:before="120" w:after="120"/>
                    <w:rPr/>
                  </w:pPr>
                  <w:r>
                    <w:rPr/>
                    <w:drawing>
                      <wp:inline distT="0" distB="0" distL="0" distR="0">
                        <wp:extent cx="5943600" cy="18605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943600" cy="1860550"/>
                                </a:xfrm>
                                <a:prstGeom prst="rect">
                                  <a:avLst/>
                                </a:prstGeom>
                                <a:noFill/>
                                <a:ln w="9525">
                                  <a:noFill/>
                                  <a:miter lim="800000"/>
                                  <a:headEnd/>
                                  <a:tailEnd/>
                                </a:ln>
                              </pic:spPr>
                            </pic:pic>
                          </a:graphicData>
                        </a:graphic>
                      </wp:inline>
                    </w:drawing>
                  </w:r>
                </w:p>
                <w:p>
                  <w:pPr>
                    <w:pStyle w:val="Illustration"/>
                    <w:spacing w:before="120" w:after="120"/>
                    <w:rPr/>
                  </w:pPr>
                  <w:r>
                    <w:rPr/>
                    <w:t>Il</w:t>
                  </w:r>
                  <w:r>
                    <w:rPr>
                      <w:sz w:val="24"/>
                      <w:szCs w:val="24"/>
                    </w:rPr>
                    <w:t>lu</w:t>
                  </w:r>
                  <w:r>
                    <w:rPr/>
                    <w:t xml:space="preserve">stration </w:t>
                  </w:r>
                  <w:r>
                    <w:rPr/>
                    <w:t>4</w:t>
                  </w:r>
                  <w:r>
                    <w:rPr/>
                    <w:t>: Gurobi demonstrates first order stochastic dominance</w:t>
                  </w:r>
                </w:p>
              </w:txbxContent>
            </v:textbox>
            <w10:wrap type="square"/>
          </v:rect>
        </w:pict>
      </w:r>
    </w:p>
    <w:p>
      <w:pPr>
        <w:pStyle w:val="Normal"/>
        <w:rPr>
          <w:rFonts w:cs="Arial" w:ascii="Arial" w:hAnsi="Arial"/>
          <w:sz w:val="22"/>
          <w:szCs w:val="22"/>
          <w:shd w:fill="FFFFFF" w:val="clear"/>
        </w:rPr>
      </w:pPr>
      <w:r>
        <w:rPr>
          <w:rFonts w:cs="Arial" w:ascii="Arial" w:hAnsi="Arial"/>
          <w:sz w:val="22"/>
          <w:szCs w:val="22"/>
          <w:shd w:fill="FFFFFF" w:val="clear"/>
        </w:rPr>
        <w:tab/>
        <w:t>In order to construct the model, we made use of the PuLP python package, which utilizes the APIs of various solvers to provide a stable and portable call across solver platforms.  The PuLP package also provides a high-level programming interface to construct the model in an intuitive format.  While PuLP can generate MP</w:t>
      </w:r>
      <w:r>
        <w:rPr>
          <w:rFonts w:cs="Arial" w:ascii="Arial" w:hAnsi="Arial"/>
          <w:sz w:val="22"/>
          <w:szCs w:val="22"/>
          <w:shd w:fill="FFFFFF" w:val="clear"/>
        </w:rPr>
        <w:t>S</w:t>
      </w:r>
      <w:r>
        <w:rPr>
          <w:rFonts w:cs="Arial" w:ascii="Arial" w:hAnsi="Arial"/>
          <w:sz w:val="22"/>
          <w:szCs w:val="22"/>
          <w:shd w:fill="FFFFFF" w:val="clear"/>
        </w:rPr>
        <w:t xml:space="preserve"> and LP files for models once they are constructed, PuLP cannot read those files back into the PuLP framework.  This limitation had impacts during the second experiment of our study.</w:t>
      </w:r>
      <w:r>
        <w:pict>
          <v:rect fillcolor="#FFFFFF" strokecolor="#000000" strokeweight="0pt" style="position:absolute;width:248.65pt;height:176.75pt;mso-wrap-distance-left:0pt;mso-wrap-distance-right:0pt;mso-wrap-distance-top:0pt;mso-wrap-distance-bottom:0pt;margin-top:84.85pt;margin-left:219.3pt">
            <v:textbox inset="0in,0in,0in,0in">
              <w:txbxContent>
                <w:p>
                  <w:pPr>
                    <w:pStyle w:val="Illustration"/>
                    <w:spacing w:before="120" w:after="120"/>
                    <w:rPr/>
                  </w:pPr>
                  <w:r>
                    <w:rPr/>
                    <w:t xml:space="preserve">Illustration </w:t>
                  </w:r>
                  <w:r>
                    <w:rPr/>
                    <w:t>3</w:t>
                  </w:r>
                  <w:r>
                    <w:rPr/>
                    <w:t>: Average and Median Solution Times by Solver</w:t>
                    <w:drawing>
                      <wp:anchor behindDoc="0" distT="0" distB="0" distL="0" distR="0" simplePos="0" locked="0" layoutInCell="1" allowOverlap="1" relativeHeight="6">
                        <wp:simplePos x="0" y="0"/>
                        <wp:positionH relativeFrom="column">
                          <wp:posOffset>-635</wp:posOffset>
                        </wp:positionH>
                        <wp:positionV relativeFrom="paragraph">
                          <wp:posOffset>-635</wp:posOffset>
                        </wp:positionV>
                        <wp:extent cx="3157855" cy="16529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rcRect l="0" t="0" r="0" b="51270"/>
                                <a:stretch>
                                  <a:fillRect/>
                                </a:stretch>
                              </pic:blipFill>
                              <pic:spPr bwMode="auto">
                                <a:xfrm>
                                  <a:off x="0" y="0"/>
                                  <a:ext cx="3157855" cy="1652905"/>
                                </a:xfrm>
                                <a:prstGeom prst="rect">
                                  <a:avLst/>
                                </a:prstGeom>
                                <a:noFill/>
                                <a:ln w="9525">
                                  <a:noFill/>
                                  <a:miter lim="800000"/>
                                  <a:headEnd/>
                                  <a:tailEnd/>
                                </a:ln>
                              </pic:spPr>
                            </pic:pic>
                          </a:graphicData>
                        </a:graphic>
                      </wp:anchor>
                    </w:drawing>
                  </w:r>
                </w:p>
              </w:txbxContent>
            </v:textbox>
            <w10:wrap type="square"/>
          </v:rect>
        </w:pict>
      </w:r>
    </w:p>
    <w:p>
      <w:pPr>
        <w:pStyle w:val="Normal"/>
        <w:rPr>
          <w:rFonts w:cs="Arial" w:ascii="Arial" w:hAnsi="Arial"/>
          <w:sz w:val="22"/>
          <w:szCs w:val="22"/>
          <w:shd w:fill="FFFFFF" w:val="clear"/>
        </w:rPr>
      </w:pPr>
      <w:r>
        <w:rPr>
          <w:rFonts w:cs="Arial" w:ascii="Arial" w:hAnsi="Arial"/>
          <w:sz w:val="22"/>
          <w:szCs w:val="22"/>
          <w:shd w:fill="FFFFFF" w:val="clear"/>
        </w:rPr>
        <w:t xml:space="preserve">     </w:t>
      </w:r>
      <w:r>
        <w:rPr>
          <w:rFonts w:cs="Arial" w:ascii="Arial" w:hAnsi="Arial"/>
          <w:sz w:val="22"/>
          <w:szCs w:val="22"/>
          <w:shd w:fill="FFFFFF" w:val="clear"/>
        </w:rPr>
        <w:t xml:space="preserve">Our solvers were installed or compiled on a 64 bit Debian Linux kernel (Ubuntu 12.04LTS) running on an Intel i5 </w:t>
      </w:r>
      <w:r>
        <w:rPr>
          <w:rFonts w:cs="Arial" w:ascii="Arial" w:hAnsi="Arial"/>
          <w:sz w:val="22"/>
          <w:szCs w:val="22"/>
          <w:shd w:fill="FFFFFF" w:val="clear"/>
        </w:rPr>
        <w:t>q</w:t>
      </w:r>
      <w:r>
        <w:rPr>
          <w:rFonts w:cs="Arial" w:ascii="Arial" w:hAnsi="Arial"/>
          <w:sz w:val="22"/>
          <w:szCs w:val="22"/>
          <w:shd w:fill="FFFFFF" w:val="clear"/>
        </w:rPr>
        <w:t xml:space="preserve">uadcore 2.53 GHz CPU with 4 GB of memory.  For the first experiment, the Python environment was an Anaconda Python 2.7 Installation, for the second experiment we also utilized a commercially modified Gurobi Python 2.7 environment packaged with the Gurobi solver. </w:t>
      </w:r>
    </w:p>
    <w:p>
      <w:pPr>
        <w:pStyle w:val="Normal"/>
        <w:rPr>
          <w:rFonts w:ascii="Arial" w:hAnsi="Arial"/>
          <w:sz w:val="22"/>
          <w:szCs w:val="22"/>
        </w:rPr>
      </w:pPr>
      <w:r>
        <w:rPr>
          <w:rFonts w:cs="Arial" w:ascii="Arial" w:hAnsi="Arial"/>
          <w:sz w:val="22"/>
          <w:szCs w:val="22"/>
          <w:shd w:fill="FFFFFF" w:val="clear"/>
        </w:rPr>
        <w:t xml:space="preserve"> </w:t>
      </w:r>
      <w:r>
        <w:rPr>
          <w:rFonts w:cs="Arial" w:ascii="Arial" w:hAnsi="Arial"/>
          <w:sz w:val="24"/>
          <w:szCs w:val="24"/>
          <w:u w:val="single"/>
        </w:rPr>
        <w:t>First Experiment:</w:t>
      </w:r>
      <w:r>
        <w:rPr>
          <w:rFonts w:ascii="Arial" w:hAnsi="Arial"/>
          <w:sz w:val="24"/>
          <w:szCs w:val="24"/>
        </w:rPr>
        <w:t xml:space="preserve"> </w:t>
      </w:r>
      <w:r>
        <w:rPr>
          <w:rFonts w:ascii="Arial" w:hAnsi="Arial"/>
          <w:sz w:val="22"/>
          <w:szCs w:val="22"/>
        </w:rPr>
        <w:t xml:space="preserve"> Our first experiment involved examining the differences across a variety of available Solvers.  For this study, we included the COIN-CBC solver included with the PuLP python package as well as the GNU Linear Programming Kit (GLPK) solver and the commercial solver Gurobi.  In order to explore some other programming languages, we also examined a package from the R programming language that utilized the GLPK solver.  We attempted to include both CPLEX and an R programming package that could interface with the lpSolve library, however certain technical limitations force any consideration of these options to occur in subsequent analysis.  We utilized the timeit python function to measure computational effort as processor time.</w:t>
      </w:r>
      <w:r>
        <w:pict>
          <v:rect fillcolor="#FFFFFF" strokecolor="#000000" strokeweight="0pt" style="position:absolute;width:128.85pt;height:208.8pt;mso-wrap-distance-left:0pt;mso-wrap-distance-right:0pt;mso-wrap-distance-top:0pt;mso-wrap-distance-bottom:0pt;margin-top:73.25pt;margin-left:436pt">
            <v:textbox inset="0in,0in,0in,0in">
              <w:txbxContent>
                <w:p>
                  <w:pPr>
                    <w:pStyle w:val="Illustration"/>
                    <w:spacing w:before="120" w:after="120"/>
                    <w:rPr/>
                  </w:pPr>
                  <w:r>
                    <w:rPr/>
                    <w:drawing>
                      <wp:inline distT="0" distB="0" distL="0" distR="0">
                        <wp:extent cx="1636395" cy="162369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636395" cy="1623695"/>
                                </a:xfrm>
                                <a:prstGeom prst="rect">
                                  <a:avLst/>
                                </a:prstGeom>
                                <a:noFill/>
                                <a:ln w="9525">
                                  <a:noFill/>
                                  <a:miter lim="800000"/>
                                  <a:headEnd/>
                                  <a:tailEnd/>
                                </a:ln>
                              </pic:spPr>
                            </pic:pic>
                          </a:graphicData>
                        </a:graphic>
                      </wp:inline>
                    </w:drawing>
                  </w:r>
                  <w:r>
                    <w:rPr/>
                    <w:t xml:space="preserve">Illustration </w:t>
                  </w:r>
                  <w:r>
                    <w:rPr/>
                    <w:t>5</w:t>
                  </w:r>
                  <w:r>
                    <w:rPr/>
                    <w:t>: Not all python environments are equal for Gurobi</w:t>
                  </w:r>
                </w:p>
              </w:txbxContent>
            </v:textbox>
            <w10:wrap type="square"/>
          </v:rect>
        </w:pict>
      </w:r>
      <w:r>
        <w:pict>
          <v:rect fillcolor="#FFFFFF" strokecolor="#000000" strokeweight="0pt" style="position:absolute;width:160.45pt;height:218.8pt;mso-wrap-distance-left:0pt;mso-wrap-distance-right:0pt;mso-wrap-distance-top:0pt;mso-wrap-distance-bottom:0pt;margin-top:283.65pt;margin-left:404.4pt">
            <v:textbox inset="0in,0in,0in,0in">
              <w:txbxContent>
                <w:p>
                  <w:pPr>
                    <w:pStyle w:val="Illustration"/>
                    <w:spacing w:before="120" w:after="120"/>
                    <w:rPr/>
                  </w:pPr>
                  <w:r>
                    <w:rPr/>
                    <w:t xml:space="preserve">Illustration </w:t>
                  </w:r>
                  <w:r>
                    <w:rPr/>
                    <w:t>6</w:t>
                  </w:r>
                  <w:r>
                    <w:rPr/>
                    <w:t>: Differences across instances show heteroscedasticity in residuals</w:t>
                    <w:drawing>
                      <wp:anchor behindDoc="0" distT="0" distB="0" distL="0" distR="0" simplePos="0" locked="0" layoutInCell="1" allowOverlap="1" relativeHeight="17">
                        <wp:simplePos x="0" y="0"/>
                        <wp:positionH relativeFrom="column">
                          <wp:posOffset>59055</wp:posOffset>
                        </wp:positionH>
                        <wp:positionV relativeFrom="paragraph">
                          <wp:posOffset>80010</wp:posOffset>
                        </wp:positionV>
                        <wp:extent cx="1863090" cy="188468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863090" cy="1884680"/>
                                </a:xfrm>
                                <a:prstGeom prst="rect">
                                  <a:avLst/>
                                </a:prstGeom>
                                <a:noFill/>
                                <a:ln w="9525">
                                  <a:noFill/>
                                  <a:miter lim="800000"/>
                                  <a:headEnd/>
                                  <a:tailEnd/>
                                </a:ln>
                              </pic:spPr>
                            </pic:pic>
                          </a:graphicData>
                        </a:graphic>
                      </wp:anchor>
                    </w:drawing>
                  </w:r>
                </w:p>
              </w:txbxContent>
            </v:textbox>
            <w10:wrap type="square"/>
          </v:rect>
        </w:pict>
      </w:r>
      <w:r>
        <w:pict>
          <v:rect fillcolor="#FFFFFF" strokecolor="#000000" strokeweight="0pt" style="position:absolute;width:142.75pt;height:212.05pt;mso-wrap-distance-left:0pt;mso-wrap-distance-right:0pt;mso-wrap-distance-top:0pt;mso-wrap-distance-bottom:0pt;margin-top:502.4pt;margin-left:422.1pt">
            <v:textbox inset="0in,0in,0in,0in">
              <w:txbxContent>
                <w:p>
                  <w:pPr>
                    <w:pStyle w:val="Illustration"/>
                    <w:spacing w:before="120" w:after="120"/>
                    <w:rPr/>
                  </w:pPr>
                  <w:r>
                    <w:rPr/>
                    <w:t xml:space="preserve">Illustration </w:t>
                  </w:r>
                  <w:r>
                    <w:rPr/>
                    <w:t>7</w:t>
                  </w:r>
                  <w:r>
                    <w:rPr/>
                    <w:t>: Increasing tolerance reduces larger run-times.</w:t>
                    <w:drawing>
                      <wp:anchor behindDoc="0" distT="0" distB="0" distL="0" distR="0" simplePos="0" locked="0" layoutInCell="1" allowOverlap="1" relativeHeight="19">
                        <wp:simplePos x="0" y="0"/>
                        <wp:positionH relativeFrom="column">
                          <wp:posOffset>-635</wp:posOffset>
                        </wp:positionH>
                        <wp:positionV relativeFrom="paragraph">
                          <wp:posOffset>0</wp:posOffset>
                        </wp:positionV>
                        <wp:extent cx="1812290" cy="179895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812290" cy="1798955"/>
                                </a:xfrm>
                                <a:prstGeom prst="rect">
                                  <a:avLst/>
                                </a:prstGeom>
                                <a:noFill/>
                                <a:ln w="9525">
                                  <a:noFill/>
                                  <a:miter lim="800000"/>
                                  <a:headEnd/>
                                  <a:tailEnd/>
                                </a:ln>
                              </pic:spPr>
                            </pic:pic>
                          </a:graphicData>
                        </a:graphic>
                      </wp:anchor>
                    </w:drawing>
                  </w:r>
                </w:p>
              </w:txbxContent>
            </v:textbox>
            <w10:wrap type="square"/>
          </v:rect>
        </w:pict>
      </w:r>
    </w:p>
    <w:p>
      <w:pPr>
        <w:pStyle w:val="Normal"/>
        <w:rPr>
          <w:rFonts w:ascii="Arial" w:hAnsi="Arial"/>
          <w:sz w:val="22"/>
          <w:szCs w:val="22"/>
        </w:rPr>
      </w:pPr>
      <w:r>
        <w:rPr>
          <w:rFonts w:ascii="Arial" w:hAnsi="Arial"/>
          <w:sz w:val="22"/>
          <w:szCs w:val="22"/>
        </w:rPr>
        <w:t xml:space="preserve">     </w:t>
      </w:r>
      <w:r>
        <w:rPr>
          <w:rFonts w:ascii="Arial" w:hAnsi="Arial"/>
          <w:sz w:val="22"/>
          <w:szCs w:val="22"/>
        </w:rPr>
        <w:t xml:space="preserve">As shown in Illustration 3, the Gurobi solver performed the fastest, with regard to average time.  Illustration 4 demonstrates that while there are some Gurobi iterations that are slower than other solvers, when taking into account the interaction of solver and Iteration, Gurobi is at least as fast as any other solver and stochastically dominates the other options. </w:t>
      </w:r>
    </w:p>
    <w:p>
      <w:pPr>
        <w:pStyle w:val="Normal"/>
        <w:rPr>
          <w:rFonts w:ascii="Arial" w:hAnsi="Arial"/>
          <w:sz w:val="22"/>
          <w:szCs w:val="22"/>
        </w:rPr>
      </w:pPr>
      <w:r>
        <w:rPr>
          <w:rFonts w:ascii="Arial" w:hAnsi="Arial"/>
          <w:sz w:val="22"/>
          <w:szCs w:val="22"/>
        </w:rPr>
        <w:t xml:space="preserve">     </w:t>
      </w:r>
      <w:r>
        <w:rPr>
          <w:rFonts w:ascii="Arial" w:hAnsi="Arial"/>
          <w:sz w:val="22"/>
          <w:szCs w:val="22"/>
        </w:rPr>
        <w:t xml:space="preserve">We further examined the simultaneous difference in means between solvers by modeling solver and iteration as factors. We then examined simultaneous contrasts using both Scheffe and Tukey.  Scheffe is useful in examining unplanned contrasts and in general is extremely conservatives, but given equal observations within groups, Tukey provides the best results for pairwise comparisons.  Given both methods agreement, we can be confident that there exists a true difference in computation time between the GLPK solver accessed from R and Gurobi.  Given the large differences in solution time variances between iteration, we require more data before we can state with great confidence that there exists a true difference between Gurobi and the remaining solvers, however that data appears highly suggestive that this is true.  </w:t>
      </w:r>
    </w:p>
    <w:p>
      <w:pPr>
        <w:pStyle w:val="Normal"/>
        <w:rPr>
          <w:rFonts w:cs="Arial" w:ascii="Arial" w:hAnsi="Arial"/>
          <w:sz w:val="22"/>
          <w:szCs w:val="22"/>
        </w:rPr>
      </w:pPr>
      <w:r>
        <w:rPr>
          <w:rFonts w:cs="Arial" w:ascii="Arial" w:hAnsi="Arial"/>
          <w:sz w:val="24"/>
          <w:szCs w:val="24"/>
          <w:u w:val="single"/>
        </w:rPr>
        <w:t>Second Experiment:</w:t>
      </w:r>
      <w:r>
        <w:rPr>
          <w:rFonts w:cs="Arial" w:ascii="Arial" w:hAnsi="Arial"/>
          <w:sz w:val="24"/>
          <w:szCs w:val="24"/>
        </w:rPr>
        <w:t xml:space="preserve"> </w:t>
      </w:r>
      <w:r>
        <w:rPr>
          <w:rFonts w:cs="Arial" w:ascii="Arial" w:hAnsi="Arial"/>
          <w:sz w:val="22"/>
          <w:szCs w:val="22"/>
        </w:rPr>
        <w:t xml:space="preserve"> Our second experiment examined the impact of changes to several of Gurobi's default parameters on the solution time of the same test set of thirty boolean knapsack problems.  We altered the MIP focus, the solution gap tolerance, the percentage of time spent using heuristics, and a Numerical Focus parameter. </w:t>
      </w:r>
      <w:r>
        <w:rPr>
          <w:rStyle w:val="EndnoteAnchor"/>
          <w:rFonts w:cs="Arial" w:ascii="Arial" w:hAnsi="Arial"/>
          <w:sz w:val="22"/>
          <w:szCs w:val="22"/>
        </w:rPr>
        <w:endnoteReference w:id="3"/>
      </w:r>
      <w:r>
        <w:rPr>
          <w:rFonts w:cs="Arial" w:ascii="Arial" w:hAnsi="Arial"/>
          <w:sz w:val="22"/>
          <w:szCs w:val="22"/>
        </w:rPr>
        <w:t xml:space="preserve">  The first observation , as shown in Illustration 5 is that run-times were reduced with statistical significance in Gurobi's python environment than when compared  to the standard Anaconda environment using PuLP.  However, as a convenience we altered Gurobi's parameters in the Gurobi shell since PuLP lacks the ability to reconstitute PuLP models from either .MPS or .LP files.  Results were again compared using both Scheffe and Tukey, with agreement in the results.</w:t>
      </w:r>
    </w:p>
    <w:p>
      <w:pPr>
        <w:pStyle w:val="Normal"/>
        <w:rPr>
          <w:rFonts w:cs="Arial" w:ascii="Arial" w:hAnsi="Arial"/>
          <w:sz w:val="22"/>
          <w:szCs w:val="22"/>
        </w:rPr>
      </w:pPr>
      <w:r>
        <w:rPr>
          <w:rFonts w:cs="Arial" w:ascii="Arial" w:hAnsi="Arial"/>
          <w:sz w:val="22"/>
          <w:szCs w:val="22"/>
        </w:rPr>
        <w:t xml:space="preserve">    </w:t>
      </w:r>
      <w:r>
        <w:rPr>
          <w:rFonts w:cs="Arial" w:ascii="Arial" w:hAnsi="Arial"/>
          <w:sz w:val="22"/>
          <w:szCs w:val="22"/>
        </w:rPr>
        <w:t>Illustration 6 highlights the heteroscedasticity present across observations, confirming again that some iterations are simply more computationally demanding than others.   Illustration 7 shows the somewhat intuitive result than increasing the gap tolerance allows more computationally difficult iterations to be solved faster, at the cost of solution quality.  MIP focus changes, as shown in Illustration 8, show the counter-intuitive result that any focus chosen performs faster than the default setting of automatic.</w:t>
      </w:r>
    </w:p>
    <w:p>
      <w:pPr>
        <w:pStyle w:val="Normal"/>
        <w:rPr>
          <w:rFonts w:cs="Arial" w:ascii="Arial" w:hAnsi="Arial"/>
          <w:sz w:val="22"/>
          <w:szCs w:val="22"/>
          <w:u w:val="none"/>
        </w:rPr>
      </w:pPr>
      <w:r>
        <w:rPr>
          <w:rFonts w:cs="Arial" w:ascii="Arial" w:hAnsi="Arial"/>
          <w:sz w:val="22"/>
          <w:szCs w:val="22"/>
        </w:rPr>
        <w:t xml:space="preserve">  </w:t>
      </w:r>
      <w:r>
        <w:rPr>
          <w:rFonts w:cs="Arial" w:ascii="Arial" w:hAnsi="Arial"/>
          <w:sz w:val="24"/>
          <w:szCs w:val="24"/>
        </w:rPr>
        <w:t xml:space="preserve"> </w:t>
      </w:r>
      <w:r>
        <w:rPr>
          <w:rFonts w:cs="Arial" w:ascii="Arial" w:hAnsi="Arial"/>
          <w:sz w:val="24"/>
          <w:szCs w:val="24"/>
          <w:u w:val="single"/>
        </w:rPr>
        <w:t>Conclusions:</w:t>
      </w:r>
      <w:r>
        <w:rPr>
          <w:rFonts w:cs="Arial" w:ascii="Arial" w:hAnsi="Arial"/>
          <w:sz w:val="22"/>
          <w:szCs w:val="22"/>
          <w:u w:val="none"/>
        </w:rPr>
        <w:t xml:space="preserve">  This project appears to confirm some of the findings of Mittelmann</w:t>
      </w:r>
      <w:r>
        <w:rPr>
          <w:rStyle w:val="EndnoteAnchor"/>
          <w:rFonts w:cs="Arial" w:ascii="Arial" w:hAnsi="Arial"/>
          <w:sz w:val="22"/>
          <w:szCs w:val="22"/>
          <w:u w:val="none"/>
        </w:rPr>
        <w:endnoteReference w:id="4"/>
      </w:r>
      <w:r>
        <w:rPr>
          <w:rFonts w:cs="Arial" w:ascii="Arial" w:hAnsi="Arial"/>
          <w:sz w:val="22"/>
          <w:szCs w:val="22"/>
          <w:u w:val="none"/>
        </w:rPr>
        <w:t xml:space="preserve"> regarding MILP performance between, among other solvers, Gurobi and the CBC(COIN) solver.  Furthermore, we've shown that there is a statistical difference between using the Gurobi Python environment and simply calling Gurobi from another.  Further work might show whether this additional time is some constant associated with the API call or whether the delay might scale with increasingly large problems.</w:t>
      </w:r>
      <w:r>
        <w:pict>
          <v:rect fillcolor="#FFFFFF" strokecolor="#000000" strokeweight="0pt" style="position:absolute;width:165.8pt;height:218.8pt;mso-wrap-distance-left:0pt;mso-wrap-distance-right:0pt;mso-wrap-distance-top:0pt;mso-wrap-distance-bottom:0pt;margin-top:70.35pt;margin-left:403.6pt">
            <v:textbox inset="0in,0in,0in,0in">
              <w:txbxContent>
                <w:p>
                  <w:pPr>
                    <w:pStyle w:val="Illustration"/>
                    <w:spacing w:before="120" w:after="120"/>
                    <w:rPr/>
                  </w:pPr>
                  <w:r>
                    <w:rPr/>
                    <w:t xml:space="preserve">Illustration </w:t>
                  </w:r>
                  <w:r>
                    <w:rPr/>
                    <w:t>8</w:t>
                  </w:r>
                  <w:r>
                    <w:rPr/>
                    <w:t>: MIP Focus Settings, anything is better than automatic.</w:t>
                    <w:drawing>
                      <wp:anchor behindDoc="0" distT="0" distB="0" distL="0" distR="0" simplePos="0" locked="0" layoutInCell="1" allowOverlap="1" relativeHeight="21">
                        <wp:simplePos x="0" y="0"/>
                        <wp:positionH relativeFrom="column">
                          <wp:posOffset>-635</wp:posOffset>
                        </wp:positionH>
                        <wp:positionV relativeFrom="paragraph">
                          <wp:posOffset>-635</wp:posOffset>
                        </wp:positionV>
                        <wp:extent cx="2105660" cy="20891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105660" cy="2089150"/>
                                </a:xfrm>
                                <a:prstGeom prst="rect">
                                  <a:avLst/>
                                </a:prstGeom>
                                <a:noFill/>
                                <a:ln w="9525">
                                  <a:noFill/>
                                  <a:miter lim="800000"/>
                                  <a:headEnd/>
                                  <a:tailEnd/>
                                </a:ln>
                              </pic:spPr>
                            </pic:pic>
                          </a:graphicData>
                        </a:graphic>
                      </wp:anchor>
                    </w:drawing>
                  </w:r>
                </w:p>
              </w:txbxContent>
            </v:textbox>
            <w10:wrap type="square"/>
          </v:rect>
        </w:pict>
      </w:r>
    </w:p>
    <w:p>
      <w:pPr>
        <w:pStyle w:val="Normal"/>
        <w:rPr>
          <w:rFonts w:cs="Arial" w:ascii="Arial" w:hAnsi="Arial"/>
          <w:sz w:val="22"/>
          <w:szCs w:val="22"/>
          <w:u w:val="none"/>
        </w:rPr>
      </w:pPr>
      <w:r>
        <w:rPr>
          <w:rFonts w:cs="Arial" w:ascii="Arial" w:hAnsi="Arial"/>
          <w:sz w:val="22"/>
          <w:szCs w:val="22"/>
          <w:u w:val="none"/>
        </w:rPr>
        <w:t xml:space="preserve">     </w:t>
      </w:r>
      <w:r>
        <w:rPr>
          <w:rFonts w:cs="Arial" w:ascii="Arial" w:hAnsi="Arial"/>
          <w:sz w:val="22"/>
          <w:szCs w:val="22"/>
          <w:u w:val="none"/>
        </w:rPr>
        <w:t>We've also shown that for the problem examined, we can tune Gurobi's paramters for optimal speed, especially if we find small magnitude differences (i.e. a single star-page) acceptable in  a high-quality solution and the absolute optimal.</w:t>
      </w:r>
    </w:p>
    <w:p>
      <w:pPr>
        <w:pStyle w:val="Normal"/>
        <w:rPr>
          <w:rFonts w:cs="Arial" w:ascii="Arial" w:hAnsi="Arial"/>
          <w:sz w:val="22"/>
          <w:szCs w:val="22"/>
          <w:u w:val="none"/>
        </w:rPr>
      </w:pPr>
      <w:r>
        <w:rPr>
          <w:rFonts w:cs="Arial" w:ascii="Arial" w:hAnsi="Arial"/>
          <w:sz w:val="22"/>
          <w:szCs w:val="22"/>
          <w:u w:val="none"/>
        </w:rPr>
        <w:t xml:space="preserve">    </w:t>
      </w:r>
      <w:r>
        <w:rPr>
          <w:rFonts w:cs="Arial" w:ascii="Arial" w:hAnsi="Arial"/>
          <w:sz w:val="22"/>
          <w:szCs w:val="22"/>
          <w:u w:val="none"/>
        </w:rPr>
        <w:t>This work also raises some other questions for future investigation.  Is the slow performance of the automatic (0) MIP Focus setting purely coincidental or related to problem size or structure?   Other structures and sizes could be examined to explore this phenomena, and potentially result in a recommendation to not use the automatic MIP Focus setting in certain cases.   Also, we could extend the first part of our work into other modeling approaches and extending the list of solvers to include CPLEX and the LPSolve library.  Future work could compare python's Pyomo, PyLPSolve, and CVXOPT, R's LpSolveAPI and Adagio (</w:t>
      </w:r>
      <w:r>
        <w:rPr>
          <w:rFonts w:cs="Arial" w:ascii="Arial" w:hAnsi="Arial"/>
          <w:sz w:val="22"/>
          <w:szCs w:val="22"/>
          <w:u w:val="none"/>
        </w:rPr>
        <w:t xml:space="preserve">with a specialized </w:t>
      </w:r>
      <w:r>
        <w:rPr>
          <w:rFonts w:cs="Arial" w:ascii="Arial" w:hAnsi="Arial"/>
          <w:sz w:val="22"/>
          <w:szCs w:val="22"/>
          <w:u w:val="none"/>
        </w:rPr>
        <w:t xml:space="preserve">mknapsack </w:t>
      </w:r>
      <w:r>
        <w:rPr>
          <w:rFonts w:cs="Arial" w:ascii="Arial" w:hAnsi="Arial"/>
          <w:sz w:val="22"/>
          <w:szCs w:val="22"/>
          <w:u w:val="none"/>
        </w:rPr>
        <w:t>function</w:t>
      </w:r>
      <w:r>
        <w:rPr>
          <w:rFonts w:cs="Arial" w:ascii="Arial" w:hAnsi="Arial"/>
          <w:sz w:val="22"/>
          <w:szCs w:val="22"/>
          <w:u w:val="none"/>
        </w:rPr>
        <w:t>) packages to more traditional modeling aproaches such as Julia, GAMS and AMPL.  Do certain approaches and wrapper libraries impose a singular translation cost to call a particular solver, or do some modeling frameworks impose a level of bloat that might make them unusable for problems over a certain size?  Increased data on the original solvers might be able to overcome the different variances of each iteration to show other mean differences in processor time as statistically significant. These are all open questions that are critical to understanding the choice of tool for a large-scale optimization problem.</w:t>
      </w:r>
    </w:p>
    <w:p>
      <w:pPr>
        <w:pStyle w:val="Normal"/>
        <w:widowControl/>
        <w:suppressAutoHyphens w:val="true"/>
        <w:overflowPunct w:val="false"/>
        <w:bidi w:val="0"/>
        <w:spacing w:lineRule="auto" w:line="276" w:before="0" w:after="200"/>
        <w:jc w:val="left"/>
        <w:rPr/>
      </w:pPr>
      <w:r>
        <w:rPr/>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Endnote"/>
        <w:spacing w:before="0" w:after="200"/>
        <w:rPr>
          <w:rStyle w:val="InternetLink"/>
        </w:rPr>
      </w:pPr>
      <w:r>
        <w:rPr/>
        <w:endnoteRef/>
        <w:tab/>
        <w:t xml:space="preserve"> </w:t>
      </w:r>
      <w:r>
        <w:rPr/>
        <w:t xml:space="preserve">Wikipedia. </w:t>
      </w:r>
      <w:r>
        <w:fldChar w:fldCharType="begin"/>
      </w:r>
      <w:r>
        <w:instrText> HYPERLINK "https://en.wikipedia.org/wiki/Knapsack_problem" \l "Definition"</w:instrText>
      </w:r>
      <w:r>
        <w:fldChar w:fldCharType="separate"/>
      </w:r>
      <w:r>
        <w:rPr>
          <w:rStyle w:val="InternetLink"/>
        </w:rPr>
        <w:t>https://en.wikipedia.org/wiki/Knapsack_problem#Definition</w:t>
      </w:r>
      <w:r>
        <w:fldChar w:fldCharType="end"/>
      </w:r>
    </w:p>
  </w:endnote>
  <w:endnote w:id="3">
    <w:p>
      <w:pPr>
        <w:pStyle w:val="Endnote"/>
        <w:spacing w:before="0" w:after="200"/>
        <w:rPr/>
      </w:pPr>
      <w:r>
        <w:rPr/>
        <w:endnoteRef/>
        <w:tab/>
      </w:r>
      <w:r>
        <w:rPr/>
        <w:t>Gurobi parameter link.</w:t>
      </w:r>
    </w:p>
  </w:endnote>
  <w:endnote w:id="4">
    <w:p>
      <w:pPr>
        <w:pStyle w:val="Endnote"/>
        <w:rPr>
          <w:rStyle w:val="InternetLink"/>
        </w:rPr>
      </w:pPr>
      <w:hyperlink r:id="rId1">
        <w:r>
          <w:rPr>
            <w:rStyle w:val="InternetLink"/>
          </w:rPr>
          <w:endnoteRef/>
          <w:tab/>
        </w:r>
        <w:r>
          <w:rPr>
            <w:rStyle w:val="InternetLink"/>
          </w:rPr>
          <w:t>http://plato.asu.edu/ftp/milpc.html</w:t>
        </w:r>
      </w:hyperlink>
    </w:p>
    <w:p>
      <w:pPr>
        <w:pStyle w:val="Endnote"/>
        <w:spacing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65"/>
  <w:defaultTabStop w:val="720"/>
  <w:endnotePr>
    <w:numFmt w:val="lowerRoman"/>
    <w:endnote w:id="0"/>
    <w:endnote w:id="1"/>
  </w:endnotePr>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DejaVu Sans"/>
      <w:color w:val="00000A"/>
      <w:sz w:val="22"/>
      <w:szCs w:val="22"/>
      <w:lang w:val="en-US"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rPr/>
  </w:style>
  <w:style w:type="character" w:styleId="FootnoteCharacters">
    <w:name w:val="Foot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paragraph" w:styleId="Default">
    <w:name w:val="Default"/>
    <w:pPr>
      <w:widowControl/>
      <w:suppressAutoHyphens w:val="true"/>
      <w:overflowPunct w:val="false"/>
      <w:bidi w:val="0"/>
      <w:spacing w:lineRule="auto" w:line="240" w:before="0" w:after="0"/>
      <w:jc w:val="left"/>
    </w:pPr>
    <w:rPr>
      <w:rFonts w:ascii="Times New Roman" w:hAnsi="Times New Roman" w:eastAsia="Droid Sans Fallback" w:cs="Times New Roman"/>
      <w:color w:val="000000"/>
      <w:sz w:val="24"/>
      <w:szCs w:val="24"/>
      <w:lang w:val="en-US" w:eastAsia="en-US" w:bidi="ar-SA"/>
    </w:rPr>
  </w:style>
  <w:style w:type="paragraph" w:styleId="Footnote">
    <w:name w:val="Footnote"/>
    <w:basedOn w:val="Normal"/>
    <w:pPr/>
    <w:rPr/>
  </w:style>
  <w:style w:type="paragraph" w:styleId="Illustration">
    <w:name w:val="Illustration"/>
    <w:basedOn w:val="Caption"/>
    <w:pPr/>
    <w:rPr/>
  </w:style>
  <w:style w:type="paragraph" w:styleId="FrameContents">
    <w:name w:val="Frame Contents"/>
    <w:basedOn w:val="Normal"/>
    <w:pPr/>
    <w:rPr/>
  </w:style>
  <w:style w:type="paragraph" w:styleId="Endnote">
    <w:name w:val="Endnote"/>
    <w:basedOn w:val="Normal"/>
    <w:pPr/>
    <w:rPr/>
  </w:style>
  <w:style w:type="paragraph" w:styleId="Header">
    <w:name w:val="Header"/>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wmf"/><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5.png"/><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image" Target="media/image49.png"/><Relationship Id="rId13" Type="http://schemas.openxmlformats.org/officeDocument/2006/relationships/image" Target="media/image50.png"/><Relationship Id="rId14" Type="http://schemas.openxmlformats.org/officeDocument/2006/relationships/image" Target="media/image51.png"/><Relationship Id="rId15" Type="http://schemas.openxmlformats.org/officeDocument/2006/relationships/endnotes" Target="endnotes.xml"/><Relationship Id="rId16" Type="http://schemas.openxmlformats.org/officeDocument/2006/relationships/fontTable" Target="fontTable.xml"/><Relationship Id="rId17"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plato.asu.edu/ftp/milpc.html" TargetMode="Externa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2016-02-26T21:06:00Z</dcterms:created>
  <dc:creator>Ferguson, Matthew D MAJ USA AETC AFIT/ENS</dc:creator>
  <dc:language>en-US</dc:language>
  <dcterms:modified xsi:type="dcterms:W3CDTF">2016-02-29T13:30:01Z</dcterms:modified>
  <cp:revision>1</cp:revision>
</cp:coreProperties>
</file>