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1428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409825"/>
                    </a:xfrm>
                    <a:prstGeom prst="rect">
                      <a:avLst/>
                    </a:prstGeom>
                  </pic:spPr>
                </pic:pic>
              </a:graphicData>
            </a:graphic>
          </wp:inline>
        </w:drawing>
      </w:r>
    </w:p>
    <w:p>
      <w:pPr>
        <w:spacing w:before="260"/>
      </w:pPr>
    </w:p>
    <w:p>
      <w:pPr>
        <w:spacing w:after="80" w:line="360" w:lineRule="auto"/>
        <w:jc w:val="center"/>
      </w:pPr>
      <w:r>
        <w:rPr>
          <w:rFonts w:ascii="Times New Roman" w:cs="Times New Roman" w:eastAsia="Times New Roman" w:hAnsi="Times New Roman"/>
          <w:b/>
          <w:bCs/>
          <w:color w:val="000000"/>
          <w:sz w:val="26"/>
          <w:szCs w:val="26"/>
        </w:rPr>
        <w:t xml:space="preserve">UNIVERSITI TEKNOLOGI PETRONAS</w:t>
      </w:r>
    </w:p>
    <w:p>
      <w:pPr>
        <w:spacing w:after="400" w:line="360" w:lineRule="auto"/>
        <w:jc w:val="center"/>
      </w:pPr>
      <w:r>
        <w:rPr>
          <w:rFonts w:ascii="Times New Roman" w:cs="Times New Roman" w:eastAsia="Times New Roman" w:hAnsi="Times New Roman"/>
          <w:b w:val="false"/>
          <w:bCs w:val="false"/>
          <w:color w:val="000000"/>
          <w:sz w:val="24"/>
          <w:szCs w:val="24"/>
        </w:rPr>
        <w:t xml:space="preserve">Bachelor of Information Technology</w:t>
      </w:r>
    </w:p>
    <w:p>
      <w:pPr>
        <w:spacing w:after="40" w:line="360" w:lineRule="auto"/>
        <w:jc w:val="center"/>
      </w:pPr>
      <w:r>
        <w:rPr>
          <w:rFonts w:ascii="Times New Roman" w:cs="Times New Roman" w:eastAsia="Times New Roman" w:hAnsi="Times New Roman"/>
          <w:b/>
          <w:bCs/>
          <w:color w:val="000000"/>
          <w:sz w:val="28"/>
          <w:szCs w:val="28"/>
        </w:rPr>
        <w:t xml:space="preserve">PREMIER LEAGUE PERFORMANCE DASHBOARD</w:t>
      </w:r>
    </w:p>
    <w:p>
      <w:pPr>
        <w:spacing w:after="900" w:line="360" w:lineRule="auto"/>
        <w:jc w:val="center"/>
      </w:pPr>
      <w:r>
        <w:rPr>
          <w:rFonts w:ascii="Times New Roman" w:cs="Times New Roman" w:eastAsia="Times New Roman" w:hAnsi="Times New Roman"/>
          <w:b w:val="false"/>
          <w:bCs w:val="false"/>
          <w:color w:val="000000"/>
          <w:sz w:val="24"/>
          <w:szCs w:val="24"/>
        </w:rPr>
        <w:t xml:space="preserve">Data Visualization Final Project, Condensed Report</w:t>
      </w:r>
    </w:p>
    <w:p>
      <w:pPr>
        <w:spacing w:after="60" w:line="360" w:lineRule="auto"/>
        <w:jc w:val="center"/>
      </w:pPr>
      <w:r>
        <w:rPr>
          <w:rFonts w:ascii="Times New Roman" w:cs="Times New Roman" w:eastAsia="Times New Roman" w:hAnsi="Times New Roman"/>
          <w:b w:val="false"/>
          <w:bCs w:val="false"/>
          <w:color w:val="000000"/>
          <w:sz w:val="24"/>
          <w:szCs w:val="24"/>
        </w:rPr>
        <w:t xml:space="preserve">Ferhad Edika Putra bin Azmi</w:t>
      </w:r>
    </w:p>
    <w:p>
      <w:pPr>
        <w:spacing w:after="60" w:line="360" w:lineRule="auto"/>
        <w:jc w:val="center"/>
      </w:pPr>
      <w:r>
        <w:rPr>
          <w:rFonts w:ascii="Times New Roman" w:cs="Times New Roman" w:eastAsia="Times New Roman" w:hAnsi="Times New Roman"/>
          <w:b w:val="false"/>
          <w:bCs w:val="false"/>
          <w:color w:val="000000"/>
          <w:sz w:val="24"/>
          <w:szCs w:val="24"/>
        </w:rPr>
        <w:t xml:space="preserve"> </w:t>
      </w:r>
    </w:p>
    <w:p>
      <w:pPr>
        <w:spacing w:after="60" w:line="360" w:lineRule="auto"/>
        <w:jc w:val="center"/>
      </w:pPr>
      <w:r>
        <w:rPr>
          <w:rFonts w:ascii="Times New Roman" w:cs="Times New Roman" w:eastAsia="Times New Roman" w:hAnsi="Times New Roman"/>
          <w:b w:val="false"/>
          <w:bCs w:val="false"/>
          <w:color w:val="000000"/>
          <w:sz w:val="24"/>
          <w:szCs w:val="24"/>
        </w:rPr>
        <w:t xml:space="preserve">TFB3133 Data Visualization</w:t>
      </w:r>
    </w:p>
    <w:p>
      <w:pPr>
        <w:spacing w:after="60" w:line="360" w:lineRule="auto"/>
        <w:jc w:val="center"/>
      </w:pPr>
      <w:r>
        <w:rPr>
          <w:rFonts w:ascii="Times New Roman" w:cs="Times New Roman" w:eastAsia="Times New Roman" w:hAnsi="Times New Roman"/>
          <w:b w:val="false"/>
          <w:bCs w:val="false"/>
          <w:color w:val="000000"/>
          <w:sz w:val="24"/>
          <w:szCs w:val="24"/>
        </w:rPr>
        <w:t xml:space="preserve">May 2026</w:t>
      </w:r>
    </w:p>
    <w:p>
      <w:r>
        <w:br w:type="page"/>
      </w:r>
    </w:p>
    <w:p>
      <w:pPr>
        <w:spacing w:after="120" w:before="260" w:line="360" w:lineRule="auto"/>
      </w:pPr>
      <w:r>
        <w:rPr>
          <w:rFonts w:ascii="Times New Roman" w:cs="Times New Roman" w:eastAsia="Times New Roman" w:hAnsi="Times New Roman"/>
          <w:b/>
          <w:bCs/>
          <w:color w:val="000000"/>
          <w:sz w:val="30"/>
          <w:szCs w:val="30"/>
        </w:rPr>
        <w:t xml:space="preserve">1. Domain and Problem Definition</w:t>
      </w:r>
    </w:p>
    <w:p>
      <w:pPr>
        <w:spacing w:after="180" w:line="360" w:lineRule="auto"/>
        <w:jc w:val="both"/>
      </w:pPr>
      <w:r>
        <w:rPr>
          <w:rFonts w:ascii="Times New Roman" w:cs="Times New Roman" w:eastAsia="Times New Roman" w:hAnsi="Times New Roman"/>
          <w:color w:val="000000"/>
          <w:sz w:val="24"/>
          <w:szCs w:val="24"/>
        </w:rPr>
        <w:t xml:space="preserve">This project investigates Premier League team performance and match outcomes from the 2020/21 to 2024/25 seasons, focusing on how underlying performance indicators such as expected goals, possession, and shots on target relate to actual results. Match outcomes often appear inconsistent with underlying performance, where a team may dominate possession and shot volume yet still lose. Understanding this gap matters because clubs, analysts, and fans increasingly rely on advanced metrics to judge team quality and manager effectiveness, and relying on results alone can lead to poor judgments about a team's true form. The dashboard is intended for football analysts, club performance staff, and informed fans who want to move beyond the scoreline, supporting decisions such as identifying over or underperforming teams and comparing teams on a consistent set of metrics.</w:t>
      </w:r>
    </w:p>
    <w:p>
      <w:pPr>
        <w:spacing w:after="120" w:before="260" w:line="360" w:lineRule="auto"/>
      </w:pPr>
      <w:r>
        <w:rPr>
          <w:rFonts w:ascii="Times New Roman" w:cs="Times New Roman" w:eastAsia="Times New Roman" w:hAnsi="Times New Roman"/>
          <w:b/>
          <w:bCs/>
          <w:color w:val="000000"/>
          <w:sz w:val="30"/>
          <w:szCs w:val="30"/>
        </w:rPr>
        <w:t xml:space="preserve">2. Dataset Description</w:t>
      </w:r>
    </w:p>
    <w:p>
      <w:pPr>
        <w:spacing w:after="180" w:line="360" w:lineRule="auto"/>
        <w:jc w:val="both"/>
      </w:pPr>
      <w:r>
        <w:rPr>
          <w:rFonts w:ascii="Times New Roman" w:cs="Times New Roman" w:eastAsia="Times New Roman" w:hAnsi="Times New Roman"/>
          <w:color w:val="000000"/>
          <w:sz w:val="24"/>
          <w:szCs w:val="24"/>
        </w:rPr>
        <w:t xml:space="preserve">The dataset is a Premier League match log covering 3,800 records and 27 clubs across five seasons, sourced as a per team per match statistics table. After cleaning, it contains 34 attributes, including 28 original fields and 6 calculated or extracted attributes. Each row represents one team's perspective of one fixture, giving both a home and an away record for every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Attribute type</w:t>
            </w:r>
          </w:p>
        </w:tc>
        <w:tc>
          <w:tcPr>
            <w:tcW w:type="dxa" w:w="686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Examples</w:t>
            </w:r>
          </w:p>
        </w:tc>
      </w:tr>
      <w:tr>
        <w:tc>
          <w:tcPr>
            <w:tcW w:type="dxa" w:w="25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Categorical</w:t>
            </w:r>
          </w:p>
        </w:tc>
        <w:tc>
          <w:tcPr>
            <w:tcW w:type="dxa" w:w="68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team, opponent, venue, result, season period</w:t>
            </w:r>
          </w:p>
        </w:tc>
      </w:tr>
      <w:tr>
        <w:tc>
          <w:tcPr>
            <w:tcW w:type="dxa" w:w="25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Numerical</w:t>
            </w:r>
          </w:p>
        </w:tc>
        <w:tc>
          <w:tcPr>
            <w:tcW w:type="dxa" w:w="68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goals for and against, xG, xGA, possession, shots, shots on target, points, xG differential</w:t>
            </w:r>
          </w:p>
        </w:tc>
      </w:tr>
      <w:tr>
        <w:tc>
          <w:tcPr>
            <w:tcW w:type="dxa" w:w="25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Date and time</w:t>
            </w:r>
          </w:p>
        </w:tc>
        <w:tc>
          <w:tcPr>
            <w:tcW w:type="dxa" w:w="68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date, season, matchweek number, match month</w:t>
            </w:r>
          </w:p>
        </w:tc>
      </w:tr>
    </w:tbl>
    <w:p>
      <w:pPr>
        <w:spacing w:after="120" w:before="260" w:line="360" w:lineRule="auto"/>
      </w:pPr>
      <w:r>
        <w:rPr>
          <w:rFonts w:ascii="Times New Roman" w:cs="Times New Roman" w:eastAsia="Times New Roman" w:hAnsi="Times New Roman"/>
          <w:b/>
          <w:bCs/>
          <w:color w:val="000000"/>
          <w:sz w:val="30"/>
          <w:szCs w:val="30"/>
        </w:rPr>
        <w:t xml:space="preserve">3. Stakeholder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060"/>
        <w:gridCol w:w="2000"/>
      </w:tblGrid>
      <w:tr>
        <w:trPr>
          <w:tblHeader/>
        </w:trPr>
        <w:tc>
          <w:tcPr>
            <w:tcW w:type="dxa" w:w="200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Stakeholder</w:t>
            </w:r>
          </w:p>
        </w:tc>
        <w:tc>
          <w:tcPr>
            <w:tcW w:type="dxa" w:w="230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Main objective</w:t>
            </w:r>
          </w:p>
        </w:tc>
        <w:tc>
          <w:tcPr>
            <w:tcW w:type="dxa" w:w="306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Required information</w:t>
            </w:r>
          </w:p>
        </w:tc>
        <w:tc>
          <w:tcPr>
            <w:tcW w:type="dxa" w:w="200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Detail level</w:t>
            </w:r>
          </w:p>
        </w:tc>
      </w:tr>
      <w:tr>
        <w:tc>
          <w:tcPr>
            <w:tcW w:type="dxa" w:w="20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Club performance analyst</w:t>
            </w:r>
          </w:p>
        </w:tc>
        <w:tc>
          <w:tcPr>
            <w:tcW w:type="dxa" w:w="23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Assess whether results match underlying performance quality</w:t>
            </w:r>
          </w:p>
        </w:tc>
        <w:tc>
          <w:tcPr>
            <w:tcW w:type="dxa" w:w="30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Match by match xG, shots, possession, results by team and season</w:t>
            </w:r>
          </w:p>
        </w:tc>
        <w:tc>
          <w:tcPr>
            <w:tcW w:type="dxa" w:w="20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Detailed, drillable to match level</w:t>
            </w:r>
          </w:p>
        </w:tc>
      </w:tr>
      <w:tr>
        <w:tc>
          <w:tcPr>
            <w:tcW w:type="dxa" w:w="20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Club senior manager or coach</w:t>
            </w:r>
          </w:p>
        </w:tc>
        <w:tc>
          <w:tcPr>
            <w:tcW w:type="dxa" w:w="23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Track form over time to justify tactical or squad decisions</w:t>
            </w:r>
          </w:p>
        </w:tc>
        <w:tc>
          <w:tcPr>
            <w:tcW w:type="dxa" w:w="30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Season trends in results, goals, possession, formation</w:t>
            </w:r>
          </w:p>
        </w:tc>
        <w:tc>
          <w:tcPr>
            <w:tcW w:type="dxa" w:w="20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Summary with drill down option</w:t>
            </w:r>
          </w:p>
        </w:tc>
      </w:tr>
      <w:tr>
        <w:tc>
          <w:tcPr>
            <w:tcW w:type="dxa" w:w="20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General football fan</w:t>
            </w:r>
          </w:p>
        </w:tc>
        <w:tc>
          <w:tcPr>
            <w:tcW w:type="dxa" w:w="23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Understand team performance versus rivals or across seasons</w:t>
            </w:r>
          </w:p>
        </w:tc>
        <w:tc>
          <w:tcPr>
            <w:tcW w:type="dxa" w:w="30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Results, goals, simple trend</w:t>
            </w:r>
          </w:p>
        </w:tc>
        <w:tc>
          <w:tcPr>
            <w:tcW w:type="dxa" w:w="20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Summary only, minimal jargon</w:t>
            </w:r>
          </w:p>
        </w:tc>
      </w:tr>
    </w:tbl>
    <w:p>
      <w:pPr>
        <w:spacing w:after="120" w:before="260" w:line="360" w:lineRule="auto"/>
      </w:pPr>
      <w:r>
        <w:rPr>
          <w:rFonts w:ascii="Times New Roman" w:cs="Times New Roman" w:eastAsia="Times New Roman" w:hAnsi="Times New Roman"/>
          <w:b/>
          <w:bCs/>
          <w:color w:val="000000"/>
          <w:sz w:val="30"/>
          <w:szCs w:val="30"/>
        </w:rPr>
        <w:t xml:space="preserve">4. Analytical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Type</w:t>
            </w:r>
          </w:p>
        </w:tc>
        <w:tc>
          <w:tcPr>
            <w:tcW w:type="dxa" w:w="766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Question</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Descriptive</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Which teams recorded the highest total goals scored across the seasons</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Descriptive</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What proportion of matches for each team ended in a win, draw, or loss</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Comparative</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How does average possession differ between teams with more wins versus more losses</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Comparative</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How do a team's home outcomes compare with its away outcomes</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Trend</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How has a team's xG changed across matchweeks within a season</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Trend</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How has average attendance trended across seasons</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Relationship</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What is the relationship between possession and match result</w:t>
            </w:r>
          </w:p>
        </w:tc>
      </w:tr>
      <w:tr>
        <w:tc>
          <w:tcPr>
            <w:tcW w:type="dxa" w:w="170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Anomaly or risk</w:t>
            </w:r>
          </w:p>
        </w:tc>
        <w:tc>
          <w:tcPr>
            <w:tcW w:type="dxa" w:w="76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Which matches show the largest gap between xG and actual goals scored</w:t>
            </w:r>
          </w:p>
        </w:tc>
      </w:tr>
    </w:tbl>
    <w:p>
      <w:pPr>
        <w:spacing w:after="120" w:before="260" w:line="360" w:lineRule="auto"/>
      </w:pPr>
      <w:r>
        <w:rPr>
          <w:rFonts w:ascii="Times New Roman" w:cs="Times New Roman" w:eastAsia="Times New Roman" w:hAnsi="Times New Roman"/>
          <w:b/>
          <w:bCs/>
          <w:color w:val="000000"/>
          <w:sz w:val="30"/>
          <w:szCs w:val="30"/>
        </w:rPr>
        <w:t xml:space="preserve">5. Data Cleaning Summary</w:t>
      </w:r>
    </w:p>
    <w:p>
      <w:pPr>
        <w:spacing w:after="180" w:line="360" w:lineRule="auto"/>
        <w:jc w:val="both"/>
      </w:pPr>
      <w:r>
        <w:rPr>
          <w:rFonts w:ascii="Times New Roman" w:cs="Times New Roman" w:eastAsia="Times New Roman" w:hAnsi="Times New Roman"/>
          <w:color w:val="000000"/>
          <w:sz w:val="24"/>
          <w:szCs w:val="24"/>
        </w:rPr>
        <w:t xml:space="preserve">Inspection found no duplicate rows. Attendance was missing for 698 records, about 18.4 percent, concentrated in the pandemic restricted 2020/21 season, and was left null rather than imputed. The notes column was entirely empty and dropped. Opponent names used shortened club names inconsistent with the team column's full names for nine clubs, and these were standardized. The formation and opponent formation columns were found to be corrupted, with roughly half of all values auto converted into date strings by spreadsheet software, and were cleared rather than guessed at. Two calculated attributes were added, points per match, where win equals 3, draw equals 1, and loss equals 0, and xG differential, goals scored minus xG, both required to answer the analytical questions above. No rows were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Metric</w:t>
            </w:r>
          </w:p>
        </w:tc>
        <w:tc>
          <w:tcPr>
            <w:tcW w:type="dxa" w:w="468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Value</w:t>
            </w:r>
          </w:p>
        </w:tc>
      </w:tr>
      <w:tr>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Total records and columns</w:t>
            </w:r>
          </w:p>
        </w:tc>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3,800 and 34</w:t>
            </w:r>
          </w:p>
        </w:tc>
      </w:tr>
      <w:tr>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Duplicate rows</w:t>
            </w:r>
          </w:p>
        </w:tc>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0</w:t>
            </w:r>
          </w:p>
        </w:tc>
      </w:tr>
      <w:tr>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Missing attendance</w:t>
            </w:r>
          </w:p>
        </w:tc>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698, about 18.4 percent</w:t>
            </w:r>
          </w:p>
        </w:tc>
      </w:tr>
      <w:tr>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Columns dropped or corrupted</w:t>
            </w:r>
          </w:p>
        </w:tc>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1 dropped, 2 corrupted and cleared</w:t>
            </w:r>
          </w:p>
        </w:tc>
      </w:tr>
      <w:tr>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Category names corrected</w:t>
            </w:r>
          </w:p>
        </w:tc>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9 club names</w:t>
            </w:r>
          </w:p>
        </w:tc>
      </w:tr>
      <w:tr>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Calculated attributes added</w:t>
            </w:r>
          </w:p>
        </w:tc>
        <w:tc>
          <w:tcPr>
            <w:tcW w:type="dxa" w:w="468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2</w:t>
            </w:r>
          </w:p>
        </w:tc>
      </w:tr>
    </w:tbl>
    <w:p>
      <w:pPr>
        <w:spacing w:after="120" w:before="260" w:line="360" w:lineRule="auto"/>
      </w:pPr>
      <w:r>
        <w:rPr>
          <w:rFonts w:ascii="Times New Roman" w:cs="Times New Roman" w:eastAsia="Times New Roman" w:hAnsi="Times New Roman"/>
          <w:b/>
          <w:bCs/>
          <w:color w:val="000000"/>
          <w:sz w:val="30"/>
          <w:szCs w:val="30"/>
        </w:rPr>
        <w:t xml:space="preserve">6. Visualization Selection and Justification</w:t>
      </w:r>
    </w:p>
    <w:p>
      <w:pPr>
        <w:spacing w:after="180" w:line="360" w:lineRule="auto"/>
        <w:jc w:val="both"/>
      </w:pPr>
      <w:r>
        <w:rPr>
          <w:rFonts w:ascii="Times New Roman" w:cs="Times New Roman" w:eastAsia="Times New Roman" w:hAnsi="Times New Roman"/>
          <w:color w:val="000000"/>
          <w:sz w:val="24"/>
          <w:szCs w:val="24"/>
        </w:rPr>
        <w:t xml:space="preserve">Charts were chosen to answer specific analytical questions rather than the reverse. Two supplementary line charts, xG per matchweek and average attendance per season, were added specifically to answer the two trend questions that the core five charts did not directly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3050"/>
        <w:gridCol w:w="4760"/>
      </w:tblGrid>
      <w:tr>
        <w:trPr>
          <w:tblHeader/>
        </w:trPr>
        <w:tc>
          <w:tcPr>
            <w:tcW w:type="dxa" w:w="155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Role</w:t>
            </w:r>
          </w:p>
        </w:tc>
        <w:tc>
          <w:tcPr>
            <w:tcW w:type="dxa" w:w="305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Chart</w:t>
            </w:r>
          </w:p>
        </w:tc>
        <w:tc>
          <w:tcPr>
            <w:tcW w:type="dxa" w:w="4760"/>
            <w:shd w:fill="D9D9D9" w:val="clear"/>
            <w:tcMar>
              <w:top w:type="dxa" w:w="70"/>
              <w:left w:type="dxa" w:w="100"/>
              <w:bottom w:type="dxa" w:w="70"/>
              <w:right w:type="dxa" w:w="100"/>
            </w:tcMar>
          </w:tcPr>
          <w:p>
            <w:pPr>
              <w:spacing w:line="360" w:lineRule="auto"/>
              <w:jc w:val="both"/>
            </w:pPr>
            <w:r>
              <w:rPr>
                <w:rFonts w:ascii="Times New Roman" w:cs="Times New Roman" w:eastAsia="Times New Roman" w:hAnsi="Times New Roman"/>
                <w:b/>
                <w:bCs/>
                <w:color w:val="000000"/>
                <w:sz w:val="21"/>
                <w:szCs w:val="21"/>
              </w:rPr>
              <w:t xml:space="preserve">Why chosen</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Comparison</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Grouped bar, wins draws losses by team</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Compares three categorical outcomes per team and supports sorting and highlighting</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Time based</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Area chart, cumulative points</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Shows season trajectory, and a range slider focuses on a matchweek span</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Relationship</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Scatter, shots on target versus goals</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Tests a specific relationship, and venue color adds a second variable</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Distribution</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Box plot, possession by result</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Summarizes median, spread, and outliers per result category in one view</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Composition</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Treemap, goals by team</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Shows proportion of total goals per team through area, not just rank</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Advanced</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Calendar heatmap, points per date</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Reveals fixture congestion and calendar driven form patterns a line chart would flatten</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Advanced</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Parallel coordinates, four metrics</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Shows whether a team is strong across metrics at once, not just one at a time</w:t>
            </w:r>
          </w:p>
        </w:tc>
      </w:tr>
      <w:tr>
        <w:tc>
          <w:tcPr>
            <w:tcW w:type="dxa" w:w="15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Advanced</w:t>
            </w:r>
          </w:p>
        </w:tc>
        <w:tc>
          <w:tcPr>
            <w:tcW w:type="dxa" w:w="305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Scatter plot matrix, five metrics</w:t>
            </w:r>
          </w:p>
        </w:tc>
        <w:tc>
          <w:tcPr>
            <w:tcW w:type="dxa" w:w="4760"/>
            <w:tcMar>
              <w:top w:type="dxa" w:w="70"/>
              <w:left w:type="dxa" w:w="100"/>
              <w:bottom w:type="dxa" w:w="70"/>
              <w:right w:type="dxa" w:w="100"/>
            </w:tcMar>
          </w:tcPr>
          <w:p>
            <w:pPr>
              <w:spacing w:line="360" w:lineRule="auto"/>
              <w:jc w:val="both"/>
            </w:pPr>
            <w:r>
              <w:rPr>
                <w:rFonts w:ascii="Times New Roman" w:cs="Times New Roman" w:eastAsia="Times New Roman" w:hAnsi="Times New Roman"/>
                <w:b w:val="false"/>
                <w:bCs w:val="false"/>
                <w:color w:val="000000"/>
                <w:sz w:val="21"/>
                <w:szCs w:val="21"/>
              </w:rPr>
              <w:t xml:space="preserve">Tests all pairwise relationships between five variables in a single grid</w:t>
            </w:r>
          </w:p>
        </w:tc>
      </w:tr>
    </w:tbl>
    <w:p>
      <w:pPr>
        <w:spacing w:after="120" w:before="260" w:line="360" w:lineRule="auto"/>
      </w:pPr>
      <w:r>
        <w:rPr>
          <w:rFonts w:ascii="Times New Roman" w:cs="Times New Roman" w:eastAsia="Times New Roman" w:hAnsi="Times New Roman"/>
          <w:b/>
          <w:bCs/>
          <w:color w:val="000000"/>
          <w:sz w:val="30"/>
          <w:szCs w:val="30"/>
        </w:rPr>
        <w:t xml:space="preserve">7. Interaction Design</w:t>
      </w:r>
    </w:p>
    <w:p>
      <w:pPr>
        <w:spacing w:after="180" w:line="360" w:lineRule="auto"/>
        <w:jc w:val="both"/>
      </w:pPr>
      <w:r>
        <w:rPr>
          <w:rFonts w:ascii="Times New Roman" w:cs="Times New Roman" w:eastAsia="Times New Roman" w:hAnsi="Times New Roman"/>
          <w:color w:val="000000"/>
          <w:sz w:val="24"/>
          <w:szCs w:val="24"/>
        </w:rPr>
        <w:t xml:space="preserve">The dashboard implements category and time range filtering, tooltips, highlighting, cross filtering, and drill down as mandatory features, plus dynamic search and a reset control as additional features. Selecting a team in the comparison chart cascades through the time based chart, the distribution chart, and all four KPI cards in a single action, the core cross filtering chain. Drill down follows a League to Team to Match structure with breadcrumb navigation back to any level. Active filters are always shown as removable chips, alongside a live count of visible matches and a persistent reset control.</w:t>
      </w:r>
    </w:p>
    <w:p>
      <w:pPr>
        <w:spacing w:after="120" w:before="260" w:line="360" w:lineRule="auto"/>
      </w:pPr>
      <w:r>
        <w:rPr>
          <w:rFonts w:ascii="Times New Roman" w:cs="Times New Roman" w:eastAsia="Times New Roman" w:hAnsi="Times New Roman"/>
          <w:b/>
          <w:bCs/>
          <w:color w:val="000000"/>
          <w:sz w:val="30"/>
          <w:szCs w:val="30"/>
        </w:rPr>
        <w:t xml:space="preserve">8. Key Insights and Recommendations</w:t>
      </w:r>
    </w:p>
    <w:p>
      <w:pPr>
        <w:spacing w:after="100" w:line="360" w:lineRule="auto"/>
        <w:jc w:val="both"/>
      </w:pPr>
      <w:r>
        <w:rPr>
          <w:rFonts w:ascii="Times New Roman" w:cs="Times New Roman" w:eastAsia="Times New Roman" w:hAnsi="Times New Roman"/>
          <w:color w:val="000000"/>
          <w:sz w:val="24"/>
          <w:szCs w:val="24"/>
        </w:rPr>
        <w:t xml:space="preserve">1. Manchester City leads the league with 430 total points across the dataset, evidence of sustained dominance rather than one strong season.</w:t>
      </w:r>
    </w:p>
    <w:p>
      <w:pPr>
        <w:spacing w:after="100" w:line="360" w:lineRule="auto"/>
        <w:jc w:val="both"/>
      </w:pPr>
      <w:r>
        <w:rPr>
          <w:rFonts w:ascii="Times New Roman" w:cs="Times New Roman" w:eastAsia="Times New Roman" w:hAnsi="Times New Roman"/>
          <w:color w:val="000000"/>
          <w:sz w:val="24"/>
          <w:szCs w:val="24"/>
        </w:rPr>
        <w:t xml:space="preserve">2. League wide scoring rose 21.4 percent from 2021 to 2024 before dipping in 2025, so scoring should be monitored rather than extrapolated as a straight trend.</w:t>
      </w:r>
    </w:p>
    <w:p>
      <w:pPr>
        <w:spacing w:after="100" w:line="360" w:lineRule="auto"/>
        <w:jc w:val="both"/>
      </w:pPr>
      <w:r>
        <w:rPr>
          <w:rFonts w:ascii="Times New Roman" w:cs="Times New Roman" w:eastAsia="Times New Roman" w:hAnsi="Times New Roman"/>
          <w:color w:val="000000"/>
          <w:sz w:val="24"/>
          <w:szCs w:val="24"/>
        </w:rPr>
        <w:t xml:space="preserve">3. Home teams win 43.2 percent of matches versus 34.0 percent away, confirming home advantage remains a measurable factor.</w:t>
      </w:r>
    </w:p>
    <w:p>
      <w:pPr>
        <w:spacing w:after="100" w:line="360" w:lineRule="auto"/>
        <w:jc w:val="both"/>
      </w:pPr>
      <w:r>
        <w:rPr>
          <w:rFonts w:ascii="Times New Roman" w:cs="Times New Roman" w:eastAsia="Times New Roman" w:hAnsi="Times New Roman"/>
          <w:color w:val="000000"/>
          <w:sz w:val="24"/>
          <w:szCs w:val="24"/>
        </w:rPr>
        <w:t xml:space="preserve">4. Possession and goals scored show only a weak relationship, so possession share alone should not be treated as a proxy for attacking quality.</w:t>
      </w:r>
    </w:p>
    <w:p>
      <w:pPr>
        <w:spacing w:after="100" w:line="360" w:lineRule="auto"/>
        <w:jc w:val="both"/>
      </w:pPr>
      <w:r>
        <w:rPr>
          <w:rFonts w:ascii="Times New Roman" w:cs="Times New Roman" w:eastAsia="Times New Roman" w:hAnsi="Times New Roman"/>
          <w:color w:val="000000"/>
          <w:sz w:val="24"/>
          <w:szCs w:val="24"/>
        </w:rPr>
        <w:t xml:space="preserve">5. Norwich City, minus 0.25, and Sheffield United, minus 0.22, show the largest negative xG differentials, a consistent gap between chance quality and goals scored.</w:t>
      </w:r>
    </w:p>
    <w:p>
      <w:pPr>
        <w:spacing w:after="100" w:line="360" w:lineRule="auto"/>
        <w:jc w:val="both"/>
      </w:pPr>
      <w:r>
        <w:rPr>
          <w:rFonts w:ascii="Times New Roman" w:cs="Times New Roman" w:eastAsia="Times New Roman" w:hAnsi="Times New Roman"/>
          <w:color w:val="000000"/>
          <w:sz w:val="24"/>
          <w:szCs w:val="24"/>
        </w:rPr>
        <w:t xml:space="preserve">6. High scoring matches, nine or more goals for or against, occur in only 0.11 percent of matches, so any single blowout should be read as an outlier, not a form signal.</w:t>
      </w:r>
    </w:p>
    <w:p>
      <w:pPr>
        <w:spacing w:after="180" w:line="360" w:lineRule="auto"/>
        <w:jc w:val="both"/>
      </w:pPr>
      <w:r>
        <w:rPr>
          <w:rFonts w:ascii="Times New Roman" w:cs="Times New Roman" w:eastAsia="Times New Roman" w:hAnsi="Times New Roman"/>
          <w:color w:val="000000"/>
          <w:sz w:val="24"/>
          <w:szCs w:val="24"/>
        </w:rPr>
        <w:t xml:space="preserve">Recommendations. Clubs with strongly negative xG differentials should prioritize finishing and chance conversion work in training. Analysts should pair possession with shots on target and xG differential rather than using it alone. Coaching staff should treat any single nine plus goal match as a statistical outlier rather than a genuine form indicator.</w:t>
      </w:r>
    </w:p>
    <w:p>
      <w:pPr>
        <w:spacing w:after="120" w:before="260" w:line="360" w:lineRule="auto"/>
      </w:pPr>
      <w:r>
        <w:rPr>
          <w:rFonts w:ascii="Times New Roman" w:cs="Times New Roman" w:eastAsia="Times New Roman" w:hAnsi="Times New Roman"/>
          <w:b/>
          <w:bCs/>
          <w:color w:val="000000"/>
          <w:sz w:val="30"/>
          <w:szCs w:val="30"/>
        </w:rPr>
        <w:t xml:space="preserve">9. Ethical Considerations</w:t>
      </w:r>
    </w:p>
    <w:p>
      <w:pPr>
        <w:spacing w:after="180" w:line="360" w:lineRule="auto"/>
        <w:jc w:val="both"/>
      </w:pPr>
      <w:r>
        <w:rPr>
          <w:rFonts w:ascii="Times New Roman" w:cs="Times New Roman" w:eastAsia="Times New Roman" w:hAnsi="Times New Roman"/>
          <w:color w:val="000000"/>
          <w:sz w:val="24"/>
          <w:szCs w:val="24"/>
        </w:rPr>
        <w:t xml:space="preserve">The dataset contains only publicly available, match level statistics, with no personal, medical, or disciplinary information about individual players, so privacy risk is minimal. There is, however, a risk of misuse if performance metrics such as xG differential are treated as sole justification for personnel decisions, such as a manager's dismissal, without accounting for context like injuries, fixture congestion, or squad changes. The dashboard is intended to inform discussion, not to replace it. Attendance figures for the 2020/21 season reflect pandemic crowd restrictions rather than genuine fan demand, and comparing attendance across seasons without this context could produce a misleading narrative about a club's popularity. The 27 clubs included reflect only those that competed in these five seasons, so clubs with shorter tenures in the dataset carry less statistical weight, and comparisons involving them should be read cautiously. Any external presentation of these findings should credit the original data source in line with its usage terms.</w:t>
      </w:r>
    </w:p>
    <w:p>
      <w:pPr>
        <w:spacing w:after="120" w:before="260" w:line="360" w:lineRule="auto"/>
      </w:pPr>
      <w:r>
        <w:rPr>
          <w:rFonts w:ascii="Times New Roman" w:cs="Times New Roman" w:eastAsia="Times New Roman" w:hAnsi="Times New Roman"/>
          <w:b/>
          <w:bCs/>
          <w:color w:val="000000"/>
          <w:sz w:val="30"/>
          <w:szCs w:val="30"/>
        </w:rPr>
        <w:t xml:space="preserve">10. Limitations</w:t>
      </w:r>
    </w:p>
    <w:p>
      <w:pPr>
        <w:spacing w:after="180" w:line="360" w:lineRule="auto"/>
        <w:jc w:val="both"/>
      </w:pPr>
      <w:r>
        <w:rPr>
          <w:rFonts w:ascii="Times New Roman" w:cs="Times New Roman" w:eastAsia="Times New Roman" w:hAnsi="Times New Roman"/>
          <w:color w:val="000000"/>
          <w:sz w:val="24"/>
          <w:szCs w:val="24"/>
        </w:rPr>
        <w:t xml:space="preserve">The formation and opponent formation columns were unusable for roughly half of all rows due to spreadsheet corruption in the source file and were excluded entirely, so no formation based analysis was possible. Attendance is missing for 18.4 percent of records, concentrated in the pandemic affected season, which limits season over season attendance comparisons involving that period. The dataset covers match level team statistics only, without player level, tactical, injury, or transfer context, which limits analysis to what happened rather than why. Five seasons is a relatively short window for distinguishing genuine long term trends from season to season variance, particularly for clubs with only one season represented. The scatter plot matrix samples up to 500 matches for rendering performance when the filtered scope is larger, so its visual pattern may differ slightly from the full dataset. Finally, all relationships identified in this project are correlational rather than causal. Patterns such as the weak possession to goals relationship describe association only and should not be read as proof of a causal mechanism.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951ebc4289285c9e8c6f33898559ce8bdb629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2026-07-24T08:14:54.429Z</dcterms:created>
  <dcterms:modified xsi:type="dcterms:W3CDTF">2026-07-24T08:14:54.445Z</dcterms:modified>
</cp:coreProperties>
</file>

<file path=docProps/custom.xml><?xml version="1.0" encoding="utf-8"?>
<Properties xmlns="http://schemas.openxmlformats.org/officeDocument/2006/custom-properties" xmlns:vt="http://schemas.openxmlformats.org/officeDocument/2006/docPropsVTypes"/>
</file>