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pPr>
    </w:p>
    <w:p>
      <w:pPr>
        <w:jc w:val="center"/>
      </w:pPr>
      <w:r>
        <w:drawing>
          <wp:inline distT="0" distB="0" distL="0" distR="0">
            <wp:extent cx="142875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428750" cy="2409825"/>
                    </a:xfrm>
                    <a:prstGeom prst="rect">
                      <a:avLst/>
                    </a:prstGeom>
                  </pic:spPr>
                </pic:pic>
              </a:graphicData>
            </a:graphic>
          </wp:inline>
        </w:drawing>
      </w:r>
    </w:p>
    <w:p>
      <w:pPr>
        <w:spacing w:before="260"/>
      </w:pPr>
    </w:p>
    <w:p>
      <w:pPr>
        <w:spacing w:after="80" w:line="360" w:lineRule="auto"/>
        <w:jc w:val="center"/>
      </w:pPr>
      <w:r>
        <w:rPr>
          <w:rFonts w:ascii="Times New Roman" w:cs="Times New Roman" w:eastAsia="Times New Roman" w:hAnsi="Times New Roman"/>
          <w:b/>
          <w:bCs/>
          <w:color w:val="000000"/>
          <w:sz w:val="26"/>
          <w:szCs w:val="26"/>
        </w:rPr>
        <w:t xml:space="preserve">UNIVERSITI TEKNOLOGI PETRONAS</w:t>
      </w:r>
    </w:p>
    <w:p>
      <w:pPr>
        <w:spacing w:after="500" w:line="360" w:lineRule="auto"/>
        <w:jc w:val="center"/>
      </w:pPr>
      <w:r>
        <w:rPr>
          <w:rFonts w:ascii="Times New Roman" w:cs="Times New Roman" w:eastAsia="Times New Roman" w:hAnsi="Times New Roman"/>
          <w:b w:val="false"/>
          <w:bCs w:val="false"/>
          <w:color w:val="000000"/>
          <w:sz w:val="24"/>
          <w:szCs w:val="24"/>
        </w:rPr>
        <w:t xml:space="preserve">Bachelor of Information Technology</w:t>
      </w:r>
    </w:p>
    <w:p>
      <w:pPr>
        <w:spacing w:after="40" w:line="360" w:lineRule="auto"/>
        <w:jc w:val="center"/>
      </w:pPr>
      <w:r>
        <w:rPr>
          <w:rFonts w:ascii="Times New Roman" w:cs="Times New Roman" w:eastAsia="Times New Roman" w:hAnsi="Times New Roman"/>
          <w:b/>
          <w:bCs/>
          <w:color w:val="000000"/>
          <w:sz w:val="28"/>
          <w:szCs w:val="28"/>
        </w:rPr>
        <w:t xml:space="preserve">PREMIER LEAGUE PERFORMANCE DASHBOARD</w:t>
      </w:r>
    </w:p>
    <w:p>
      <w:pPr>
        <w:spacing w:after="900" w:line="360" w:lineRule="auto"/>
        <w:jc w:val="center"/>
      </w:pPr>
      <w:r>
        <w:rPr>
          <w:rFonts w:ascii="Times New Roman" w:cs="Times New Roman" w:eastAsia="Times New Roman" w:hAnsi="Times New Roman"/>
          <w:b w:val="false"/>
          <w:bCs w:val="false"/>
          <w:color w:val="000000"/>
          <w:sz w:val="24"/>
          <w:szCs w:val="24"/>
        </w:rPr>
        <w:t xml:space="preserve">Data Visualization Final Project Report</w:t>
      </w:r>
    </w:p>
    <w:p>
      <w:pPr>
        <w:spacing w:after="60" w:line="360" w:lineRule="auto"/>
        <w:jc w:val="center"/>
      </w:pPr>
      <w:r>
        <w:rPr>
          <w:rFonts w:ascii="Times New Roman" w:cs="Times New Roman" w:eastAsia="Times New Roman" w:hAnsi="Times New Roman"/>
          <w:b w:val="false"/>
          <w:bCs w:val="false"/>
          <w:color w:val="000000"/>
          <w:sz w:val="24"/>
          <w:szCs w:val="24"/>
        </w:rPr>
        <w:t xml:space="preserve">Ferhad Edika Putra bin Azmi</w:t>
      </w:r>
    </w:p>
    <w:p>
      <w:pPr>
        <w:spacing w:after="60" w:line="360" w:lineRule="auto"/>
        <w:jc w:val="center"/>
      </w:pPr>
      <w:r>
        <w:rPr>
          <w:rFonts w:ascii="Times New Roman" w:cs="Times New Roman" w:eastAsia="Times New Roman" w:hAnsi="Times New Roman"/>
          <w:b w:val="false"/>
          <w:bCs w:val="false"/>
          <w:color w:val="000000"/>
          <w:sz w:val="24"/>
          <w:szCs w:val="24"/>
        </w:rPr>
        <w:t xml:space="preserve"> </w:t>
      </w:r>
    </w:p>
    <w:p>
      <w:pPr>
        <w:spacing w:after="60" w:line="360" w:lineRule="auto"/>
        <w:jc w:val="center"/>
      </w:pPr>
      <w:r>
        <w:rPr>
          <w:rFonts w:ascii="Times New Roman" w:cs="Times New Roman" w:eastAsia="Times New Roman" w:hAnsi="Times New Roman"/>
          <w:b w:val="false"/>
          <w:bCs w:val="false"/>
          <w:color w:val="000000"/>
          <w:sz w:val="24"/>
          <w:szCs w:val="24"/>
        </w:rPr>
        <w:t xml:space="preserve">TFB3133 Data Visualization</w:t>
      </w:r>
    </w:p>
    <w:p>
      <w:pPr>
        <w:spacing w:after="60" w:line="360" w:lineRule="auto"/>
        <w:jc w:val="center"/>
      </w:pPr>
      <w:r>
        <w:rPr>
          <w:rFonts w:ascii="Times New Roman" w:cs="Times New Roman" w:eastAsia="Times New Roman" w:hAnsi="Times New Roman"/>
          <w:b w:val="false"/>
          <w:bCs w:val="false"/>
          <w:color w:val="000000"/>
          <w:sz w:val="24"/>
          <w:szCs w:val="24"/>
        </w:rPr>
        <w:t xml:space="preserve">May 2026</w:t>
      </w:r>
    </w:p>
    <w:p>
      <w:r>
        <w:br w:type="page"/>
      </w:r>
    </w:p>
    <w:p>
      <w:pPr>
        <w:pStyle w:val="Heading1"/>
        <w:spacing w:after="220" w:before="200" w:line="360" w:lineRule="auto"/>
      </w:pPr>
      <w:r>
        <w:rPr>
          <w:rFonts w:ascii="Times New Roman" w:cs="Times New Roman" w:eastAsia="Times New Roman" w:hAnsi="Times New Roman"/>
          <w:b/>
          <w:bCs/>
          <w:color w:val="000000"/>
          <w:sz w:val="32"/>
          <w:szCs w:val="32"/>
        </w:rPr>
        <w:t xml:space="preserve">Task 1, Problem Definition and Stakeholder Analysis</w:t>
      </w:r>
    </w:p>
    <w:p>
      <w:pPr>
        <w:pStyle w:val="Heading2"/>
        <w:spacing w:after="140" w:before="300" w:line="360" w:lineRule="auto"/>
      </w:pPr>
      <w:r>
        <w:rPr>
          <w:rFonts w:ascii="Times New Roman" w:cs="Times New Roman" w:eastAsia="Times New Roman" w:hAnsi="Times New Roman"/>
          <w:b/>
          <w:bCs/>
          <w:color w:val="000000"/>
          <w:sz w:val="26"/>
          <w:szCs w:val="26"/>
        </w:rPr>
        <w:t xml:space="preserve">Problem Statement</w:t>
      </w:r>
    </w:p>
    <w:p>
      <w:pPr>
        <w:spacing w:after="200" w:line="360" w:lineRule="auto"/>
        <w:jc w:val="both"/>
      </w:pPr>
      <w:r>
        <w:rPr>
          <w:rFonts w:ascii="Times New Roman" w:cs="Times New Roman" w:eastAsia="Times New Roman" w:hAnsi="Times New Roman"/>
          <w:color w:val="000000"/>
          <w:sz w:val="24"/>
          <w:szCs w:val="24"/>
        </w:rPr>
        <w:t xml:space="preserve">The dashboard investigates Premier League team performance and match outcomes between the 2021 and 2025 seasons, focusing on how underlying performance indicators such as expected goals, possession, and shots on target relate to actual results.</w:t>
      </w:r>
    </w:p>
    <w:p>
      <w:pPr>
        <w:spacing w:after="200" w:line="360" w:lineRule="auto"/>
        <w:jc w:val="both"/>
      </w:pPr>
      <w:r>
        <w:rPr>
          <w:rFonts w:ascii="Times New Roman" w:cs="Times New Roman" w:eastAsia="Times New Roman" w:hAnsi="Times New Roman"/>
          <w:color w:val="000000"/>
          <w:sz w:val="24"/>
          <w:szCs w:val="24"/>
        </w:rPr>
        <w:t xml:space="preserve">Many match outcomes appear inconsistent with underlying performance, where a team may dominate possession and shot volume yet lose the match, or vice versa. Understanding this gap matters because clubs, analysts, and fans increasingly rely on advanced metrics to judge team quality, plan tactics, and evaluate managers, and relying on results alone can lead to poor judgments about a team's true form or a manager's effectiveness.</w:t>
      </w:r>
    </w:p>
    <w:p>
      <w:pPr>
        <w:spacing w:after="200" w:line="360" w:lineRule="auto"/>
        <w:jc w:val="both"/>
      </w:pPr>
      <w:r>
        <w:rPr>
          <w:rFonts w:ascii="Times New Roman" w:cs="Times New Roman" w:eastAsia="Times New Roman" w:hAnsi="Times New Roman"/>
          <w:color w:val="000000"/>
          <w:sz w:val="24"/>
          <w:szCs w:val="24"/>
        </w:rPr>
        <w:t xml:space="preserve">The dashboard is intended for football analysts, club performance staff, and informed fans who want to move beyond the scoreline. It should support decisions such as identifying which teams are over or underperforming relative to their underlying numbers, spotting trends across a season that might justify tactical or personnel changes, and comparing teams or matches on a consistent set of metrics.</w:t>
      </w:r>
    </w:p>
    <w:p>
      <w:pPr>
        <w:spacing w:after="200" w:line="360" w:lineRule="auto"/>
        <w:jc w:val="both"/>
      </w:pPr>
      <w:r>
        <w:rPr>
          <w:rFonts w:ascii="Times New Roman" w:cs="Times New Roman" w:eastAsia="Times New Roman" w:hAnsi="Times New Roman"/>
          <w:color w:val="000000"/>
          <w:sz w:val="24"/>
          <w:szCs w:val="24"/>
        </w:rPr>
        <w:t xml:space="preserve">Incorrectly interpreting the data carries real risk. Treating a small sample of matches as representative of a team's ability can lead to premature conclusions about form. Confusing correlation with causation, for example assuming high possession alone wins matches, can produce misleading tactical recommendations. Attendance or formation fields with data entry issues, if not cleaned, could also distort comparisons and lead users to draw conclusions from corrupted values rather than genuine performance data.</w:t>
      </w:r>
    </w:p>
    <w:p>
      <w:pPr>
        <w:pStyle w:val="Heading2"/>
        <w:spacing w:after="140" w:before="300" w:line="360" w:lineRule="auto"/>
      </w:pPr>
      <w:r>
        <w:rPr>
          <w:rFonts w:ascii="Times New Roman" w:cs="Times New Roman" w:eastAsia="Times New Roman" w:hAnsi="Times New Roman"/>
          <w:b/>
          <w:bCs/>
          <w:color w:val="000000"/>
          <w:sz w:val="26"/>
          <w:szCs w:val="26"/>
        </w:rPr>
        <w:t xml:space="preserve">Stakeholder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60"/>
        <w:gridCol w:w="1720"/>
        <w:gridCol w:w="1810"/>
        <w:gridCol w:w="1170"/>
        <w:gridCol w:w="1720"/>
        <w:gridCol w:w="1580"/>
      </w:tblGrid>
      <w:tr>
        <w:trPr>
          <w:tblHeader/>
        </w:trPr>
        <w:tc>
          <w:tcPr>
            <w:tcW w:type="dxa" w:w="1360"/>
            <w:shd w:fill="D9D9D9" w:val="clear"/>
            <w:tcMar>
              <w:top w:type="dxa" w:w="100"/>
              <w:left w:type="dxa" w:w="120"/>
              <w:bottom w:type="dxa" w:w="100"/>
              <w:right w:type="dxa" w:w="120"/>
            </w:tcMar>
          </w:tcPr>
          <w:p>
            <w:pPr>
              <w:spacing w:line="360" w:lineRule="auto"/>
              <w:jc w:val="both"/>
            </w:pPr>
            <w:r>
              <w:rPr>
                <w:rFonts w:ascii="Times New Roman" w:cs="Times New Roman" w:eastAsia="Times New Roman" w:hAnsi="Times New Roman"/>
                <w:b/>
                <w:bCs/>
                <w:color w:val="000000"/>
                <w:sz w:val="21"/>
                <w:szCs w:val="21"/>
              </w:rPr>
              <w:t xml:space="preserve">Stakeholder</w:t>
            </w:r>
          </w:p>
        </w:tc>
        <w:tc>
          <w:tcPr>
            <w:tcW w:type="dxa" w:w="1720"/>
            <w:shd w:fill="D9D9D9" w:val="clear"/>
            <w:tcMar>
              <w:top w:type="dxa" w:w="100"/>
              <w:left w:type="dxa" w:w="120"/>
              <w:bottom w:type="dxa" w:w="100"/>
              <w:right w:type="dxa" w:w="120"/>
            </w:tcMar>
          </w:tcPr>
          <w:p>
            <w:pPr>
              <w:spacing w:line="360" w:lineRule="auto"/>
              <w:jc w:val="both"/>
            </w:pPr>
            <w:r>
              <w:rPr>
                <w:rFonts w:ascii="Times New Roman" w:cs="Times New Roman" w:eastAsia="Times New Roman" w:hAnsi="Times New Roman"/>
                <w:b/>
                <w:bCs/>
                <w:color w:val="000000"/>
                <w:sz w:val="21"/>
                <w:szCs w:val="21"/>
              </w:rPr>
              <w:t xml:space="preserve">Main Objective</w:t>
            </w:r>
          </w:p>
        </w:tc>
        <w:tc>
          <w:tcPr>
            <w:tcW w:type="dxa" w:w="1810"/>
            <w:shd w:fill="D9D9D9" w:val="clear"/>
            <w:tcMar>
              <w:top w:type="dxa" w:w="100"/>
              <w:left w:type="dxa" w:w="120"/>
              <w:bottom w:type="dxa" w:w="100"/>
              <w:right w:type="dxa" w:w="120"/>
            </w:tcMar>
          </w:tcPr>
          <w:p>
            <w:pPr>
              <w:spacing w:line="360" w:lineRule="auto"/>
              <w:jc w:val="both"/>
            </w:pPr>
            <w:r>
              <w:rPr>
                <w:rFonts w:ascii="Times New Roman" w:cs="Times New Roman" w:eastAsia="Times New Roman" w:hAnsi="Times New Roman"/>
                <w:b/>
                <w:bCs/>
                <w:color w:val="000000"/>
                <w:sz w:val="21"/>
                <w:szCs w:val="21"/>
              </w:rPr>
              <w:t xml:space="preserve">Required Information</w:t>
            </w:r>
          </w:p>
        </w:tc>
        <w:tc>
          <w:tcPr>
            <w:tcW w:type="dxa" w:w="1170"/>
            <w:shd w:fill="D9D9D9" w:val="clear"/>
            <w:tcMar>
              <w:top w:type="dxa" w:w="100"/>
              <w:left w:type="dxa" w:w="120"/>
              <w:bottom w:type="dxa" w:w="100"/>
              <w:right w:type="dxa" w:w="120"/>
            </w:tcMar>
          </w:tcPr>
          <w:p>
            <w:pPr>
              <w:spacing w:line="360" w:lineRule="auto"/>
              <w:jc w:val="both"/>
            </w:pPr>
            <w:r>
              <w:rPr>
                <w:rFonts w:ascii="Times New Roman" w:cs="Times New Roman" w:eastAsia="Times New Roman" w:hAnsi="Times New Roman"/>
                <w:b/>
                <w:bCs/>
                <w:color w:val="000000"/>
                <w:sz w:val="21"/>
                <w:szCs w:val="21"/>
              </w:rPr>
              <w:t xml:space="preserve">Preferred Detail Level</w:t>
            </w:r>
          </w:p>
        </w:tc>
        <w:tc>
          <w:tcPr>
            <w:tcW w:type="dxa" w:w="1720"/>
            <w:shd w:fill="D9D9D9" w:val="clear"/>
            <w:tcMar>
              <w:top w:type="dxa" w:w="100"/>
              <w:left w:type="dxa" w:w="120"/>
              <w:bottom w:type="dxa" w:w="100"/>
              <w:right w:type="dxa" w:w="120"/>
            </w:tcMar>
          </w:tcPr>
          <w:p>
            <w:pPr>
              <w:spacing w:line="360" w:lineRule="auto"/>
              <w:jc w:val="both"/>
            </w:pPr>
            <w:r>
              <w:rPr>
                <w:rFonts w:ascii="Times New Roman" w:cs="Times New Roman" w:eastAsia="Times New Roman" w:hAnsi="Times New Roman"/>
                <w:b/>
                <w:bCs/>
                <w:color w:val="000000"/>
                <w:sz w:val="21"/>
                <w:szCs w:val="21"/>
              </w:rPr>
              <w:t xml:space="preserve">Relevant Interactions</w:t>
            </w:r>
          </w:p>
        </w:tc>
        <w:tc>
          <w:tcPr>
            <w:tcW w:type="dxa" w:w="1580"/>
            <w:shd w:fill="D9D9D9" w:val="clear"/>
            <w:tcMar>
              <w:top w:type="dxa" w:w="100"/>
              <w:left w:type="dxa" w:w="120"/>
              <w:bottom w:type="dxa" w:w="100"/>
              <w:right w:type="dxa" w:w="120"/>
            </w:tcMar>
          </w:tcPr>
          <w:p>
            <w:pPr>
              <w:spacing w:line="360" w:lineRule="auto"/>
              <w:jc w:val="both"/>
            </w:pPr>
            <w:r>
              <w:rPr>
                <w:rFonts w:ascii="Times New Roman" w:cs="Times New Roman" w:eastAsia="Times New Roman" w:hAnsi="Times New Roman"/>
                <w:b/>
                <w:bCs/>
                <w:color w:val="000000"/>
                <w:sz w:val="21"/>
                <w:szCs w:val="21"/>
              </w:rPr>
              <w:t xml:space="preserve">Possible Limitations</w:t>
            </w:r>
          </w:p>
        </w:tc>
      </w:tr>
      <w:tr>
        <w:tc>
          <w:tcPr>
            <w:tcW w:type="dxa" w:w="1360"/>
            <w:tcMar>
              <w:top w:type="dxa" w:w="100"/>
              <w:left w:type="dxa" w:w="120"/>
              <w:bottom w:type="dxa" w:w="100"/>
              <w:right w:type="dxa" w:w="120"/>
            </w:tcMar>
          </w:tcPr>
          <w:p>
            <w:pPr>
              <w:spacing w:line="360" w:lineRule="auto"/>
              <w:jc w:val="both"/>
            </w:pPr>
            <w:r>
              <w:rPr>
                <w:rFonts w:ascii="Times New Roman" w:cs="Times New Roman" w:eastAsia="Times New Roman" w:hAnsi="Times New Roman"/>
                <w:b w:val="false"/>
                <w:bCs w:val="false"/>
                <w:color w:val="000000"/>
                <w:sz w:val="21"/>
                <w:szCs w:val="21"/>
              </w:rPr>
              <w:t xml:space="preserve">Club performance analyst</w:t>
            </w:r>
          </w:p>
        </w:tc>
        <w:tc>
          <w:tcPr>
            <w:tcW w:type="dxa" w:w="1720"/>
            <w:tcMar>
              <w:top w:type="dxa" w:w="100"/>
              <w:left w:type="dxa" w:w="120"/>
              <w:bottom w:type="dxa" w:w="100"/>
              <w:right w:type="dxa" w:w="120"/>
            </w:tcMar>
          </w:tcPr>
          <w:p>
            <w:pPr>
              <w:spacing w:line="360" w:lineRule="auto"/>
              <w:jc w:val="both"/>
            </w:pPr>
            <w:r>
              <w:rPr>
                <w:rFonts w:ascii="Times New Roman" w:cs="Times New Roman" w:eastAsia="Times New Roman" w:hAnsi="Times New Roman"/>
                <w:b w:val="false"/>
                <w:bCs w:val="false"/>
                <w:color w:val="000000"/>
                <w:sz w:val="21"/>
                <w:szCs w:val="21"/>
              </w:rPr>
              <w:t xml:space="preserve">Assess whether a team's results match its underlying performance quality</w:t>
            </w:r>
          </w:p>
        </w:tc>
        <w:tc>
          <w:tcPr>
            <w:tcW w:type="dxa" w:w="1810"/>
            <w:tcMar>
              <w:top w:type="dxa" w:w="100"/>
              <w:left w:type="dxa" w:w="120"/>
              <w:bottom w:type="dxa" w:w="100"/>
              <w:right w:type="dxa" w:w="120"/>
            </w:tcMar>
          </w:tcPr>
          <w:p>
            <w:pPr>
              <w:spacing w:line="360" w:lineRule="auto"/>
              <w:jc w:val="both"/>
            </w:pPr>
            <w:r>
              <w:rPr>
                <w:rFonts w:ascii="Times New Roman" w:cs="Times New Roman" w:eastAsia="Times New Roman" w:hAnsi="Times New Roman"/>
                <w:b w:val="false"/>
                <w:bCs w:val="false"/>
                <w:color w:val="000000"/>
                <w:sz w:val="21"/>
                <w:szCs w:val="21"/>
              </w:rPr>
              <w:t xml:space="preserve">Match-by-match xG, xGA, shots, shots on target, possession, and results, by team and season</w:t>
            </w:r>
          </w:p>
        </w:tc>
        <w:tc>
          <w:tcPr>
            <w:tcW w:type="dxa" w:w="1170"/>
            <w:tcMar>
              <w:top w:type="dxa" w:w="100"/>
              <w:left w:type="dxa" w:w="120"/>
              <w:bottom w:type="dxa" w:w="100"/>
              <w:right w:type="dxa" w:w="120"/>
            </w:tcMar>
          </w:tcPr>
          <w:p>
            <w:pPr>
              <w:spacing w:line="360" w:lineRule="auto"/>
              <w:jc w:val="both"/>
            </w:pPr>
            <w:r>
              <w:rPr>
                <w:rFonts w:ascii="Times New Roman" w:cs="Times New Roman" w:eastAsia="Times New Roman" w:hAnsi="Times New Roman"/>
                <w:b w:val="false"/>
                <w:bCs w:val="false"/>
                <w:color w:val="000000"/>
                <w:sz w:val="21"/>
                <w:szCs w:val="21"/>
              </w:rPr>
              <w:t xml:space="preserve">Detailed, with ability to drop to match level</w:t>
            </w:r>
          </w:p>
        </w:tc>
        <w:tc>
          <w:tcPr>
            <w:tcW w:type="dxa" w:w="1720"/>
            <w:tcMar>
              <w:top w:type="dxa" w:w="100"/>
              <w:left w:type="dxa" w:w="120"/>
              <w:bottom w:type="dxa" w:w="100"/>
              <w:right w:type="dxa" w:w="120"/>
            </w:tcMar>
          </w:tcPr>
          <w:p>
            <w:pPr>
              <w:spacing w:line="360" w:lineRule="auto"/>
              <w:jc w:val="both"/>
            </w:pPr>
            <w:r>
              <w:rPr>
                <w:rFonts w:ascii="Times New Roman" w:cs="Times New Roman" w:eastAsia="Times New Roman" w:hAnsi="Times New Roman"/>
                <w:b w:val="false"/>
                <w:bCs w:val="false"/>
                <w:color w:val="000000"/>
                <w:sz w:val="21"/>
                <w:szCs w:val="21"/>
              </w:rPr>
              <w:t xml:space="preserve">Filter by team, season, and venue, compare two teams side by side, and drill down from season summary to individual match</w:t>
            </w:r>
          </w:p>
        </w:tc>
        <w:tc>
          <w:tcPr>
            <w:tcW w:type="dxa" w:w="1580"/>
            <w:tcMar>
              <w:top w:type="dxa" w:w="100"/>
              <w:left w:type="dxa" w:w="120"/>
              <w:bottom w:type="dxa" w:w="100"/>
              <w:right w:type="dxa" w:w="120"/>
            </w:tcMar>
          </w:tcPr>
          <w:p>
            <w:pPr>
              <w:spacing w:line="360" w:lineRule="auto"/>
              <w:jc w:val="both"/>
            </w:pPr>
            <w:r>
              <w:rPr>
                <w:rFonts w:ascii="Times New Roman" w:cs="Times New Roman" w:eastAsia="Times New Roman" w:hAnsi="Times New Roman"/>
                <w:b w:val="false"/>
                <w:bCs w:val="false"/>
                <w:color w:val="000000"/>
                <w:sz w:val="21"/>
                <w:szCs w:val="21"/>
              </w:rPr>
              <w:t xml:space="preserve">Requires strong football analytics background to interpret xG correctly, and may want raw data export for further modelling</w:t>
            </w:r>
          </w:p>
        </w:tc>
      </w:tr>
      <w:tr>
        <w:tc>
          <w:tcPr>
            <w:tcW w:type="dxa" w:w="1360"/>
            <w:tcMar>
              <w:top w:type="dxa" w:w="100"/>
              <w:left w:type="dxa" w:w="120"/>
              <w:bottom w:type="dxa" w:w="100"/>
              <w:right w:type="dxa" w:w="120"/>
            </w:tcMar>
          </w:tcPr>
          <w:p>
            <w:pPr>
              <w:spacing w:line="360" w:lineRule="auto"/>
              <w:jc w:val="both"/>
            </w:pPr>
            <w:r>
              <w:rPr>
                <w:rFonts w:ascii="Times New Roman" w:cs="Times New Roman" w:eastAsia="Times New Roman" w:hAnsi="Times New Roman"/>
                <w:b w:val="false"/>
                <w:bCs w:val="false"/>
                <w:color w:val="000000"/>
                <w:sz w:val="21"/>
                <w:szCs w:val="21"/>
              </w:rPr>
              <w:t xml:space="preserve">Club senior manager or coach</w:t>
            </w:r>
          </w:p>
        </w:tc>
        <w:tc>
          <w:tcPr>
            <w:tcW w:type="dxa" w:w="1720"/>
            <w:tcMar>
              <w:top w:type="dxa" w:w="100"/>
              <w:left w:type="dxa" w:w="120"/>
              <w:bottom w:type="dxa" w:w="100"/>
              <w:right w:type="dxa" w:w="120"/>
            </w:tcMar>
          </w:tcPr>
          <w:p>
            <w:pPr>
              <w:spacing w:line="360" w:lineRule="auto"/>
              <w:jc w:val="both"/>
            </w:pPr>
            <w:r>
              <w:rPr>
                <w:rFonts w:ascii="Times New Roman" w:cs="Times New Roman" w:eastAsia="Times New Roman" w:hAnsi="Times New Roman"/>
                <w:b w:val="false"/>
                <w:bCs w:val="false"/>
                <w:color w:val="000000"/>
                <w:sz w:val="21"/>
                <w:szCs w:val="21"/>
              </w:rPr>
              <w:t xml:space="preserve">Track team form over time and identify patterns that justify tactical or squad decisions</w:t>
            </w:r>
          </w:p>
        </w:tc>
        <w:tc>
          <w:tcPr>
            <w:tcW w:type="dxa" w:w="1810"/>
            <w:tcMar>
              <w:top w:type="dxa" w:w="100"/>
              <w:left w:type="dxa" w:w="120"/>
              <w:bottom w:type="dxa" w:w="100"/>
              <w:right w:type="dxa" w:w="120"/>
            </w:tcMar>
          </w:tcPr>
          <w:p>
            <w:pPr>
              <w:spacing w:line="360" w:lineRule="auto"/>
              <w:jc w:val="both"/>
            </w:pPr>
            <w:r>
              <w:rPr>
                <w:rFonts w:ascii="Times New Roman" w:cs="Times New Roman" w:eastAsia="Times New Roman" w:hAnsi="Times New Roman"/>
                <w:b w:val="false"/>
                <w:bCs w:val="false"/>
                <w:color w:val="000000"/>
                <w:sz w:val="21"/>
                <w:szCs w:val="21"/>
              </w:rPr>
              <w:t xml:space="preserve">Season and rolling trends in results, goals for and against, possession, and formation used per match</w:t>
            </w:r>
          </w:p>
        </w:tc>
        <w:tc>
          <w:tcPr>
            <w:tcW w:type="dxa" w:w="1170"/>
            <w:tcMar>
              <w:top w:type="dxa" w:w="100"/>
              <w:left w:type="dxa" w:w="120"/>
              <w:bottom w:type="dxa" w:w="100"/>
              <w:right w:type="dxa" w:w="120"/>
            </w:tcMar>
          </w:tcPr>
          <w:p>
            <w:pPr>
              <w:spacing w:line="360" w:lineRule="auto"/>
              <w:jc w:val="both"/>
            </w:pPr>
            <w:r>
              <w:rPr>
                <w:rFonts w:ascii="Times New Roman" w:cs="Times New Roman" w:eastAsia="Times New Roman" w:hAnsi="Times New Roman"/>
                <w:b w:val="false"/>
                <w:bCs w:val="false"/>
                <w:color w:val="000000"/>
                <w:sz w:val="21"/>
                <w:szCs w:val="21"/>
              </w:rPr>
              <w:t xml:space="preserve">Summary view with option to expand into detail</w:t>
            </w:r>
          </w:p>
        </w:tc>
        <w:tc>
          <w:tcPr>
            <w:tcW w:type="dxa" w:w="1720"/>
            <w:tcMar>
              <w:top w:type="dxa" w:w="100"/>
              <w:left w:type="dxa" w:w="120"/>
              <w:bottom w:type="dxa" w:w="100"/>
              <w:right w:type="dxa" w:w="120"/>
            </w:tcMar>
          </w:tcPr>
          <w:p>
            <w:pPr>
              <w:spacing w:line="360" w:lineRule="auto"/>
              <w:jc w:val="both"/>
            </w:pPr>
            <w:r>
              <w:rPr>
                <w:rFonts w:ascii="Times New Roman" w:cs="Times New Roman" w:eastAsia="Times New Roman" w:hAnsi="Times New Roman"/>
                <w:b w:val="false"/>
                <w:bCs w:val="false"/>
                <w:color w:val="000000"/>
                <w:sz w:val="21"/>
                <w:szCs w:val="21"/>
              </w:rPr>
              <w:t xml:space="preserve">Date or matchweek range filter, comparison across seasons, and search by opponent</w:t>
            </w:r>
          </w:p>
        </w:tc>
        <w:tc>
          <w:tcPr>
            <w:tcW w:type="dxa" w:w="1580"/>
            <w:tcMar>
              <w:top w:type="dxa" w:w="100"/>
              <w:left w:type="dxa" w:w="120"/>
              <w:bottom w:type="dxa" w:w="100"/>
              <w:right w:type="dxa" w:w="120"/>
            </w:tcMar>
          </w:tcPr>
          <w:p>
            <w:pPr>
              <w:spacing w:line="360" w:lineRule="auto"/>
              <w:jc w:val="both"/>
            </w:pPr>
            <w:r>
              <w:rPr>
                <w:rFonts w:ascii="Times New Roman" w:cs="Times New Roman" w:eastAsia="Times New Roman" w:hAnsi="Times New Roman"/>
                <w:b w:val="false"/>
                <w:bCs w:val="false"/>
                <w:color w:val="000000"/>
                <w:sz w:val="21"/>
                <w:szCs w:val="21"/>
              </w:rPr>
              <w:t xml:space="preserve">Limited time to explore the tool, so needs a clear default summary view rather than requiring manual configuration</w:t>
            </w:r>
          </w:p>
        </w:tc>
      </w:tr>
      <w:tr>
        <w:tc>
          <w:tcPr>
            <w:tcW w:type="dxa" w:w="1360"/>
            <w:tcMar>
              <w:top w:type="dxa" w:w="100"/>
              <w:left w:type="dxa" w:w="120"/>
              <w:bottom w:type="dxa" w:w="100"/>
              <w:right w:type="dxa" w:w="120"/>
            </w:tcMar>
          </w:tcPr>
          <w:p>
            <w:pPr>
              <w:spacing w:line="360" w:lineRule="auto"/>
              <w:jc w:val="both"/>
            </w:pPr>
            <w:r>
              <w:rPr>
                <w:rFonts w:ascii="Times New Roman" w:cs="Times New Roman" w:eastAsia="Times New Roman" w:hAnsi="Times New Roman"/>
                <w:b w:val="false"/>
                <w:bCs w:val="false"/>
                <w:color w:val="000000"/>
                <w:sz w:val="21"/>
                <w:szCs w:val="21"/>
              </w:rPr>
              <w:t xml:space="preserve">General football fan or club member</w:t>
            </w:r>
          </w:p>
        </w:tc>
        <w:tc>
          <w:tcPr>
            <w:tcW w:type="dxa" w:w="1720"/>
            <w:tcMar>
              <w:top w:type="dxa" w:w="100"/>
              <w:left w:type="dxa" w:w="120"/>
              <w:bottom w:type="dxa" w:w="100"/>
              <w:right w:type="dxa" w:w="120"/>
            </w:tcMar>
          </w:tcPr>
          <w:p>
            <w:pPr>
              <w:spacing w:line="360" w:lineRule="auto"/>
              <w:jc w:val="both"/>
            </w:pPr>
            <w:r>
              <w:rPr>
                <w:rFonts w:ascii="Times New Roman" w:cs="Times New Roman" w:eastAsia="Times New Roman" w:hAnsi="Times New Roman"/>
                <w:b w:val="false"/>
                <w:bCs w:val="false"/>
                <w:color w:val="000000"/>
                <w:sz w:val="21"/>
                <w:szCs w:val="21"/>
              </w:rPr>
              <w:t xml:space="preserve">Understand how their team is performing compared to rivals or across seasons</w:t>
            </w:r>
          </w:p>
        </w:tc>
        <w:tc>
          <w:tcPr>
            <w:tcW w:type="dxa" w:w="1810"/>
            <w:tcMar>
              <w:top w:type="dxa" w:w="100"/>
              <w:left w:type="dxa" w:w="120"/>
              <w:bottom w:type="dxa" w:w="100"/>
              <w:right w:type="dxa" w:w="120"/>
            </w:tcMar>
          </w:tcPr>
          <w:p>
            <w:pPr>
              <w:spacing w:line="360" w:lineRule="auto"/>
              <w:jc w:val="both"/>
            </w:pPr>
            <w:r>
              <w:rPr>
                <w:rFonts w:ascii="Times New Roman" w:cs="Times New Roman" w:eastAsia="Times New Roman" w:hAnsi="Times New Roman"/>
                <w:b w:val="false"/>
                <w:bCs w:val="false"/>
                <w:color w:val="000000"/>
                <w:sz w:val="21"/>
                <w:szCs w:val="21"/>
              </w:rPr>
              <w:t xml:space="preserve">Results, league position implied by outcomes, goals scored and conceded, and a simple performance trend</w:t>
            </w:r>
          </w:p>
        </w:tc>
        <w:tc>
          <w:tcPr>
            <w:tcW w:type="dxa" w:w="1170"/>
            <w:tcMar>
              <w:top w:type="dxa" w:w="100"/>
              <w:left w:type="dxa" w:w="120"/>
              <w:bottom w:type="dxa" w:w="100"/>
              <w:right w:type="dxa" w:w="120"/>
            </w:tcMar>
          </w:tcPr>
          <w:p>
            <w:pPr>
              <w:spacing w:line="360" w:lineRule="auto"/>
              <w:jc w:val="both"/>
            </w:pPr>
            <w:r>
              <w:rPr>
                <w:rFonts w:ascii="Times New Roman" w:cs="Times New Roman" w:eastAsia="Times New Roman" w:hAnsi="Times New Roman"/>
                <w:b w:val="false"/>
                <w:bCs w:val="false"/>
                <w:color w:val="000000"/>
                <w:sz w:val="21"/>
                <w:szCs w:val="21"/>
              </w:rPr>
              <w:t xml:space="preserve">Summary only, minimal statistical jargon</w:t>
            </w:r>
          </w:p>
        </w:tc>
        <w:tc>
          <w:tcPr>
            <w:tcW w:type="dxa" w:w="1720"/>
            <w:tcMar>
              <w:top w:type="dxa" w:w="100"/>
              <w:left w:type="dxa" w:w="120"/>
              <w:bottom w:type="dxa" w:w="100"/>
              <w:right w:type="dxa" w:w="120"/>
            </w:tcMar>
          </w:tcPr>
          <w:p>
            <w:pPr>
              <w:spacing w:line="360" w:lineRule="auto"/>
              <w:jc w:val="both"/>
            </w:pPr>
            <w:r>
              <w:rPr>
                <w:rFonts w:ascii="Times New Roman" w:cs="Times New Roman" w:eastAsia="Times New Roman" w:hAnsi="Times New Roman"/>
                <w:b w:val="false"/>
                <w:bCs w:val="false"/>
                <w:color w:val="000000"/>
                <w:sz w:val="21"/>
                <w:szCs w:val="21"/>
              </w:rPr>
              <w:t xml:space="preserve">Filter by team and season, and basic comparison between two teams</w:t>
            </w:r>
          </w:p>
        </w:tc>
        <w:tc>
          <w:tcPr>
            <w:tcW w:type="dxa" w:w="1580"/>
            <w:tcMar>
              <w:top w:type="dxa" w:w="100"/>
              <w:left w:type="dxa" w:w="120"/>
              <w:bottom w:type="dxa" w:w="100"/>
              <w:right w:type="dxa" w:w="120"/>
            </w:tcMar>
          </w:tcPr>
          <w:p>
            <w:pPr>
              <w:spacing w:line="360" w:lineRule="auto"/>
              <w:jc w:val="both"/>
            </w:pPr>
            <w:r>
              <w:rPr>
                <w:rFonts w:ascii="Times New Roman" w:cs="Times New Roman" w:eastAsia="Times New Roman" w:hAnsi="Times New Roman"/>
                <w:b w:val="false"/>
                <w:bCs w:val="false"/>
                <w:color w:val="000000"/>
                <w:sz w:val="21"/>
                <w:szCs w:val="21"/>
              </w:rPr>
              <w:t xml:space="preserve">Limited familiarity with advanced metrics like xG, and the dashboard needs plain labelling, tooltips, and mobile-friendly layout</w:t>
            </w:r>
          </w:p>
        </w:tc>
      </w:tr>
    </w:tbl>
    <w:p>
      <w:r>
        <w:br w:type="page"/>
      </w:r>
    </w:p>
    <w:p>
      <w:pPr>
        <w:pStyle w:val="Heading1"/>
        <w:spacing w:after="220" w:before="200" w:line="360" w:lineRule="auto"/>
      </w:pPr>
      <w:r>
        <w:rPr>
          <w:rFonts w:ascii="Times New Roman" w:cs="Times New Roman" w:eastAsia="Times New Roman" w:hAnsi="Times New Roman"/>
          <w:b/>
          <w:bCs/>
          <w:color w:val="000000"/>
          <w:sz w:val="32"/>
          <w:szCs w:val="32"/>
        </w:rPr>
        <w:t xml:space="preserve">Task 2, Analytical Questions</w:t>
      </w:r>
    </w:p>
    <w:p>
      <w:pPr>
        <w:pStyle w:val="Heading2"/>
        <w:spacing w:after="140" w:before="300" w:line="360" w:lineRule="auto"/>
      </w:pPr>
      <w:r>
        <w:rPr>
          <w:rFonts w:ascii="Times New Roman" w:cs="Times New Roman" w:eastAsia="Times New Roman" w:hAnsi="Times New Roman"/>
          <w:b/>
          <w:bCs/>
          <w:color w:val="000000"/>
          <w:sz w:val="26"/>
          <w:szCs w:val="26"/>
        </w:rPr>
        <w:t xml:space="preserve">Descriptive</w:t>
      </w:r>
    </w:p>
    <w:p>
      <w:pPr>
        <w:spacing w:after="160" w:line="360" w:lineRule="auto"/>
        <w:jc w:val="both"/>
      </w:pPr>
      <w:r>
        <w:rPr>
          <w:rFonts w:ascii="Times New Roman" w:cs="Times New Roman" w:eastAsia="Times New Roman" w:hAnsi="Times New Roman"/>
          <w:color w:val="000000"/>
          <w:sz w:val="24"/>
          <w:szCs w:val="24"/>
        </w:rPr>
        <w:t xml:space="preserve">1. Which teams recorded the highest total goals scored across the 2021 to 2025 seasons?</w:t>
      </w:r>
    </w:p>
    <w:p>
      <w:pPr>
        <w:spacing w:after="160" w:line="360" w:lineRule="auto"/>
        <w:jc w:val="both"/>
      </w:pPr>
      <w:r>
        <w:rPr>
          <w:rFonts w:ascii="Times New Roman" w:cs="Times New Roman" w:eastAsia="Times New Roman" w:hAnsi="Times New Roman"/>
          <w:color w:val="000000"/>
          <w:sz w:val="24"/>
          <w:szCs w:val="24"/>
        </w:rPr>
        <w:t xml:space="preserve">2. What proportion of matches for each team ended in a win, draw, or loss?</w:t>
      </w:r>
    </w:p>
    <w:p>
      <w:pPr>
        <w:pStyle w:val="Heading2"/>
        <w:spacing w:after="140" w:before="300" w:line="360" w:lineRule="auto"/>
      </w:pPr>
      <w:r>
        <w:rPr>
          <w:rFonts w:ascii="Times New Roman" w:cs="Times New Roman" w:eastAsia="Times New Roman" w:hAnsi="Times New Roman"/>
          <w:b/>
          <w:bCs/>
          <w:color w:val="000000"/>
          <w:sz w:val="26"/>
          <w:szCs w:val="26"/>
        </w:rPr>
        <w:t xml:space="preserve">Comparative</w:t>
      </w:r>
    </w:p>
    <w:p>
      <w:pPr>
        <w:spacing w:after="160" w:line="360" w:lineRule="auto"/>
        <w:jc w:val="both"/>
      </w:pPr>
      <w:r>
        <w:rPr>
          <w:rFonts w:ascii="Times New Roman" w:cs="Times New Roman" w:eastAsia="Times New Roman" w:hAnsi="Times New Roman"/>
          <w:color w:val="000000"/>
          <w:sz w:val="24"/>
          <w:szCs w:val="24"/>
        </w:rPr>
        <w:t xml:space="preserve">3. How does average possession differ between teams that finish with more wins versus teams with more losses?</w:t>
      </w:r>
    </w:p>
    <w:p>
      <w:pPr>
        <w:spacing w:after="160" w:line="360" w:lineRule="auto"/>
        <w:jc w:val="both"/>
      </w:pPr>
      <w:r>
        <w:rPr>
          <w:rFonts w:ascii="Times New Roman" w:cs="Times New Roman" w:eastAsia="Times New Roman" w:hAnsi="Times New Roman"/>
          <w:color w:val="000000"/>
          <w:sz w:val="24"/>
          <w:szCs w:val="24"/>
        </w:rPr>
        <w:t xml:space="preserve">4. How do a team's home match outcomes compare with its away match outcomes over the same season?</w:t>
      </w:r>
    </w:p>
    <w:p>
      <w:pPr>
        <w:pStyle w:val="Heading2"/>
        <w:spacing w:after="140" w:before="300" w:line="360" w:lineRule="auto"/>
      </w:pPr>
      <w:r>
        <w:rPr>
          <w:rFonts w:ascii="Times New Roman" w:cs="Times New Roman" w:eastAsia="Times New Roman" w:hAnsi="Times New Roman"/>
          <w:b/>
          <w:bCs/>
          <w:color w:val="000000"/>
          <w:sz w:val="26"/>
          <w:szCs w:val="26"/>
        </w:rPr>
        <w:t xml:space="preserve">Trend-related</w:t>
      </w:r>
    </w:p>
    <w:p>
      <w:pPr>
        <w:spacing w:after="160" w:line="360" w:lineRule="auto"/>
        <w:jc w:val="both"/>
      </w:pPr>
      <w:r>
        <w:rPr>
          <w:rFonts w:ascii="Times New Roman" w:cs="Times New Roman" w:eastAsia="Times New Roman" w:hAnsi="Times New Roman"/>
          <w:color w:val="000000"/>
          <w:sz w:val="24"/>
          <w:szCs w:val="24"/>
        </w:rPr>
        <w:t xml:space="preserve">5. How has a team's expected goals (xG) changed across matchweeks within a single season?</w:t>
      </w:r>
    </w:p>
    <w:p>
      <w:pPr>
        <w:spacing w:after="160" w:line="360" w:lineRule="auto"/>
        <w:jc w:val="both"/>
      </w:pPr>
      <w:r>
        <w:rPr>
          <w:rFonts w:ascii="Times New Roman" w:cs="Times New Roman" w:eastAsia="Times New Roman" w:hAnsi="Times New Roman"/>
          <w:color w:val="000000"/>
          <w:sz w:val="24"/>
          <w:szCs w:val="24"/>
        </w:rPr>
        <w:t xml:space="preserve">6. How has average match attendance trended across the 2021 to 2025 seasons?</w:t>
      </w:r>
    </w:p>
    <w:p>
      <w:pPr>
        <w:pStyle w:val="Heading2"/>
        <w:spacing w:after="140" w:before="300" w:line="360" w:lineRule="auto"/>
      </w:pPr>
      <w:r>
        <w:rPr>
          <w:rFonts w:ascii="Times New Roman" w:cs="Times New Roman" w:eastAsia="Times New Roman" w:hAnsi="Times New Roman"/>
          <w:b/>
          <w:bCs/>
          <w:color w:val="000000"/>
          <w:sz w:val="26"/>
          <w:szCs w:val="26"/>
        </w:rPr>
        <w:t xml:space="preserve">Relationship</w:t>
      </w:r>
    </w:p>
    <w:p>
      <w:pPr>
        <w:spacing w:after="160" w:line="360" w:lineRule="auto"/>
        <w:jc w:val="both"/>
      </w:pPr>
      <w:r>
        <w:rPr>
          <w:rFonts w:ascii="Times New Roman" w:cs="Times New Roman" w:eastAsia="Times New Roman" w:hAnsi="Times New Roman"/>
          <w:color w:val="000000"/>
          <w:sz w:val="24"/>
          <w:szCs w:val="24"/>
        </w:rPr>
        <w:t xml:space="preserve">7. What is the relationship between possession percentage and match result (win, draw, loss)?</w:t>
      </w:r>
    </w:p>
    <w:p>
      <w:pPr>
        <w:pStyle w:val="Heading2"/>
        <w:spacing w:after="140" w:before="300" w:line="360" w:lineRule="auto"/>
      </w:pPr>
      <w:r>
        <w:rPr>
          <w:rFonts w:ascii="Times New Roman" w:cs="Times New Roman" w:eastAsia="Times New Roman" w:hAnsi="Times New Roman"/>
          <w:b/>
          <w:bCs/>
          <w:color w:val="000000"/>
          <w:sz w:val="26"/>
          <w:szCs w:val="26"/>
        </w:rPr>
        <w:t xml:space="preserve">Anomaly or Risk-Identification</w:t>
      </w:r>
    </w:p>
    <w:p>
      <w:pPr>
        <w:spacing w:after="160" w:line="360" w:lineRule="auto"/>
        <w:jc w:val="both"/>
      </w:pPr>
      <w:r>
        <w:rPr>
          <w:rFonts w:ascii="Times New Roman" w:cs="Times New Roman" w:eastAsia="Times New Roman" w:hAnsi="Times New Roman"/>
          <w:color w:val="000000"/>
          <w:sz w:val="24"/>
          <w:szCs w:val="24"/>
        </w:rPr>
        <w:t xml:space="preserve">8. Which matches show the largest gap between expected goals (xG) and actual goals scored, indicating a team significantly overperforming or underperforming its underlying chances?</w:t>
      </w:r>
    </w:p>
    <w:p>
      <w:r>
        <w:br w:type="page"/>
      </w:r>
    </w:p>
    <w:p>
      <w:pPr>
        <w:pStyle w:val="Heading1"/>
        <w:spacing w:after="220" w:before="200" w:line="360" w:lineRule="auto"/>
      </w:pPr>
      <w:r>
        <w:rPr>
          <w:rFonts w:ascii="Times New Roman" w:cs="Times New Roman" w:eastAsia="Times New Roman" w:hAnsi="Times New Roman"/>
          <w:b/>
          <w:bCs/>
          <w:color w:val="000000"/>
          <w:sz w:val="32"/>
          <w:szCs w:val="32"/>
        </w:rPr>
        <w:t xml:space="preserve">Task 3, Data Preparation and Quality Assessment</w:t>
      </w:r>
    </w:p>
    <w:p>
      <w:pPr>
        <w:pStyle w:val="Heading2"/>
        <w:spacing w:after="140" w:before="300" w:line="360" w:lineRule="auto"/>
      </w:pPr>
      <w:r>
        <w:rPr>
          <w:rFonts w:ascii="Times New Roman" w:cs="Times New Roman" w:eastAsia="Times New Roman" w:hAnsi="Times New Roman"/>
          <w:b/>
          <w:bCs/>
          <w:color w:val="000000"/>
          <w:sz w:val="26"/>
          <w:szCs w:val="26"/>
        </w:rPr>
        <w:t xml:space="preserve">Missing Values</w:t>
      </w:r>
    </w:p>
    <w:p>
      <w:pPr>
        <w:spacing w:after="200" w:line="360" w:lineRule="auto"/>
        <w:jc w:val="both"/>
      </w:pPr>
      <w:r>
        <w:rPr>
          <w:rFonts w:ascii="Times New Roman" w:cs="Times New Roman" w:eastAsia="Times New Roman" w:hAnsi="Times New Roman"/>
          <w:color w:val="000000"/>
          <w:sz w:val="24"/>
          <w:szCs w:val="24"/>
        </w:rPr>
        <w:t xml:space="preserve">The attendance column has 698 missing values, roughly 18.4 percent of records, consistent with pandemic-era matches played without crowds or with unrecorded attendance. The notes column is entirely empty and has no analytical value. The dist column, average shot distance, has a single missing value.</w:t>
      </w:r>
    </w:p>
    <w:p>
      <w:pPr>
        <w:pStyle w:val="Heading2"/>
        <w:spacing w:after="140" w:before="300" w:line="360" w:lineRule="auto"/>
      </w:pPr>
      <w:r>
        <w:rPr>
          <w:rFonts w:ascii="Times New Roman" w:cs="Times New Roman" w:eastAsia="Times New Roman" w:hAnsi="Times New Roman"/>
          <w:b/>
          <w:bCs/>
          <w:color w:val="000000"/>
          <w:sz w:val="26"/>
          <w:szCs w:val="26"/>
        </w:rPr>
        <w:t xml:space="preserve">Duplicate Records</w:t>
      </w:r>
    </w:p>
    <w:p>
      <w:pPr>
        <w:spacing w:after="200" w:line="360" w:lineRule="auto"/>
        <w:jc w:val="both"/>
      </w:pPr>
      <w:r>
        <w:rPr>
          <w:rFonts w:ascii="Times New Roman" w:cs="Times New Roman" w:eastAsia="Times New Roman" w:hAnsi="Times New Roman"/>
          <w:color w:val="000000"/>
          <w:sz w:val="24"/>
          <w:szCs w:val="24"/>
        </w:rPr>
        <w:t xml:space="preserve">No exact duplicate rows were found across the dataset.</w:t>
      </w:r>
    </w:p>
    <w:p>
      <w:pPr>
        <w:pStyle w:val="Heading2"/>
        <w:spacing w:after="140" w:before="300" w:line="360" w:lineRule="auto"/>
      </w:pPr>
      <w:r>
        <w:rPr>
          <w:rFonts w:ascii="Times New Roman" w:cs="Times New Roman" w:eastAsia="Times New Roman" w:hAnsi="Times New Roman"/>
          <w:b/>
          <w:bCs/>
          <w:color w:val="000000"/>
          <w:sz w:val="26"/>
          <w:szCs w:val="26"/>
        </w:rPr>
        <w:t xml:space="preserve">Inconsistent Category Names</w:t>
      </w:r>
    </w:p>
    <w:p>
      <w:pPr>
        <w:spacing w:after="200" w:line="360" w:lineRule="auto"/>
        <w:jc w:val="both"/>
      </w:pPr>
      <w:r>
        <w:rPr>
          <w:rFonts w:ascii="Times New Roman" w:cs="Times New Roman" w:eastAsia="Times New Roman" w:hAnsi="Times New Roman"/>
          <w:color w:val="000000"/>
          <w:sz w:val="24"/>
          <w:szCs w:val="24"/>
        </w:rPr>
        <w:t xml:space="preserve">The team column uses full club names such as Manchester United, Tottenham Hotspur, and Wolverhampton Wanderers, while the opponent column uses shortened versions of the same clubs, such as Manchester Utd, Tottenham, and Wolves, affecting nine clubs in total. These were standardized to a single naming convention so that team and opponent values can be joined and compared correctly.</w:t>
      </w:r>
    </w:p>
    <w:p>
      <w:pPr>
        <w:pStyle w:val="Heading2"/>
        <w:spacing w:after="140" w:before="300" w:line="360" w:lineRule="auto"/>
      </w:pPr>
      <w:r>
        <w:rPr>
          <w:rFonts w:ascii="Times New Roman" w:cs="Times New Roman" w:eastAsia="Times New Roman" w:hAnsi="Times New Roman"/>
          <w:b/>
          <w:bCs/>
          <w:color w:val="000000"/>
          <w:sz w:val="26"/>
          <w:szCs w:val="26"/>
        </w:rPr>
        <w:t xml:space="preserve">Data Type Conversions</w:t>
      </w:r>
    </w:p>
    <w:p>
      <w:pPr>
        <w:spacing w:after="200" w:line="360" w:lineRule="auto"/>
        <w:jc w:val="both"/>
      </w:pPr>
      <w:r>
        <w:rPr>
          <w:rFonts w:ascii="Times New Roman" w:cs="Times New Roman" w:eastAsia="Times New Roman" w:hAnsi="Times New Roman"/>
          <w:color w:val="000000"/>
          <w:sz w:val="24"/>
          <w:szCs w:val="24"/>
        </w:rPr>
        <w:t xml:space="preserve">The date column was stored as text and converted to a proper date type. The time column was converted to a time type. Categorical fields such as result, venue, and day were confirmed as categories rather than free text, since each takes a small fixed set of values.</w:t>
      </w:r>
    </w:p>
    <w:p>
      <w:pPr>
        <w:pStyle w:val="Heading2"/>
        <w:spacing w:after="140" w:before="300" w:line="360" w:lineRule="auto"/>
      </w:pPr>
      <w:r>
        <w:rPr>
          <w:rFonts w:ascii="Times New Roman" w:cs="Times New Roman" w:eastAsia="Times New Roman" w:hAnsi="Times New Roman"/>
          <w:b/>
          <w:bCs/>
          <w:color w:val="000000"/>
          <w:sz w:val="26"/>
          <w:szCs w:val="26"/>
        </w:rPr>
        <w:t xml:space="preserve">Date Component Extraction</w:t>
      </w:r>
    </w:p>
    <w:p>
      <w:pPr>
        <w:spacing w:after="200" w:line="360" w:lineRule="auto"/>
        <w:jc w:val="both"/>
      </w:pPr>
      <w:r>
        <w:rPr>
          <w:rFonts w:ascii="Times New Roman" w:cs="Times New Roman" w:eastAsia="Times New Roman" w:hAnsi="Times New Roman"/>
          <w:color w:val="000000"/>
          <w:sz w:val="24"/>
          <w:szCs w:val="24"/>
        </w:rPr>
        <w:t xml:space="preserve">Month and matchweek period, grouped as early, mid, or late season, were extracted from the date column to support the trend visualizations in Task 2, since analyzing performance by raw date alone does not group naturally into a season narrative.</w:t>
      </w:r>
    </w:p>
    <w:p>
      <w:pPr>
        <w:pStyle w:val="Heading2"/>
        <w:spacing w:after="140" w:before="300" w:line="360" w:lineRule="auto"/>
      </w:pPr>
      <w:r>
        <w:rPr>
          <w:rFonts w:ascii="Times New Roman" w:cs="Times New Roman" w:eastAsia="Times New Roman" w:hAnsi="Times New Roman"/>
          <w:b/>
          <w:bCs/>
          <w:color w:val="000000"/>
          <w:sz w:val="26"/>
          <w:szCs w:val="26"/>
        </w:rPr>
        <w:t xml:space="preserve">Outliers</w:t>
      </w:r>
    </w:p>
    <w:p>
      <w:pPr>
        <w:spacing w:after="200" w:line="360" w:lineRule="auto"/>
        <w:jc w:val="both"/>
      </w:pPr>
      <w:r>
        <w:rPr>
          <w:rFonts w:ascii="Times New Roman" w:cs="Times New Roman" w:eastAsia="Times New Roman" w:hAnsi="Times New Roman"/>
          <w:color w:val="000000"/>
          <w:sz w:val="24"/>
          <w:szCs w:val="24"/>
        </w:rPr>
        <w:t xml:space="preserve">Matches with nine goals scored or conceded sit well above the dataset average of roughly 1.5 and were flagged for review rather than removed, since they are plausible extreme results rather than data entry errors. Low attendance values around 2,000 were also flagged, but retained as genuine reflections of pandemic-restricted matches rather than treated as errors.</w:t>
      </w:r>
    </w:p>
    <w:p>
      <w:pPr>
        <w:pStyle w:val="Heading2"/>
        <w:spacing w:after="140" w:before="300" w:line="360" w:lineRule="auto"/>
      </w:pPr>
      <w:r>
        <w:rPr>
          <w:rFonts w:ascii="Times New Roman" w:cs="Times New Roman" w:eastAsia="Times New Roman" w:hAnsi="Times New Roman"/>
          <w:b/>
          <w:bCs/>
          <w:color w:val="000000"/>
          <w:sz w:val="26"/>
          <w:szCs w:val="26"/>
        </w:rPr>
        <w:t xml:space="preserve">Calculated Attributes</w:t>
      </w:r>
    </w:p>
    <w:p>
      <w:pPr>
        <w:spacing w:after="200" w:line="360" w:lineRule="auto"/>
        <w:jc w:val="both"/>
      </w:pPr>
      <w:r>
        <w:rPr>
          <w:rFonts w:ascii="Times New Roman" w:cs="Times New Roman" w:eastAsia="Times New Roman" w:hAnsi="Times New Roman"/>
          <w:color w:val="000000"/>
          <w:sz w:val="24"/>
          <w:szCs w:val="24"/>
        </w:rPr>
        <w:t xml:space="preserve">Points earned per match, where a win equals three points, a draw equals one point, and a loss equals zero points. This is useful because it converts the categorical result into a numeric value that can be summed or averaged to reconstruct season standings and rolling form, which raw win and loss counts alone cannot show as a trend.</w:t>
      </w:r>
    </w:p>
    <w:p>
      <w:pPr>
        <w:spacing w:after="200" w:line="360" w:lineRule="auto"/>
        <w:jc w:val="both"/>
      </w:pPr>
      <w:r>
        <w:rPr>
          <w:rFonts w:ascii="Times New Roman" w:cs="Times New Roman" w:eastAsia="Times New Roman" w:hAnsi="Times New Roman"/>
          <w:color w:val="000000"/>
          <w:sz w:val="24"/>
          <w:szCs w:val="24"/>
        </w:rPr>
        <w:t xml:space="preserve">Goal difference from expected goals, calculated as goals scored minus xG. This is useful because it directly measures whether a team over or underperformed its underlying chances in a match, which is the core anomaly and risk question identified in Task 2.</w:t>
      </w:r>
    </w:p>
    <w:p>
      <w:pPr>
        <w:pStyle w:val="Heading2"/>
        <w:spacing w:after="140" w:before="300" w:line="360" w:lineRule="auto"/>
      </w:pPr>
      <w:r>
        <w:rPr>
          <w:rFonts w:ascii="Times New Roman" w:cs="Times New Roman" w:eastAsia="Times New Roman" w:hAnsi="Times New Roman"/>
          <w:b/>
          <w:bCs/>
          <w:color w:val="000000"/>
          <w:sz w:val="26"/>
          <w:szCs w:val="26"/>
        </w:rPr>
        <w:t xml:space="preserve">Records Removed or Modified</w:t>
      </w:r>
    </w:p>
    <w:p>
      <w:pPr>
        <w:spacing w:after="200" w:line="360" w:lineRule="auto"/>
        <w:jc w:val="both"/>
      </w:pPr>
      <w:r>
        <w:rPr>
          <w:rFonts w:ascii="Times New Roman" w:cs="Times New Roman" w:eastAsia="Times New Roman" w:hAnsi="Times New Roman"/>
          <w:color w:val="000000"/>
          <w:sz w:val="24"/>
          <w:szCs w:val="24"/>
        </w:rPr>
        <w:t xml:space="preserve">The notes column was dropped entirely due to having no data. The formation and opp formation columns contain a spreadsheet corruption issue where roughly half the values, 1,986 of 3,800 rows, were auto-converted into date strings by Excel, for example 3-4-3 became 3/4/2003. These values were flagged as unusable in their current form and excluded from any formation-based visualization rather than guessed at. Opponent name values were modified to match the standardized team naming convention. No rows were deleted, since missing attendance and flagged outliers still carry valid information for other fields.</w:t>
      </w:r>
    </w:p>
    <w:p>
      <w:pPr>
        <w:pStyle w:val="Heading2"/>
        <w:spacing w:after="140" w:before="300" w:line="360" w:lineRule="auto"/>
      </w:pPr>
      <w:r>
        <w:rPr>
          <w:rFonts w:ascii="Times New Roman" w:cs="Times New Roman" w:eastAsia="Times New Roman" w:hAnsi="Times New Roman"/>
          <w:b/>
          <w:bCs/>
          <w:color w:val="000000"/>
          <w:sz w:val="26"/>
          <w:szCs w:val="26"/>
        </w:rPr>
        <w:t xml:space="preserve">Data Quality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9D9D9" w:val="clear"/>
            <w:tcMar>
              <w:top w:type="dxa" w:w="100"/>
              <w:left w:type="dxa" w:w="120"/>
              <w:bottom w:type="dxa" w:w="100"/>
              <w:right w:type="dxa" w:w="120"/>
            </w:tcMar>
          </w:tcPr>
          <w:p>
            <w:pPr>
              <w:spacing w:line="360" w:lineRule="auto"/>
              <w:jc w:val="both"/>
            </w:pPr>
            <w:r>
              <w:rPr>
                <w:rFonts w:ascii="Times New Roman" w:cs="Times New Roman" w:eastAsia="Times New Roman" w:hAnsi="Times New Roman"/>
                <w:b/>
                <w:bCs/>
                <w:color w:val="000000"/>
                <w:sz w:val="21"/>
                <w:szCs w:val="21"/>
              </w:rPr>
              <w:t xml:space="preserve">Metric</w:t>
            </w:r>
          </w:p>
        </w:tc>
        <w:tc>
          <w:tcPr>
            <w:tcW w:type="dxa" w:w="4680"/>
            <w:shd w:fill="D9D9D9" w:val="clear"/>
            <w:tcMar>
              <w:top w:type="dxa" w:w="100"/>
              <w:left w:type="dxa" w:w="120"/>
              <w:bottom w:type="dxa" w:w="100"/>
              <w:right w:type="dxa" w:w="120"/>
            </w:tcMar>
          </w:tcPr>
          <w:p>
            <w:pPr>
              <w:spacing w:line="360" w:lineRule="auto"/>
              <w:jc w:val="both"/>
            </w:pPr>
            <w:r>
              <w:rPr>
                <w:rFonts w:ascii="Times New Roman" w:cs="Times New Roman" w:eastAsia="Times New Roman" w:hAnsi="Times New Roman"/>
                <w:b/>
                <w:bCs/>
                <w:color w:val="000000"/>
                <w:sz w:val="21"/>
                <w:szCs w:val="21"/>
              </w:rPr>
              <w:t xml:space="preserve">Value</w:t>
            </w:r>
          </w:p>
        </w:tc>
      </w:tr>
      <w:tr>
        <w:tc>
          <w:tcPr>
            <w:tcW w:type="dxa" w:w="4680"/>
            <w:tcMar>
              <w:top w:type="dxa" w:w="100"/>
              <w:left w:type="dxa" w:w="120"/>
              <w:bottom w:type="dxa" w:w="100"/>
              <w:right w:type="dxa" w:w="120"/>
            </w:tcMar>
          </w:tcPr>
          <w:p>
            <w:pPr>
              <w:spacing w:line="360" w:lineRule="auto"/>
              <w:jc w:val="both"/>
            </w:pPr>
            <w:r>
              <w:rPr>
                <w:rFonts w:ascii="Times New Roman" w:cs="Times New Roman" w:eastAsia="Times New Roman" w:hAnsi="Times New Roman"/>
                <w:b w:val="false"/>
                <w:bCs w:val="false"/>
                <w:color w:val="000000"/>
                <w:sz w:val="21"/>
                <w:szCs w:val="21"/>
              </w:rPr>
              <w:t xml:space="preserve">Total records</w:t>
            </w:r>
          </w:p>
        </w:tc>
        <w:tc>
          <w:tcPr>
            <w:tcW w:type="dxa" w:w="4680"/>
            <w:tcMar>
              <w:top w:type="dxa" w:w="100"/>
              <w:left w:type="dxa" w:w="120"/>
              <w:bottom w:type="dxa" w:w="100"/>
              <w:right w:type="dxa" w:w="120"/>
            </w:tcMar>
          </w:tcPr>
          <w:p>
            <w:pPr>
              <w:spacing w:line="360" w:lineRule="auto"/>
              <w:jc w:val="both"/>
            </w:pPr>
            <w:r>
              <w:rPr>
                <w:rFonts w:ascii="Times New Roman" w:cs="Times New Roman" w:eastAsia="Times New Roman" w:hAnsi="Times New Roman"/>
                <w:b w:val="false"/>
                <w:bCs w:val="false"/>
                <w:color w:val="000000"/>
                <w:sz w:val="21"/>
                <w:szCs w:val="21"/>
              </w:rPr>
              <w:t xml:space="preserve">3,800</w:t>
            </w:r>
          </w:p>
        </w:tc>
      </w:tr>
      <w:tr>
        <w:tc>
          <w:tcPr>
            <w:tcW w:type="dxa" w:w="4680"/>
            <w:tcMar>
              <w:top w:type="dxa" w:w="100"/>
              <w:left w:type="dxa" w:w="120"/>
              <w:bottom w:type="dxa" w:w="100"/>
              <w:right w:type="dxa" w:w="120"/>
            </w:tcMar>
          </w:tcPr>
          <w:p>
            <w:pPr>
              <w:spacing w:line="360" w:lineRule="auto"/>
              <w:jc w:val="both"/>
            </w:pPr>
            <w:r>
              <w:rPr>
                <w:rFonts w:ascii="Times New Roman" w:cs="Times New Roman" w:eastAsia="Times New Roman" w:hAnsi="Times New Roman"/>
                <w:b w:val="false"/>
                <w:bCs w:val="false"/>
                <w:color w:val="000000"/>
                <w:sz w:val="21"/>
                <w:szCs w:val="21"/>
              </w:rPr>
              <w:t xml:space="preserve">Total columns</w:t>
            </w:r>
          </w:p>
        </w:tc>
        <w:tc>
          <w:tcPr>
            <w:tcW w:type="dxa" w:w="4680"/>
            <w:tcMar>
              <w:top w:type="dxa" w:w="100"/>
              <w:left w:type="dxa" w:w="120"/>
              <w:bottom w:type="dxa" w:w="100"/>
              <w:right w:type="dxa" w:w="120"/>
            </w:tcMar>
          </w:tcPr>
          <w:p>
            <w:pPr>
              <w:spacing w:line="360" w:lineRule="auto"/>
              <w:jc w:val="both"/>
            </w:pPr>
            <w:r>
              <w:rPr>
                <w:rFonts w:ascii="Times New Roman" w:cs="Times New Roman" w:eastAsia="Times New Roman" w:hAnsi="Times New Roman"/>
                <w:b w:val="false"/>
                <w:bCs w:val="false"/>
                <w:color w:val="000000"/>
                <w:sz w:val="21"/>
                <w:szCs w:val="21"/>
              </w:rPr>
              <w:t xml:space="preserve">28</w:t>
            </w:r>
          </w:p>
        </w:tc>
      </w:tr>
      <w:tr>
        <w:tc>
          <w:tcPr>
            <w:tcW w:type="dxa" w:w="4680"/>
            <w:tcMar>
              <w:top w:type="dxa" w:w="100"/>
              <w:left w:type="dxa" w:w="120"/>
              <w:bottom w:type="dxa" w:w="100"/>
              <w:right w:type="dxa" w:w="120"/>
            </w:tcMar>
          </w:tcPr>
          <w:p>
            <w:pPr>
              <w:spacing w:line="360" w:lineRule="auto"/>
              <w:jc w:val="both"/>
            </w:pPr>
            <w:r>
              <w:rPr>
                <w:rFonts w:ascii="Times New Roman" w:cs="Times New Roman" w:eastAsia="Times New Roman" w:hAnsi="Times New Roman"/>
                <w:b w:val="false"/>
                <w:bCs w:val="false"/>
                <w:color w:val="000000"/>
                <w:sz w:val="21"/>
                <w:szCs w:val="21"/>
              </w:rPr>
              <w:t xml:space="preserve">Duplicate rows</w:t>
            </w:r>
          </w:p>
        </w:tc>
        <w:tc>
          <w:tcPr>
            <w:tcW w:type="dxa" w:w="4680"/>
            <w:tcMar>
              <w:top w:type="dxa" w:w="100"/>
              <w:left w:type="dxa" w:w="120"/>
              <w:bottom w:type="dxa" w:w="100"/>
              <w:right w:type="dxa" w:w="120"/>
            </w:tcMar>
          </w:tcPr>
          <w:p>
            <w:pPr>
              <w:spacing w:line="360" w:lineRule="auto"/>
              <w:jc w:val="both"/>
            </w:pPr>
            <w:r>
              <w:rPr>
                <w:rFonts w:ascii="Times New Roman" w:cs="Times New Roman" w:eastAsia="Times New Roman" w:hAnsi="Times New Roman"/>
                <w:b w:val="false"/>
                <w:bCs w:val="false"/>
                <w:color w:val="000000"/>
                <w:sz w:val="21"/>
                <w:szCs w:val="21"/>
              </w:rPr>
              <w:t xml:space="preserve">0</w:t>
            </w:r>
          </w:p>
        </w:tc>
      </w:tr>
      <w:tr>
        <w:tc>
          <w:tcPr>
            <w:tcW w:type="dxa" w:w="4680"/>
            <w:tcMar>
              <w:top w:type="dxa" w:w="100"/>
              <w:left w:type="dxa" w:w="120"/>
              <w:bottom w:type="dxa" w:w="100"/>
              <w:right w:type="dxa" w:w="120"/>
            </w:tcMar>
          </w:tcPr>
          <w:p>
            <w:pPr>
              <w:spacing w:line="360" w:lineRule="auto"/>
              <w:jc w:val="both"/>
            </w:pPr>
            <w:r>
              <w:rPr>
                <w:rFonts w:ascii="Times New Roman" w:cs="Times New Roman" w:eastAsia="Times New Roman" w:hAnsi="Times New Roman"/>
                <w:b w:val="false"/>
                <w:bCs w:val="false"/>
                <w:color w:val="000000"/>
                <w:sz w:val="21"/>
                <w:szCs w:val="21"/>
              </w:rPr>
              <w:t xml:space="preserve">Missing attendance values</w:t>
            </w:r>
          </w:p>
        </w:tc>
        <w:tc>
          <w:tcPr>
            <w:tcW w:type="dxa" w:w="4680"/>
            <w:tcMar>
              <w:top w:type="dxa" w:w="100"/>
              <w:left w:type="dxa" w:w="120"/>
              <w:bottom w:type="dxa" w:w="100"/>
              <w:right w:type="dxa" w:w="120"/>
            </w:tcMar>
          </w:tcPr>
          <w:p>
            <w:pPr>
              <w:spacing w:line="360" w:lineRule="auto"/>
              <w:jc w:val="both"/>
            </w:pPr>
            <w:r>
              <w:rPr>
                <w:rFonts w:ascii="Times New Roman" w:cs="Times New Roman" w:eastAsia="Times New Roman" w:hAnsi="Times New Roman"/>
                <w:b w:val="false"/>
                <w:bCs w:val="false"/>
                <w:color w:val="000000"/>
                <w:sz w:val="21"/>
                <w:szCs w:val="21"/>
              </w:rPr>
              <w:t xml:space="preserve">698 (18.4%)</w:t>
            </w:r>
          </w:p>
        </w:tc>
      </w:tr>
      <w:tr>
        <w:tc>
          <w:tcPr>
            <w:tcW w:type="dxa" w:w="4680"/>
            <w:tcMar>
              <w:top w:type="dxa" w:w="100"/>
              <w:left w:type="dxa" w:w="120"/>
              <w:bottom w:type="dxa" w:w="100"/>
              <w:right w:type="dxa" w:w="120"/>
            </w:tcMar>
          </w:tcPr>
          <w:p>
            <w:pPr>
              <w:spacing w:line="360" w:lineRule="auto"/>
              <w:jc w:val="both"/>
            </w:pPr>
            <w:r>
              <w:rPr>
                <w:rFonts w:ascii="Times New Roman" w:cs="Times New Roman" w:eastAsia="Times New Roman" w:hAnsi="Times New Roman"/>
                <w:b w:val="false"/>
                <w:bCs w:val="false"/>
                <w:color w:val="000000"/>
                <w:sz w:val="21"/>
                <w:szCs w:val="21"/>
              </w:rPr>
              <w:t xml:space="preserve">Columns dropped</w:t>
            </w:r>
          </w:p>
        </w:tc>
        <w:tc>
          <w:tcPr>
            <w:tcW w:type="dxa" w:w="4680"/>
            <w:tcMar>
              <w:top w:type="dxa" w:w="100"/>
              <w:left w:type="dxa" w:w="120"/>
              <w:bottom w:type="dxa" w:w="100"/>
              <w:right w:type="dxa" w:w="120"/>
            </w:tcMar>
          </w:tcPr>
          <w:p>
            <w:pPr>
              <w:spacing w:line="360" w:lineRule="auto"/>
              <w:jc w:val="both"/>
            </w:pPr>
            <w:r>
              <w:rPr>
                <w:rFonts w:ascii="Times New Roman" w:cs="Times New Roman" w:eastAsia="Times New Roman" w:hAnsi="Times New Roman"/>
                <w:b w:val="false"/>
                <w:bCs w:val="false"/>
                <w:color w:val="000000"/>
                <w:sz w:val="21"/>
                <w:szCs w:val="21"/>
              </w:rPr>
              <w:t xml:space="preserve">1 (notes)</w:t>
            </w:r>
          </w:p>
        </w:tc>
      </w:tr>
      <w:tr>
        <w:tc>
          <w:tcPr>
            <w:tcW w:type="dxa" w:w="4680"/>
            <w:tcMar>
              <w:top w:type="dxa" w:w="100"/>
              <w:left w:type="dxa" w:w="120"/>
              <w:bottom w:type="dxa" w:w="100"/>
              <w:right w:type="dxa" w:w="120"/>
            </w:tcMar>
          </w:tcPr>
          <w:p>
            <w:pPr>
              <w:spacing w:line="360" w:lineRule="auto"/>
              <w:jc w:val="both"/>
            </w:pPr>
            <w:r>
              <w:rPr>
                <w:rFonts w:ascii="Times New Roman" w:cs="Times New Roman" w:eastAsia="Times New Roman" w:hAnsi="Times New Roman"/>
                <w:b w:val="false"/>
                <w:bCs w:val="false"/>
                <w:color w:val="000000"/>
                <w:sz w:val="21"/>
                <w:szCs w:val="21"/>
              </w:rPr>
              <w:t xml:space="preserve">Columns with corrupted values</w:t>
            </w:r>
          </w:p>
        </w:tc>
        <w:tc>
          <w:tcPr>
            <w:tcW w:type="dxa" w:w="4680"/>
            <w:tcMar>
              <w:top w:type="dxa" w:w="100"/>
              <w:left w:type="dxa" w:w="120"/>
              <w:bottom w:type="dxa" w:w="100"/>
              <w:right w:type="dxa" w:w="120"/>
            </w:tcMar>
          </w:tcPr>
          <w:p>
            <w:pPr>
              <w:spacing w:line="360" w:lineRule="auto"/>
              <w:jc w:val="both"/>
            </w:pPr>
            <w:r>
              <w:rPr>
                <w:rFonts w:ascii="Times New Roman" w:cs="Times New Roman" w:eastAsia="Times New Roman" w:hAnsi="Times New Roman"/>
                <w:b w:val="false"/>
                <w:bCs w:val="false"/>
                <w:color w:val="000000"/>
                <w:sz w:val="21"/>
                <w:szCs w:val="21"/>
              </w:rPr>
              <w:t xml:space="preserve">2 (formation, opp formation)</w:t>
            </w:r>
          </w:p>
        </w:tc>
      </w:tr>
      <w:tr>
        <w:tc>
          <w:tcPr>
            <w:tcW w:type="dxa" w:w="4680"/>
            <w:tcMar>
              <w:top w:type="dxa" w:w="100"/>
              <w:left w:type="dxa" w:w="120"/>
              <w:bottom w:type="dxa" w:w="100"/>
              <w:right w:type="dxa" w:w="120"/>
            </w:tcMar>
          </w:tcPr>
          <w:p>
            <w:pPr>
              <w:spacing w:line="360" w:lineRule="auto"/>
              <w:jc w:val="both"/>
            </w:pPr>
            <w:r>
              <w:rPr>
                <w:rFonts w:ascii="Times New Roman" w:cs="Times New Roman" w:eastAsia="Times New Roman" w:hAnsi="Times New Roman"/>
                <w:b w:val="false"/>
                <w:bCs w:val="false"/>
                <w:color w:val="000000"/>
                <w:sz w:val="21"/>
                <w:szCs w:val="21"/>
              </w:rPr>
              <w:t xml:space="preserve">Inconsistent category names corrected</w:t>
            </w:r>
          </w:p>
        </w:tc>
        <w:tc>
          <w:tcPr>
            <w:tcW w:type="dxa" w:w="4680"/>
            <w:tcMar>
              <w:top w:type="dxa" w:w="100"/>
              <w:left w:type="dxa" w:w="120"/>
              <w:bottom w:type="dxa" w:w="100"/>
              <w:right w:type="dxa" w:w="120"/>
            </w:tcMar>
          </w:tcPr>
          <w:p>
            <w:pPr>
              <w:spacing w:line="360" w:lineRule="auto"/>
              <w:jc w:val="both"/>
            </w:pPr>
            <w:r>
              <w:rPr>
                <w:rFonts w:ascii="Times New Roman" w:cs="Times New Roman" w:eastAsia="Times New Roman" w:hAnsi="Times New Roman"/>
                <w:b w:val="false"/>
                <w:bCs w:val="false"/>
                <w:color w:val="000000"/>
                <w:sz w:val="21"/>
                <w:szCs w:val="21"/>
              </w:rPr>
              <w:t xml:space="preserve">9 club names</w:t>
            </w:r>
          </w:p>
        </w:tc>
      </w:tr>
      <w:tr>
        <w:tc>
          <w:tcPr>
            <w:tcW w:type="dxa" w:w="4680"/>
            <w:tcMar>
              <w:top w:type="dxa" w:w="100"/>
              <w:left w:type="dxa" w:w="120"/>
              <w:bottom w:type="dxa" w:w="100"/>
              <w:right w:type="dxa" w:w="120"/>
            </w:tcMar>
          </w:tcPr>
          <w:p>
            <w:pPr>
              <w:spacing w:line="360" w:lineRule="auto"/>
              <w:jc w:val="both"/>
            </w:pPr>
            <w:r>
              <w:rPr>
                <w:rFonts w:ascii="Times New Roman" w:cs="Times New Roman" w:eastAsia="Times New Roman" w:hAnsi="Times New Roman"/>
                <w:b w:val="false"/>
                <w:bCs w:val="false"/>
                <w:color w:val="000000"/>
                <w:sz w:val="21"/>
                <w:szCs w:val="21"/>
              </w:rPr>
              <w:t xml:space="preserve">Calculated attributes added</w:t>
            </w:r>
          </w:p>
        </w:tc>
        <w:tc>
          <w:tcPr>
            <w:tcW w:type="dxa" w:w="4680"/>
            <w:tcMar>
              <w:top w:type="dxa" w:w="100"/>
              <w:left w:type="dxa" w:w="120"/>
              <w:bottom w:type="dxa" w:w="100"/>
              <w:right w:type="dxa" w:w="120"/>
            </w:tcMar>
          </w:tcPr>
          <w:p>
            <w:pPr>
              <w:spacing w:line="360" w:lineRule="auto"/>
              <w:jc w:val="both"/>
            </w:pPr>
            <w:r>
              <w:rPr>
                <w:rFonts w:ascii="Times New Roman" w:cs="Times New Roman" w:eastAsia="Times New Roman" w:hAnsi="Times New Roman"/>
                <w:b w:val="false"/>
                <w:bCs w:val="false"/>
                <w:color w:val="000000"/>
                <w:sz w:val="21"/>
                <w:szCs w:val="21"/>
              </w:rPr>
              <w:t xml:space="preserve">2</w:t>
            </w:r>
          </w:p>
        </w:tc>
      </w:tr>
    </w:tbl>
    <w:p>
      <w:r>
        <w:br w:type="page"/>
      </w:r>
    </w:p>
    <w:p>
      <w:pPr>
        <w:pStyle w:val="Heading1"/>
        <w:spacing w:after="220" w:before="200" w:line="360" w:lineRule="auto"/>
      </w:pPr>
      <w:r>
        <w:rPr>
          <w:rFonts w:ascii="Times New Roman" w:cs="Times New Roman" w:eastAsia="Times New Roman" w:hAnsi="Times New Roman"/>
          <w:b/>
          <w:bCs/>
          <w:color w:val="000000"/>
          <w:sz w:val="32"/>
          <w:szCs w:val="32"/>
        </w:rPr>
        <w:t xml:space="preserve">Task 4, KPI Design</w:t>
      </w:r>
    </w:p>
    <w:p>
      <w:pPr>
        <w:spacing w:after="200" w:line="360" w:lineRule="auto"/>
        <w:jc w:val="both"/>
      </w:pPr>
      <w:r>
        <w:rPr>
          <w:rFonts w:ascii="Times New Roman" w:cs="Times New Roman" w:eastAsia="Times New Roman" w:hAnsi="Times New Roman"/>
          <w:color w:val="000000"/>
          <w:sz w:val="24"/>
          <w:szCs w:val="24"/>
        </w:rPr>
        <w:t xml:space="preserve">Four KPI cards were selected from the candidate list, chosen to avoid simple record counts and to ensure at least two involve calculated measures rather than raw totals.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40"/>
        <w:gridCol w:w="1940"/>
        <w:gridCol w:w="1940"/>
        <w:gridCol w:w="1940"/>
      </w:tblGrid>
      <w:tr>
        <w:trPr>
          <w:tblHeader/>
        </w:trPr>
        <w:tc>
          <w:tcPr>
            <w:tcW w:type="dxa" w:w="1600"/>
            <w:shd w:fill="D9D9D9" w:val="clear"/>
            <w:tcMar>
              <w:top w:type="dxa" w:w="100"/>
              <w:left w:type="dxa" w:w="120"/>
              <w:bottom w:type="dxa" w:w="100"/>
              <w:right w:type="dxa" w:w="120"/>
            </w:tcMar>
          </w:tcPr>
          <w:p>
            <w:pPr>
              <w:spacing w:line="360" w:lineRule="auto"/>
              <w:jc w:val="both"/>
            </w:pPr>
            <w:r>
              <w:rPr>
                <w:rFonts w:ascii="Times New Roman" w:cs="Times New Roman" w:eastAsia="Times New Roman" w:hAnsi="Times New Roman"/>
                <w:b/>
                <w:bCs/>
                <w:color w:val="000000"/>
                <w:sz w:val="21"/>
                <w:szCs w:val="21"/>
              </w:rPr>
              <w:t xml:space="preserve">Attribute</w:t>
            </w:r>
          </w:p>
        </w:tc>
        <w:tc>
          <w:tcPr>
            <w:tcW w:type="dxa" w:w="1940"/>
            <w:shd w:fill="D9D9D9" w:val="clear"/>
            <w:tcMar>
              <w:top w:type="dxa" w:w="100"/>
              <w:left w:type="dxa" w:w="120"/>
              <w:bottom w:type="dxa" w:w="100"/>
              <w:right w:type="dxa" w:w="120"/>
            </w:tcMar>
          </w:tcPr>
          <w:p>
            <w:pPr>
              <w:spacing w:line="360" w:lineRule="auto"/>
              <w:jc w:val="both"/>
            </w:pPr>
            <w:r>
              <w:rPr>
                <w:rFonts w:ascii="Times New Roman" w:cs="Times New Roman" w:eastAsia="Times New Roman" w:hAnsi="Times New Roman"/>
                <w:b/>
                <w:bCs/>
                <w:color w:val="000000"/>
                <w:sz w:val="21"/>
                <w:szCs w:val="21"/>
              </w:rPr>
              <w:t xml:space="preserve">KPI 1</w:t>
            </w:r>
          </w:p>
        </w:tc>
        <w:tc>
          <w:tcPr>
            <w:tcW w:type="dxa" w:w="1940"/>
            <w:shd w:fill="D9D9D9" w:val="clear"/>
            <w:tcMar>
              <w:top w:type="dxa" w:w="100"/>
              <w:left w:type="dxa" w:w="120"/>
              <w:bottom w:type="dxa" w:w="100"/>
              <w:right w:type="dxa" w:w="120"/>
            </w:tcMar>
          </w:tcPr>
          <w:p>
            <w:pPr>
              <w:spacing w:line="360" w:lineRule="auto"/>
              <w:jc w:val="both"/>
            </w:pPr>
            <w:r>
              <w:rPr>
                <w:rFonts w:ascii="Times New Roman" w:cs="Times New Roman" w:eastAsia="Times New Roman" w:hAnsi="Times New Roman"/>
                <w:b/>
                <w:bCs/>
                <w:color w:val="000000"/>
                <w:sz w:val="21"/>
                <w:szCs w:val="21"/>
              </w:rPr>
              <w:t xml:space="preserve">KPI 2</w:t>
            </w:r>
          </w:p>
        </w:tc>
        <w:tc>
          <w:tcPr>
            <w:tcW w:type="dxa" w:w="1940"/>
            <w:shd w:fill="D9D9D9" w:val="clear"/>
            <w:tcMar>
              <w:top w:type="dxa" w:w="100"/>
              <w:left w:type="dxa" w:w="120"/>
              <w:bottom w:type="dxa" w:w="100"/>
              <w:right w:type="dxa" w:w="120"/>
            </w:tcMar>
          </w:tcPr>
          <w:p>
            <w:pPr>
              <w:spacing w:line="360" w:lineRule="auto"/>
              <w:jc w:val="both"/>
            </w:pPr>
            <w:r>
              <w:rPr>
                <w:rFonts w:ascii="Times New Roman" w:cs="Times New Roman" w:eastAsia="Times New Roman" w:hAnsi="Times New Roman"/>
                <w:b/>
                <w:bCs/>
                <w:color w:val="000000"/>
                <w:sz w:val="21"/>
                <w:szCs w:val="21"/>
              </w:rPr>
              <w:t xml:space="preserve">KPI 3</w:t>
            </w:r>
          </w:p>
        </w:tc>
        <w:tc>
          <w:tcPr>
            <w:tcW w:type="dxa" w:w="1940"/>
            <w:shd w:fill="D9D9D9" w:val="clear"/>
            <w:tcMar>
              <w:top w:type="dxa" w:w="100"/>
              <w:left w:type="dxa" w:w="120"/>
              <w:bottom w:type="dxa" w:w="100"/>
              <w:right w:type="dxa" w:w="120"/>
            </w:tcMar>
          </w:tcPr>
          <w:p>
            <w:pPr>
              <w:spacing w:line="360" w:lineRule="auto"/>
              <w:jc w:val="both"/>
            </w:pPr>
            <w:r>
              <w:rPr>
                <w:rFonts w:ascii="Times New Roman" w:cs="Times New Roman" w:eastAsia="Times New Roman" w:hAnsi="Times New Roman"/>
                <w:b/>
                <w:bCs/>
                <w:color w:val="000000"/>
                <w:sz w:val="21"/>
                <w:szCs w:val="21"/>
              </w:rPr>
              <w:t xml:space="preserve">KPI 4</w:t>
            </w:r>
          </w:p>
        </w:tc>
      </w:tr>
      <w:tr>
        <w:tc>
          <w:tcPr>
            <w:tcW w:type="dxa" w:w="1600"/>
            <w:tcMar>
              <w:top w:type="dxa" w:w="100"/>
              <w:left w:type="dxa" w:w="120"/>
              <w:bottom w:type="dxa" w:w="100"/>
              <w:right w:type="dxa" w:w="120"/>
            </w:tcMar>
          </w:tcPr>
          <w:p>
            <w:pPr>
              <w:spacing w:line="360" w:lineRule="auto"/>
              <w:jc w:val="both"/>
            </w:pPr>
            <w:r>
              <w:rPr>
                <w:rFonts w:ascii="Times New Roman" w:cs="Times New Roman" w:eastAsia="Times New Roman" w:hAnsi="Times New Roman"/>
                <w:b/>
                <w:bCs/>
                <w:color w:val="000000"/>
                <w:sz w:val="21"/>
                <w:szCs w:val="21"/>
              </w:rPr>
              <w:t xml:space="preserve">Title</w:t>
            </w:r>
          </w:p>
        </w:tc>
        <w:tc>
          <w:tcPr>
            <w:tcW w:type="dxa" w:w="1940"/>
            <w:tcMar>
              <w:top w:type="dxa" w:w="100"/>
              <w:left w:type="dxa" w:w="120"/>
              <w:bottom w:type="dxa" w:w="100"/>
              <w:right w:type="dxa" w:w="120"/>
            </w:tcMar>
          </w:tcPr>
          <w:p>
            <w:pPr>
              <w:spacing w:line="360" w:lineRule="auto"/>
              <w:jc w:val="both"/>
            </w:pPr>
            <w:r>
              <w:rPr>
                <w:rFonts w:ascii="Times New Roman" w:cs="Times New Roman" w:eastAsia="Times New Roman" w:hAnsi="Times New Roman"/>
                <w:b w:val="false"/>
                <w:bCs w:val="false"/>
                <w:color w:val="000000"/>
                <w:sz w:val="21"/>
                <w:szCs w:val="21"/>
              </w:rPr>
              <w:t xml:space="preserve">Average Points per Match</w:t>
            </w:r>
          </w:p>
        </w:tc>
        <w:tc>
          <w:tcPr>
            <w:tcW w:type="dxa" w:w="1940"/>
            <w:tcMar>
              <w:top w:type="dxa" w:w="100"/>
              <w:left w:type="dxa" w:w="120"/>
              <w:bottom w:type="dxa" w:w="100"/>
              <w:right w:type="dxa" w:w="120"/>
            </w:tcMar>
          </w:tcPr>
          <w:p>
            <w:pPr>
              <w:spacing w:line="360" w:lineRule="auto"/>
              <w:jc w:val="both"/>
            </w:pPr>
            <w:r>
              <w:rPr>
                <w:rFonts w:ascii="Times New Roman" w:cs="Times New Roman" w:eastAsia="Times New Roman" w:hAnsi="Times New Roman"/>
                <w:b w:val="false"/>
                <w:bCs w:val="false"/>
                <w:color w:val="000000"/>
                <w:sz w:val="21"/>
                <w:szCs w:val="21"/>
              </w:rPr>
              <w:t xml:space="preserve">Average xG Differential</w:t>
            </w:r>
          </w:p>
        </w:tc>
        <w:tc>
          <w:tcPr>
            <w:tcW w:type="dxa" w:w="1940"/>
            <w:tcMar>
              <w:top w:type="dxa" w:w="100"/>
              <w:left w:type="dxa" w:w="120"/>
              <w:bottom w:type="dxa" w:w="100"/>
              <w:right w:type="dxa" w:w="120"/>
            </w:tcMar>
          </w:tcPr>
          <w:p>
            <w:pPr>
              <w:spacing w:line="360" w:lineRule="auto"/>
              <w:jc w:val="both"/>
            </w:pPr>
            <w:r>
              <w:rPr>
                <w:rFonts w:ascii="Times New Roman" w:cs="Times New Roman" w:eastAsia="Times New Roman" w:hAnsi="Times New Roman"/>
                <w:b w:val="false"/>
                <w:bCs w:val="false"/>
                <w:color w:val="000000"/>
                <w:sz w:val="21"/>
                <w:szCs w:val="21"/>
              </w:rPr>
              <w:t xml:space="preserve">Top-Performing Team</w:t>
            </w:r>
          </w:p>
        </w:tc>
        <w:tc>
          <w:tcPr>
            <w:tcW w:type="dxa" w:w="1940"/>
            <w:tcMar>
              <w:top w:type="dxa" w:w="100"/>
              <w:left w:type="dxa" w:w="120"/>
              <w:bottom w:type="dxa" w:w="100"/>
              <w:right w:type="dxa" w:w="120"/>
            </w:tcMar>
          </w:tcPr>
          <w:p>
            <w:pPr>
              <w:spacing w:line="360" w:lineRule="auto"/>
              <w:jc w:val="both"/>
            </w:pPr>
            <w:r>
              <w:rPr>
                <w:rFonts w:ascii="Times New Roman" w:cs="Times New Roman" w:eastAsia="Times New Roman" w:hAnsi="Times New Roman"/>
                <w:b w:val="false"/>
                <w:bCs w:val="false"/>
                <w:color w:val="000000"/>
                <w:sz w:val="21"/>
                <w:szCs w:val="21"/>
              </w:rPr>
              <w:t xml:space="preserve">Home vs Away Win Rate Gap</w:t>
            </w:r>
          </w:p>
        </w:tc>
      </w:tr>
      <w:tr>
        <w:tc>
          <w:tcPr>
            <w:tcW w:type="dxa" w:w="1600"/>
            <w:tcMar>
              <w:top w:type="dxa" w:w="100"/>
              <w:left w:type="dxa" w:w="120"/>
              <w:bottom w:type="dxa" w:w="100"/>
              <w:right w:type="dxa" w:w="120"/>
            </w:tcMar>
          </w:tcPr>
          <w:p>
            <w:pPr>
              <w:spacing w:line="360" w:lineRule="auto"/>
              <w:jc w:val="both"/>
            </w:pPr>
            <w:r>
              <w:rPr>
                <w:rFonts w:ascii="Times New Roman" w:cs="Times New Roman" w:eastAsia="Times New Roman" w:hAnsi="Times New Roman"/>
                <w:b/>
                <w:bCs/>
                <w:color w:val="000000"/>
                <w:sz w:val="21"/>
                <w:szCs w:val="21"/>
              </w:rPr>
              <w:t xml:space="preserve">Current Value</w:t>
            </w:r>
          </w:p>
        </w:tc>
        <w:tc>
          <w:tcPr>
            <w:tcW w:type="dxa" w:w="1940"/>
            <w:tcMar>
              <w:top w:type="dxa" w:w="100"/>
              <w:left w:type="dxa" w:w="120"/>
              <w:bottom w:type="dxa" w:w="100"/>
              <w:right w:type="dxa" w:w="120"/>
            </w:tcMar>
          </w:tcPr>
          <w:p>
            <w:pPr>
              <w:spacing w:line="360" w:lineRule="auto"/>
              <w:jc w:val="both"/>
            </w:pPr>
            <w:r>
              <w:rPr>
                <w:rFonts w:ascii="Times New Roman" w:cs="Times New Roman" w:eastAsia="Times New Roman" w:hAnsi="Times New Roman"/>
                <w:b w:val="false"/>
                <w:bCs w:val="false"/>
                <w:color w:val="000000"/>
                <w:sz w:val="21"/>
                <w:szCs w:val="21"/>
              </w:rPr>
              <w:t xml:space="preserve">1.39</w:t>
            </w:r>
          </w:p>
        </w:tc>
        <w:tc>
          <w:tcPr>
            <w:tcW w:type="dxa" w:w="1940"/>
            <w:tcMar>
              <w:top w:type="dxa" w:w="100"/>
              <w:left w:type="dxa" w:w="120"/>
              <w:bottom w:type="dxa" w:w="100"/>
              <w:right w:type="dxa" w:w="120"/>
            </w:tcMar>
          </w:tcPr>
          <w:p>
            <w:pPr>
              <w:spacing w:line="360" w:lineRule="auto"/>
              <w:jc w:val="both"/>
            </w:pPr>
            <w:r>
              <w:rPr>
                <w:rFonts w:ascii="Times New Roman" w:cs="Times New Roman" w:eastAsia="Times New Roman" w:hAnsi="Times New Roman"/>
                <w:b w:val="false"/>
                <w:bCs w:val="false"/>
                <w:color w:val="000000"/>
                <w:sz w:val="21"/>
                <w:szCs w:val="21"/>
              </w:rPr>
              <w:t xml:space="preserve">+0.05 goals/match</w:t>
            </w:r>
          </w:p>
        </w:tc>
        <w:tc>
          <w:tcPr>
            <w:tcW w:type="dxa" w:w="1940"/>
            <w:tcMar>
              <w:top w:type="dxa" w:w="100"/>
              <w:left w:type="dxa" w:w="120"/>
              <w:bottom w:type="dxa" w:w="100"/>
              <w:right w:type="dxa" w:w="120"/>
            </w:tcMar>
          </w:tcPr>
          <w:p>
            <w:pPr>
              <w:spacing w:line="360" w:lineRule="auto"/>
              <w:jc w:val="both"/>
            </w:pPr>
            <w:r>
              <w:rPr>
                <w:rFonts w:ascii="Times New Roman" w:cs="Times New Roman" w:eastAsia="Times New Roman" w:hAnsi="Times New Roman"/>
                <w:b w:val="false"/>
                <w:bCs w:val="false"/>
                <w:color w:val="000000"/>
                <w:sz w:val="21"/>
                <w:szCs w:val="21"/>
              </w:rPr>
              <w:t xml:space="preserve">Manchester City, 430 pts</w:t>
            </w:r>
          </w:p>
        </w:tc>
        <w:tc>
          <w:tcPr>
            <w:tcW w:type="dxa" w:w="1940"/>
            <w:tcMar>
              <w:top w:type="dxa" w:w="100"/>
              <w:left w:type="dxa" w:w="120"/>
              <w:bottom w:type="dxa" w:w="100"/>
              <w:right w:type="dxa" w:w="120"/>
            </w:tcMar>
          </w:tcPr>
          <w:p>
            <w:pPr>
              <w:spacing w:line="360" w:lineRule="auto"/>
              <w:jc w:val="both"/>
            </w:pPr>
            <w:r>
              <w:rPr>
                <w:rFonts w:ascii="Times New Roman" w:cs="Times New Roman" w:eastAsia="Times New Roman" w:hAnsi="Times New Roman"/>
                <w:b w:val="false"/>
                <w:bCs w:val="false"/>
                <w:color w:val="000000"/>
                <w:sz w:val="21"/>
                <w:szCs w:val="21"/>
              </w:rPr>
              <w:t xml:space="preserve">43.2% home / 34.0% away</w:t>
            </w:r>
          </w:p>
        </w:tc>
      </w:tr>
      <w:tr>
        <w:tc>
          <w:tcPr>
            <w:tcW w:type="dxa" w:w="1600"/>
            <w:tcMar>
              <w:top w:type="dxa" w:w="100"/>
              <w:left w:type="dxa" w:w="120"/>
              <w:bottom w:type="dxa" w:w="100"/>
              <w:right w:type="dxa" w:w="120"/>
            </w:tcMar>
          </w:tcPr>
          <w:p>
            <w:pPr>
              <w:spacing w:line="360" w:lineRule="auto"/>
              <w:jc w:val="both"/>
            </w:pPr>
            <w:r>
              <w:rPr>
                <w:rFonts w:ascii="Times New Roman" w:cs="Times New Roman" w:eastAsia="Times New Roman" w:hAnsi="Times New Roman"/>
                <w:b/>
                <w:bCs/>
                <w:color w:val="000000"/>
                <w:sz w:val="21"/>
                <w:szCs w:val="21"/>
              </w:rPr>
              <w:t xml:space="preserve">Number Formatting</w:t>
            </w:r>
          </w:p>
        </w:tc>
        <w:tc>
          <w:tcPr>
            <w:tcW w:type="dxa" w:w="1940"/>
            <w:tcMar>
              <w:top w:type="dxa" w:w="100"/>
              <w:left w:type="dxa" w:w="120"/>
              <w:bottom w:type="dxa" w:w="100"/>
              <w:right w:type="dxa" w:w="120"/>
            </w:tcMar>
          </w:tcPr>
          <w:p>
            <w:pPr>
              <w:spacing w:line="360" w:lineRule="auto"/>
              <w:jc w:val="both"/>
            </w:pPr>
            <w:r>
              <w:rPr>
                <w:rFonts w:ascii="Times New Roman" w:cs="Times New Roman" w:eastAsia="Times New Roman" w:hAnsi="Times New Roman"/>
                <w:b w:val="false"/>
                <w:bCs w:val="false"/>
                <w:color w:val="000000"/>
                <w:sz w:val="21"/>
                <w:szCs w:val="21"/>
              </w:rPr>
              <w:t xml:space="preserve">1 decimal place, out of 3 possible</w:t>
            </w:r>
          </w:p>
        </w:tc>
        <w:tc>
          <w:tcPr>
            <w:tcW w:type="dxa" w:w="1940"/>
            <w:tcMar>
              <w:top w:type="dxa" w:w="100"/>
              <w:left w:type="dxa" w:w="120"/>
              <w:bottom w:type="dxa" w:w="100"/>
              <w:right w:type="dxa" w:w="120"/>
            </w:tcMar>
          </w:tcPr>
          <w:p>
            <w:pPr>
              <w:spacing w:line="360" w:lineRule="auto"/>
              <w:jc w:val="both"/>
            </w:pPr>
            <w:r>
              <w:rPr>
                <w:rFonts w:ascii="Times New Roman" w:cs="Times New Roman" w:eastAsia="Times New Roman" w:hAnsi="Times New Roman"/>
                <w:b w:val="false"/>
                <w:bCs w:val="false"/>
                <w:color w:val="000000"/>
                <w:sz w:val="21"/>
                <w:szCs w:val="21"/>
              </w:rPr>
              <w:t xml:space="preserve">Signed, 2 decimal places</w:t>
            </w:r>
          </w:p>
        </w:tc>
        <w:tc>
          <w:tcPr>
            <w:tcW w:type="dxa" w:w="1940"/>
            <w:tcMar>
              <w:top w:type="dxa" w:w="100"/>
              <w:left w:type="dxa" w:w="120"/>
              <w:bottom w:type="dxa" w:w="100"/>
              <w:right w:type="dxa" w:w="120"/>
            </w:tcMar>
          </w:tcPr>
          <w:p>
            <w:pPr>
              <w:spacing w:line="360" w:lineRule="auto"/>
              <w:jc w:val="both"/>
            </w:pPr>
            <w:r>
              <w:rPr>
                <w:rFonts w:ascii="Times New Roman" w:cs="Times New Roman" w:eastAsia="Times New Roman" w:hAnsi="Times New Roman"/>
                <w:b w:val="false"/>
                <w:bCs w:val="false"/>
                <w:color w:val="000000"/>
                <w:sz w:val="21"/>
                <w:szCs w:val="21"/>
              </w:rPr>
              <w:t xml:space="preserve">Whole number points, team name</w:t>
            </w:r>
          </w:p>
        </w:tc>
        <w:tc>
          <w:tcPr>
            <w:tcW w:type="dxa" w:w="1940"/>
            <w:tcMar>
              <w:top w:type="dxa" w:w="100"/>
              <w:left w:type="dxa" w:w="120"/>
              <w:bottom w:type="dxa" w:w="100"/>
              <w:right w:type="dxa" w:w="120"/>
            </w:tcMar>
          </w:tcPr>
          <w:p>
            <w:pPr>
              <w:spacing w:line="360" w:lineRule="auto"/>
              <w:jc w:val="both"/>
            </w:pPr>
            <w:r>
              <w:rPr>
                <w:rFonts w:ascii="Times New Roman" w:cs="Times New Roman" w:eastAsia="Times New Roman" w:hAnsi="Times New Roman"/>
                <w:b w:val="false"/>
                <w:bCs w:val="false"/>
                <w:color w:val="000000"/>
                <w:sz w:val="21"/>
                <w:szCs w:val="21"/>
              </w:rPr>
              <w:t xml:space="preserve">Percentage, 1 decimal, with point gap shown</w:t>
            </w:r>
          </w:p>
        </w:tc>
      </w:tr>
      <w:tr>
        <w:tc>
          <w:tcPr>
            <w:tcW w:type="dxa" w:w="1600"/>
            <w:tcMar>
              <w:top w:type="dxa" w:w="100"/>
              <w:left w:type="dxa" w:w="120"/>
              <w:bottom w:type="dxa" w:w="100"/>
              <w:right w:type="dxa" w:w="120"/>
            </w:tcMar>
          </w:tcPr>
          <w:p>
            <w:pPr>
              <w:spacing w:line="360" w:lineRule="auto"/>
              <w:jc w:val="both"/>
            </w:pPr>
            <w:r>
              <w:rPr>
                <w:rFonts w:ascii="Times New Roman" w:cs="Times New Roman" w:eastAsia="Times New Roman" w:hAnsi="Times New Roman"/>
                <w:b/>
                <w:bCs/>
                <w:color w:val="000000"/>
                <w:sz w:val="21"/>
                <w:szCs w:val="21"/>
              </w:rPr>
              <w:t xml:space="preserve">Context or Comparison</w:t>
            </w:r>
          </w:p>
        </w:tc>
        <w:tc>
          <w:tcPr>
            <w:tcW w:type="dxa" w:w="1940"/>
            <w:tcMar>
              <w:top w:type="dxa" w:w="100"/>
              <w:left w:type="dxa" w:w="120"/>
              <w:bottom w:type="dxa" w:w="100"/>
              <w:right w:type="dxa" w:w="120"/>
            </w:tcMar>
          </w:tcPr>
          <w:p>
            <w:pPr>
              <w:spacing w:line="360" w:lineRule="auto"/>
              <w:jc w:val="both"/>
            </w:pPr>
            <w:r>
              <w:rPr>
                <w:rFonts w:ascii="Times New Roman" w:cs="Times New Roman" w:eastAsia="Times New Roman" w:hAnsi="Times New Roman"/>
                <w:b w:val="false"/>
                <w:bCs w:val="false"/>
                <w:color w:val="000000"/>
                <w:sz w:val="21"/>
                <w:szCs w:val="21"/>
              </w:rPr>
              <w:t xml:space="preserve">Compared against the overall dataset average of 1.39, so a filtered team or season above or below this line is immediately visible</w:t>
            </w:r>
          </w:p>
        </w:tc>
        <w:tc>
          <w:tcPr>
            <w:tcW w:type="dxa" w:w="1940"/>
            <w:tcMar>
              <w:top w:type="dxa" w:w="100"/>
              <w:left w:type="dxa" w:w="120"/>
              <w:bottom w:type="dxa" w:w="100"/>
              <w:right w:type="dxa" w:w="120"/>
            </w:tcMar>
          </w:tcPr>
          <w:p>
            <w:pPr>
              <w:spacing w:line="360" w:lineRule="auto"/>
              <w:jc w:val="both"/>
            </w:pPr>
            <w:r>
              <w:rPr>
                <w:rFonts w:ascii="Times New Roman" w:cs="Times New Roman" w:eastAsia="Times New Roman" w:hAnsi="Times New Roman"/>
                <w:b w:val="false"/>
                <w:bCs w:val="false"/>
                <w:color w:val="000000"/>
                <w:sz w:val="21"/>
                <w:szCs w:val="21"/>
              </w:rPr>
              <w:t xml:space="preserve">Near-zero baseline represents performance matching expected goals, and deviation shows over or underperformance</w:t>
            </w:r>
          </w:p>
        </w:tc>
        <w:tc>
          <w:tcPr>
            <w:tcW w:type="dxa" w:w="1940"/>
            <w:tcMar>
              <w:top w:type="dxa" w:w="100"/>
              <w:left w:type="dxa" w:w="120"/>
              <w:bottom w:type="dxa" w:w="100"/>
              <w:right w:type="dxa" w:w="120"/>
            </w:tcMar>
          </w:tcPr>
          <w:p>
            <w:pPr>
              <w:spacing w:line="360" w:lineRule="auto"/>
              <w:jc w:val="both"/>
            </w:pPr>
            <w:r>
              <w:rPr>
                <w:rFonts w:ascii="Times New Roman" w:cs="Times New Roman" w:eastAsia="Times New Roman" w:hAnsi="Times New Roman"/>
                <w:b w:val="false"/>
                <w:bCs w:val="false"/>
                <w:color w:val="000000"/>
                <w:sz w:val="21"/>
                <w:szCs w:val="21"/>
              </w:rPr>
              <w:t xml:space="preserve">Ranked against all other teams in the current filter scope</w:t>
            </w:r>
          </w:p>
        </w:tc>
        <w:tc>
          <w:tcPr>
            <w:tcW w:type="dxa" w:w="1940"/>
            <w:tcMar>
              <w:top w:type="dxa" w:w="100"/>
              <w:left w:type="dxa" w:w="120"/>
              <w:bottom w:type="dxa" w:w="100"/>
              <w:right w:type="dxa" w:w="120"/>
            </w:tcMar>
          </w:tcPr>
          <w:p>
            <w:pPr>
              <w:spacing w:line="360" w:lineRule="auto"/>
              <w:jc w:val="both"/>
            </w:pPr>
            <w:r>
              <w:rPr>
                <w:rFonts w:ascii="Times New Roman" w:cs="Times New Roman" w:eastAsia="Times New Roman" w:hAnsi="Times New Roman"/>
                <w:b w:val="false"/>
                <w:bCs w:val="false"/>
                <w:color w:val="000000"/>
                <w:sz w:val="21"/>
                <w:szCs w:val="21"/>
              </w:rPr>
              <w:t xml:space="preserve">Compares two measures directly against each other rather than reporting either alone</w:t>
            </w:r>
          </w:p>
        </w:tc>
      </w:tr>
      <w:tr>
        <w:tc>
          <w:tcPr>
            <w:tcW w:type="dxa" w:w="1600"/>
            <w:tcMar>
              <w:top w:type="dxa" w:w="100"/>
              <w:left w:type="dxa" w:w="120"/>
              <w:bottom w:type="dxa" w:w="100"/>
              <w:right w:type="dxa" w:w="120"/>
            </w:tcMar>
          </w:tcPr>
          <w:p>
            <w:pPr>
              <w:spacing w:line="360" w:lineRule="auto"/>
              <w:jc w:val="both"/>
            </w:pPr>
            <w:r>
              <w:rPr>
                <w:rFonts w:ascii="Times New Roman" w:cs="Times New Roman" w:eastAsia="Times New Roman" w:hAnsi="Times New Roman"/>
                <w:b/>
                <w:bCs/>
                <w:color w:val="000000"/>
                <w:sz w:val="21"/>
                <w:szCs w:val="21"/>
              </w:rPr>
              <w:t xml:space="preserve">Dynamic Updating</w:t>
            </w:r>
          </w:p>
        </w:tc>
        <w:tc>
          <w:tcPr>
            <w:tcW w:type="dxa" w:w="1940"/>
            <w:tcMar>
              <w:top w:type="dxa" w:w="100"/>
              <w:left w:type="dxa" w:w="120"/>
              <w:bottom w:type="dxa" w:w="100"/>
              <w:right w:type="dxa" w:w="120"/>
            </w:tcMar>
          </w:tcPr>
          <w:p>
            <w:pPr>
              <w:spacing w:line="360" w:lineRule="auto"/>
              <w:jc w:val="both"/>
            </w:pPr>
            <w:r>
              <w:rPr>
                <w:rFonts w:ascii="Times New Roman" w:cs="Times New Roman" w:eastAsia="Times New Roman" w:hAnsi="Times New Roman"/>
                <w:b w:val="false"/>
                <w:bCs w:val="false"/>
                <w:color w:val="000000"/>
                <w:sz w:val="21"/>
                <w:szCs w:val="21"/>
              </w:rPr>
              <w:t xml:space="preserve">Recalculates for whichever team, season, or venue is filtered</w:t>
            </w:r>
          </w:p>
        </w:tc>
        <w:tc>
          <w:tcPr>
            <w:tcW w:type="dxa" w:w="1940"/>
            <w:tcMar>
              <w:top w:type="dxa" w:w="100"/>
              <w:left w:type="dxa" w:w="120"/>
              <w:bottom w:type="dxa" w:w="100"/>
              <w:right w:type="dxa" w:w="120"/>
            </w:tcMar>
          </w:tcPr>
          <w:p>
            <w:pPr>
              <w:spacing w:line="360" w:lineRule="auto"/>
              <w:jc w:val="both"/>
            </w:pPr>
            <w:r>
              <w:rPr>
                <w:rFonts w:ascii="Times New Roman" w:cs="Times New Roman" w:eastAsia="Times New Roman" w:hAnsi="Times New Roman"/>
                <w:b w:val="false"/>
                <w:bCs w:val="false"/>
                <w:color w:val="000000"/>
                <w:sz w:val="21"/>
                <w:szCs w:val="21"/>
              </w:rPr>
              <w:t xml:space="preserve">Recalculates for whichever team, season, or venue is filtered</w:t>
            </w:r>
          </w:p>
        </w:tc>
        <w:tc>
          <w:tcPr>
            <w:tcW w:type="dxa" w:w="1940"/>
            <w:tcMar>
              <w:top w:type="dxa" w:w="100"/>
              <w:left w:type="dxa" w:w="120"/>
              <w:bottom w:type="dxa" w:w="100"/>
              <w:right w:type="dxa" w:w="120"/>
            </w:tcMar>
          </w:tcPr>
          <w:p>
            <w:pPr>
              <w:spacing w:line="360" w:lineRule="auto"/>
              <w:jc w:val="both"/>
            </w:pPr>
            <w:r>
              <w:rPr>
                <w:rFonts w:ascii="Times New Roman" w:cs="Times New Roman" w:eastAsia="Times New Roman" w:hAnsi="Times New Roman"/>
                <w:b w:val="false"/>
                <w:bCs w:val="false"/>
                <w:color w:val="000000"/>
                <w:sz w:val="21"/>
                <w:szCs w:val="21"/>
              </w:rPr>
              <w:t xml:space="preserve">Re-ranks within the current filter scope, for example the leader for a single season</w:t>
            </w:r>
          </w:p>
        </w:tc>
        <w:tc>
          <w:tcPr>
            <w:tcW w:type="dxa" w:w="1940"/>
            <w:tcMar>
              <w:top w:type="dxa" w:w="100"/>
              <w:left w:type="dxa" w:w="120"/>
              <w:bottom w:type="dxa" w:w="100"/>
              <w:right w:type="dxa" w:w="120"/>
            </w:tcMar>
          </w:tcPr>
          <w:p>
            <w:pPr>
              <w:spacing w:line="360" w:lineRule="auto"/>
              <w:jc w:val="both"/>
            </w:pPr>
            <w:r>
              <w:rPr>
                <w:rFonts w:ascii="Times New Roman" w:cs="Times New Roman" w:eastAsia="Times New Roman" w:hAnsi="Times New Roman"/>
                <w:b w:val="false"/>
                <w:bCs w:val="false"/>
                <w:color w:val="000000"/>
                <w:sz w:val="21"/>
                <w:szCs w:val="21"/>
              </w:rPr>
              <w:t xml:space="preserve">Recalculates the home and away split for whichever team or season is filtered</w:t>
            </w:r>
          </w:p>
        </w:tc>
      </w:tr>
    </w:tbl>
    <w:p>
      <w:r>
        <w:br w:type="page"/>
      </w:r>
    </w:p>
    <w:p>
      <w:pPr>
        <w:pStyle w:val="Heading1"/>
        <w:spacing w:after="220" w:before="200" w:line="360" w:lineRule="auto"/>
      </w:pPr>
      <w:r>
        <w:rPr>
          <w:rFonts w:ascii="Times New Roman" w:cs="Times New Roman" w:eastAsia="Times New Roman" w:hAnsi="Times New Roman"/>
          <w:b/>
          <w:bCs/>
          <w:color w:val="000000"/>
          <w:sz w:val="32"/>
          <w:szCs w:val="32"/>
        </w:rPr>
        <w:t xml:space="preserve">Task 5, Core Visualizations</w:t>
      </w:r>
    </w:p>
    <w:p>
      <w:pPr>
        <w:pStyle w:val="Heading2"/>
        <w:spacing w:after="140" w:before="300" w:line="360" w:lineRule="auto"/>
      </w:pPr>
      <w:r>
        <w:rPr>
          <w:rFonts w:ascii="Times New Roman" w:cs="Times New Roman" w:eastAsia="Times New Roman" w:hAnsi="Times New Roman"/>
          <w:b/>
          <w:bCs/>
          <w:color w:val="000000"/>
          <w:sz w:val="26"/>
          <w:szCs w:val="26"/>
        </w:rPr>
        <w:t xml:space="preserve">7.1 Comparison Visualization, Grouped Bar Chart</w:t>
      </w:r>
    </w:p>
    <w:p>
      <w:pPr>
        <w:spacing w:after="200" w:line="360" w:lineRule="auto"/>
        <w:jc w:val="both"/>
      </w:pPr>
      <w:r>
        <w:rPr>
          <w:rFonts w:ascii="Times New Roman" w:cs="Times New Roman" w:eastAsia="Times New Roman" w:hAnsi="Times New Roman"/>
          <w:color w:val="000000"/>
          <w:sz w:val="24"/>
          <w:szCs w:val="24"/>
        </w:rPr>
        <w:t xml:space="preserve">Wins, draws, and losses per team are shown as a grouped bar chart, with one group of three bars per team. This chart supports sorting, for example by total wins, so the strongest teams surface first, and supports highlighting, where selecting a team in any other view highlights its group here so the comparison stays anchored to whatever the user is currently investigating.</w:t>
      </w:r>
    </w:p>
    <w:p>
      <w:pPr>
        <w:pStyle w:val="Heading2"/>
        <w:spacing w:after="140" w:before="300" w:line="360" w:lineRule="auto"/>
      </w:pPr>
      <w:r>
        <w:rPr>
          <w:rFonts w:ascii="Times New Roman" w:cs="Times New Roman" w:eastAsia="Times New Roman" w:hAnsi="Times New Roman"/>
          <w:b/>
          <w:bCs/>
          <w:color w:val="000000"/>
          <w:sz w:val="26"/>
          <w:szCs w:val="26"/>
        </w:rPr>
        <w:t xml:space="preserve">7.2 Time-Based Visualization, Area Chart</w:t>
      </w:r>
    </w:p>
    <w:p>
      <w:pPr>
        <w:spacing w:after="200" w:line="360" w:lineRule="auto"/>
        <w:jc w:val="both"/>
      </w:pPr>
      <w:r>
        <w:rPr>
          <w:rFonts w:ascii="Times New Roman" w:cs="Times New Roman" w:eastAsia="Times New Roman" w:hAnsi="Times New Roman"/>
          <w:color w:val="000000"/>
          <w:sz w:val="24"/>
          <w:szCs w:val="24"/>
        </w:rPr>
        <w:t xml:space="preserve">Cumulative points accumulated across the season are shown as an area chart, giving a running picture of a team's title, European qualification, or relegation trajectory rather than an isolated matchweek score. A range slider beneath the chart lets users focus on a specific stretch of matchweeks, for example a mid-season slump, without losing the full-season context in the shaded area behind it.</w:t>
      </w:r>
    </w:p>
    <w:p>
      <w:pPr>
        <w:pStyle w:val="Heading2"/>
        <w:spacing w:after="140" w:before="300" w:line="360" w:lineRule="auto"/>
      </w:pPr>
      <w:r>
        <w:rPr>
          <w:rFonts w:ascii="Times New Roman" w:cs="Times New Roman" w:eastAsia="Times New Roman" w:hAnsi="Times New Roman"/>
          <w:b/>
          <w:bCs/>
          <w:color w:val="000000"/>
          <w:sz w:val="26"/>
          <w:szCs w:val="26"/>
        </w:rPr>
        <w:t xml:space="preserve">Supplementary Trend Chart, xG per Matchweek (Line Chart)</w:t>
      </w:r>
    </w:p>
    <w:p>
      <w:pPr>
        <w:spacing w:after="200" w:line="360" w:lineRule="auto"/>
        <w:jc w:val="both"/>
      </w:pPr>
      <w:r>
        <w:rPr>
          <w:rFonts w:ascii="Times New Roman" w:cs="Times New Roman" w:eastAsia="Times New Roman" w:hAnsi="Times New Roman"/>
          <w:color w:val="000000"/>
          <w:sz w:val="24"/>
          <w:szCs w:val="24"/>
        </w:rPr>
        <w:t xml:space="preserve">A dedicated line chart plots a selected team's average expected goals (xG) across matchweeks 1 to 38 within a single season, for example matchweek 1 sits at 1.32 xG league-wide before fluctuating week to week. This chart exists specifically to answer Q5 from Task 2, how a team's xG changes across matchweeks within a season, and is kept separate from the cumulative points area chart because xG per matchweek and cumulative points measure different things, underlying chance quality versus accumulated results, and compressing both onto one axis would force a misleading shared scale.</w:t>
      </w:r>
    </w:p>
    <w:p>
      <w:pPr>
        <w:pStyle w:val="Heading2"/>
        <w:spacing w:after="140" w:before="300" w:line="360" w:lineRule="auto"/>
      </w:pPr>
      <w:r>
        <w:rPr>
          <w:rFonts w:ascii="Times New Roman" w:cs="Times New Roman" w:eastAsia="Times New Roman" w:hAnsi="Times New Roman"/>
          <w:b/>
          <w:bCs/>
          <w:color w:val="000000"/>
          <w:sz w:val="26"/>
          <w:szCs w:val="26"/>
        </w:rPr>
        <w:t xml:space="preserve">Supplementary Trend Chart, Average Attendance per Season (Line Chart)</w:t>
      </w:r>
    </w:p>
    <w:p>
      <w:pPr>
        <w:spacing w:after="200" w:line="360" w:lineRule="auto"/>
        <w:jc w:val="both"/>
      </w:pPr>
      <w:r>
        <w:rPr>
          <w:rFonts w:ascii="Times New Roman" w:cs="Times New Roman" w:eastAsia="Times New Roman" w:hAnsi="Times New Roman"/>
          <w:color w:val="000000"/>
          <w:sz w:val="24"/>
          <w:szCs w:val="24"/>
        </w:rPr>
        <w:t xml:space="preserve">A dedicated line chart plots average match attendance across the five seasons in the dataset, from roughly 5,487 in the 2021 season, reflecting pandemic-era crowd restrictions, up to around 40,000 from 2022 onward. This chart exists specifically to answer Q6 from Task 2, how average attendance has trended across seasons, and is kept as its own chart rather than folded into another trend line because attendance operates on a scale of tens of thousands while points and xG operate on a scale of zero to three, making a shared axis unreadable.</w:t>
      </w:r>
    </w:p>
    <w:p>
      <w:pPr>
        <w:pStyle w:val="Heading2"/>
        <w:spacing w:after="140" w:before="300" w:line="360" w:lineRule="auto"/>
      </w:pPr>
      <w:r>
        <w:rPr>
          <w:rFonts w:ascii="Times New Roman" w:cs="Times New Roman" w:eastAsia="Times New Roman" w:hAnsi="Times New Roman"/>
          <w:b/>
          <w:bCs/>
          <w:color w:val="000000"/>
          <w:sz w:val="26"/>
          <w:szCs w:val="26"/>
        </w:rPr>
        <w:t xml:space="preserve">7.3 Relationship Visualization, Scatter Plot</w:t>
      </w:r>
    </w:p>
    <w:p>
      <w:pPr>
        <w:spacing w:after="200" w:line="360" w:lineRule="auto"/>
        <w:jc w:val="both"/>
      </w:pPr>
      <w:r>
        <w:rPr>
          <w:rFonts w:ascii="Times New Roman" w:cs="Times New Roman" w:eastAsia="Times New Roman" w:hAnsi="Times New Roman"/>
          <w:color w:val="000000"/>
          <w:sz w:val="24"/>
          <w:szCs w:val="24"/>
        </w:rPr>
        <w:t xml:space="preserve">Shots on target are plotted against goals scored as a scatter plot, with each point colored by venue, home or away, as the additional encoded variable. This makes it possible to see not just whether more shots on target lead to more goals, but whether that relationship holds differently at home compared to away.</w:t>
      </w:r>
    </w:p>
    <w:p>
      <w:pPr>
        <w:pStyle w:val="Heading2"/>
        <w:spacing w:after="140" w:before="300" w:line="360" w:lineRule="auto"/>
      </w:pPr>
      <w:r>
        <w:rPr>
          <w:rFonts w:ascii="Times New Roman" w:cs="Times New Roman" w:eastAsia="Times New Roman" w:hAnsi="Times New Roman"/>
          <w:b/>
          <w:bCs/>
          <w:color w:val="000000"/>
          <w:sz w:val="26"/>
          <w:szCs w:val="26"/>
        </w:rPr>
        <w:t xml:space="preserve">7.4 Distribution Visualization, Box Plot</w:t>
      </w:r>
    </w:p>
    <w:p>
      <w:pPr>
        <w:spacing w:after="200" w:line="360" w:lineRule="auto"/>
        <w:jc w:val="both"/>
      </w:pPr>
      <w:r>
        <w:rPr>
          <w:rFonts w:ascii="Times New Roman" w:cs="Times New Roman" w:eastAsia="Times New Roman" w:hAnsi="Times New Roman"/>
          <w:color w:val="000000"/>
          <w:sz w:val="24"/>
          <w:szCs w:val="24"/>
        </w:rPr>
        <w:t xml:space="preserve">Possession percentage is shown as a box plot grouped by match result, win, draw, or loss. A box plot is suitable here because it summarizes the median, interquartile spread, and outliers of possession for each of the three result categories in a single compact view, making it easy to see at a glance whether winning matches are generally associated with higher possession or whether the spread is too wide for possession alone to explain the result.</w:t>
      </w:r>
    </w:p>
    <w:p>
      <w:pPr>
        <w:pStyle w:val="Heading2"/>
        <w:spacing w:after="140" w:before="300" w:line="360" w:lineRule="auto"/>
      </w:pPr>
      <w:r>
        <w:rPr>
          <w:rFonts w:ascii="Times New Roman" w:cs="Times New Roman" w:eastAsia="Times New Roman" w:hAnsi="Times New Roman"/>
          <w:b/>
          <w:bCs/>
          <w:color w:val="000000"/>
          <w:sz w:val="26"/>
          <w:szCs w:val="26"/>
        </w:rPr>
        <w:t xml:space="preserve">7.5 Composition or Hierarchy Visualization, Treemap</w:t>
      </w:r>
    </w:p>
    <w:p>
      <w:pPr>
        <w:spacing w:after="200" w:line="360" w:lineRule="auto"/>
        <w:jc w:val="both"/>
      </w:pPr>
      <w:r>
        <w:rPr>
          <w:rFonts w:ascii="Times New Roman" w:cs="Times New Roman" w:eastAsia="Times New Roman" w:hAnsi="Times New Roman"/>
          <w:color w:val="000000"/>
          <w:sz w:val="24"/>
          <w:szCs w:val="24"/>
        </w:rPr>
        <w:t xml:space="preserve">Total goals scored by team are shown as a treemap, with each rectangle's area proportional to that team's goal total across the dataset. This makes the relative contribution of each team to overall league scoring immediately visible through size alone, which suits a composition view better than a bar chart when the goal is to show proportion of a whole rather than precise ranking.</w:t>
      </w:r>
    </w:p>
    <w:p>
      <w:r>
        <w:br w:type="page"/>
      </w:r>
    </w:p>
    <w:p>
      <w:pPr>
        <w:pStyle w:val="Heading1"/>
        <w:spacing w:after="220" w:before="200" w:line="360" w:lineRule="auto"/>
      </w:pPr>
      <w:r>
        <w:rPr>
          <w:rFonts w:ascii="Times New Roman" w:cs="Times New Roman" w:eastAsia="Times New Roman" w:hAnsi="Times New Roman"/>
          <w:b/>
          <w:bCs/>
          <w:color w:val="000000"/>
          <w:sz w:val="32"/>
          <w:szCs w:val="32"/>
        </w:rPr>
        <w:t xml:space="preserve">Task 6, Advanced Visualization</w:t>
      </w:r>
    </w:p>
    <w:p>
      <w:pPr>
        <w:pStyle w:val="Heading2"/>
        <w:spacing w:after="140" w:before="300" w:line="360" w:lineRule="auto"/>
      </w:pPr>
      <w:r>
        <w:rPr>
          <w:rFonts w:ascii="Times New Roman" w:cs="Times New Roman" w:eastAsia="Times New Roman" w:hAnsi="Times New Roman"/>
          <w:b/>
          <w:bCs/>
          <w:color w:val="000000"/>
          <w:sz w:val="26"/>
          <w:szCs w:val="26"/>
        </w:rPr>
        <w:t xml:space="preserve">Calendar Heatmap, Points Earned per Match Date</w:t>
      </w:r>
    </w:p>
    <w:p>
      <w:pPr>
        <w:spacing w:after="200" w:line="360" w:lineRule="auto"/>
        <w:jc w:val="both"/>
      </w:pPr>
      <w:r>
        <w:rPr>
          <w:rFonts w:ascii="Times New Roman" w:cs="Times New Roman" w:eastAsia="Times New Roman" w:hAnsi="Times New Roman"/>
          <w:color w:val="000000"/>
          <w:sz w:val="24"/>
          <w:szCs w:val="24"/>
        </w:rPr>
        <w:t xml:space="preserve">This technique was chosen because the dataset has a genuine date field spanning multiple seasons, so a calendar structure is meaningful rather than decorative. It answers the question of when during the season, and across which real calendar periods, form improves or declines. It provides insight into congestion effects, such as a run of midweek fixtures during the festive period correlating with a dip in points, and reveals which months tend to be strongest or weakest across teams. A line chart plotted against date would show the trend but compress the calendar rhythm into a single axis, hiding day-of-week and fixture-density patterns that a calendar heatmap preserves.</w:t>
      </w:r>
    </w:p>
    <w:p>
      <w:pPr>
        <w:pStyle w:val="Heading2"/>
        <w:spacing w:after="140" w:before="300" w:line="360" w:lineRule="auto"/>
      </w:pPr>
      <w:r>
        <w:rPr>
          <w:rFonts w:ascii="Times New Roman" w:cs="Times New Roman" w:eastAsia="Times New Roman" w:hAnsi="Times New Roman"/>
          <w:b/>
          <w:bCs/>
          <w:color w:val="000000"/>
          <w:sz w:val="26"/>
          <w:szCs w:val="26"/>
        </w:rPr>
        <w:t xml:space="preserve">Parallel Coordinates Plot, Points, xG Differential, Possession, Shots on Target</w:t>
      </w:r>
    </w:p>
    <w:p>
      <w:pPr>
        <w:spacing w:after="200" w:line="360" w:lineRule="auto"/>
        <w:jc w:val="both"/>
      </w:pPr>
      <w:r>
        <w:rPr>
          <w:rFonts w:ascii="Times New Roman" w:cs="Times New Roman" w:eastAsia="Times New Roman" w:hAnsi="Times New Roman"/>
          <w:color w:val="000000"/>
          <w:sz w:val="24"/>
          <w:szCs w:val="24"/>
        </w:rPr>
        <w:t xml:space="preserve">This technique was chosen because these four metrics were already established as calculated attributes and KPI measures in Tasks 3 and 4, so the plot draws directly on values already justified elsewhere in the report. It answers the question of which teams are strong across multiple performance dimensions at once, and which are strong in only one metric but weak in others. It provides insight into whether a team's high points total is backed by genuinely strong underlying play, high possession and high xG differential, or is inflated relative to its underlying numbers, something no single-metric chart can show. A bar chart can only compare one metric across teams at a time, so seeing four metrics together would require four separate charts with no way to trace an individual team's full profile across all of them, while a parallel coordinates plot keeps each team as one continuous line across all axes.</w:t>
      </w:r>
    </w:p>
    <w:p>
      <w:pPr>
        <w:pStyle w:val="Heading2"/>
        <w:spacing w:after="140" w:before="300" w:line="360" w:lineRule="auto"/>
      </w:pPr>
      <w:r>
        <w:rPr>
          <w:rFonts w:ascii="Times New Roman" w:cs="Times New Roman" w:eastAsia="Times New Roman" w:hAnsi="Times New Roman"/>
          <w:b/>
          <w:bCs/>
          <w:color w:val="000000"/>
          <w:sz w:val="26"/>
          <w:szCs w:val="26"/>
        </w:rPr>
        <w:t xml:space="preserve">Scatter Plot Matrix, Goals, xG, Possession, Shots, Shots on Target</w:t>
      </w:r>
    </w:p>
    <w:p>
      <w:pPr>
        <w:spacing w:after="200" w:line="360" w:lineRule="auto"/>
        <w:jc w:val="both"/>
      </w:pPr>
      <w:r>
        <w:rPr>
          <w:rFonts w:ascii="Times New Roman" w:cs="Times New Roman" w:eastAsia="Times New Roman" w:hAnsi="Times New Roman"/>
          <w:color w:val="000000"/>
          <w:sz w:val="24"/>
          <w:szCs w:val="24"/>
        </w:rPr>
        <w:t xml:space="preserve">This technique was chosen because these five numerical variables are the core performance metrics in the dataset, and their relationships to each other had not all been tested individually. It answers the question of which pairs of performance metrics are actually correlated, and which appear unrelated despite intuition suggesting otherwise. It provides insight by confirming expected relationships, such as shots correlating with shots on target, while also exposing weaker or absent relationships, such as possession not correlating strongly with goals scored, directly supporting the relationship question identified in Task 2. A bar or line chart can only show one relationship or one variable's trend at a time, and testing all pairwise relationships between five variables individually would require ten separate charts, while the scatter plot matrix shows all ten at once in a single scannable grid.</w:t>
      </w:r>
    </w:p>
    <w:p>
      <w:r>
        <w:br w:type="page"/>
      </w:r>
    </w:p>
    <w:p>
      <w:pPr>
        <w:pStyle w:val="Heading1"/>
        <w:spacing w:after="220" w:before="200" w:line="360" w:lineRule="auto"/>
      </w:pPr>
      <w:r>
        <w:rPr>
          <w:rFonts w:ascii="Times New Roman" w:cs="Times New Roman" w:eastAsia="Times New Roman" w:hAnsi="Times New Roman"/>
          <w:b/>
          <w:bCs/>
          <w:color w:val="000000"/>
          <w:sz w:val="32"/>
          <w:szCs w:val="32"/>
        </w:rPr>
        <w:t xml:space="preserve">Task 7, Coordinated Interactivity</w:t>
      </w:r>
    </w:p>
    <w:p>
      <w:pPr>
        <w:pStyle w:val="Heading2"/>
        <w:spacing w:after="140" w:before="300" w:line="360" w:lineRule="auto"/>
      </w:pPr>
      <w:r>
        <w:rPr>
          <w:rFonts w:ascii="Times New Roman" w:cs="Times New Roman" w:eastAsia="Times New Roman" w:hAnsi="Times New Roman"/>
          <w:b/>
          <w:bCs/>
          <w:color w:val="000000"/>
          <w:sz w:val="26"/>
          <w:szCs w:val="26"/>
        </w:rPr>
        <w:t xml:space="preserve">Mandatory Features</w:t>
      </w:r>
    </w:p>
    <w:p>
      <w:pPr>
        <w:spacing w:after="160" w:line="360" w:lineRule="auto"/>
        <w:jc w:val="both"/>
      </w:pPr>
      <w:r>
        <w:rPr>
          <w:rFonts w:ascii="Times New Roman" w:cs="Times New Roman" w:eastAsia="Times New Roman" w:hAnsi="Times New Roman"/>
          <w:color w:val="000000"/>
          <w:sz w:val="24"/>
          <w:szCs w:val="24"/>
        </w:rPr>
        <w:t xml:space="preserve">1. Category or group filtering. Team, season, venue, and result filters, applied across all views simultaneously.</w:t>
      </w:r>
    </w:p>
    <w:p>
      <w:pPr>
        <w:spacing w:after="160" w:line="360" w:lineRule="auto"/>
        <w:jc w:val="both"/>
      </w:pPr>
      <w:r>
        <w:rPr>
          <w:rFonts w:ascii="Times New Roman" w:cs="Times New Roman" w:eastAsia="Times New Roman" w:hAnsi="Times New Roman"/>
          <w:color w:val="000000"/>
          <w:sz w:val="24"/>
          <w:szCs w:val="24"/>
        </w:rPr>
        <w:t xml:space="preserve">2. Time-range filtering. A range slider under the cumulative points area chart and the calendar heatmap, letting users focus on a stretch of matchweeks or a date range.</w:t>
      </w:r>
    </w:p>
    <w:p>
      <w:pPr>
        <w:spacing w:after="160" w:line="360" w:lineRule="auto"/>
        <w:jc w:val="both"/>
      </w:pPr>
      <w:r>
        <w:rPr>
          <w:rFonts w:ascii="Times New Roman" w:cs="Times New Roman" w:eastAsia="Times New Roman" w:hAnsi="Times New Roman"/>
          <w:color w:val="000000"/>
          <w:sz w:val="24"/>
          <w:szCs w:val="24"/>
        </w:rPr>
        <w:t xml:space="preserve">3. Tooltip. Every chart shows match date, teams, score, and the relevant metric on hover.</w:t>
      </w:r>
    </w:p>
    <w:p>
      <w:pPr>
        <w:spacing w:after="160" w:line="360" w:lineRule="auto"/>
        <w:jc w:val="both"/>
      </w:pPr>
      <w:r>
        <w:rPr>
          <w:rFonts w:ascii="Times New Roman" w:cs="Times New Roman" w:eastAsia="Times New Roman" w:hAnsi="Times New Roman"/>
          <w:color w:val="000000"/>
          <w:sz w:val="24"/>
          <w:szCs w:val="24"/>
        </w:rPr>
        <w:t xml:space="preserve">4. Highlighting. Selecting a team in the grouped bar chart highlights that team's bars, its line in the area chart, its dots in the scatter plot, and its cells in the calendar heatmap, while other elements dim slightly.</w:t>
      </w:r>
    </w:p>
    <w:p>
      <w:pPr>
        <w:spacing w:after="160" w:line="360" w:lineRule="auto"/>
        <w:jc w:val="both"/>
      </w:pPr>
      <w:r>
        <w:rPr>
          <w:rFonts w:ascii="Times New Roman" w:cs="Times New Roman" w:eastAsia="Times New Roman" w:hAnsi="Times New Roman"/>
          <w:color w:val="000000"/>
          <w:sz w:val="24"/>
          <w:szCs w:val="24"/>
        </w:rPr>
        <w:t xml:space="preserve">5. Cross-filtering. Selecting a team, season, or result in any chart filters every other chart and all KPI cards to match that selection.</w:t>
      </w:r>
    </w:p>
    <w:p>
      <w:pPr>
        <w:spacing w:after="160" w:line="360" w:lineRule="auto"/>
        <w:jc w:val="both"/>
      </w:pPr>
      <w:r>
        <w:rPr>
          <w:rFonts w:ascii="Times New Roman" w:cs="Times New Roman" w:eastAsia="Times New Roman" w:hAnsi="Times New Roman"/>
          <w:color w:val="000000"/>
          <w:sz w:val="24"/>
          <w:szCs w:val="24"/>
        </w:rPr>
        <w:t xml:space="preserve">6. Drill-down analysis. Clicking a team's bar in the comparison chart or its rectangle in the treemap opens the Detailed Investigation view, pre-filtered to that team's full match list.</w:t>
      </w:r>
    </w:p>
    <w:p>
      <w:pPr>
        <w:pStyle w:val="Heading2"/>
        <w:spacing w:after="140" w:before="300" w:line="360" w:lineRule="auto"/>
      </w:pPr>
      <w:r>
        <w:rPr>
          <w:rFonts w:ascii="Times New Roman" w:cs="Times New Roman" w:eastAsia="Times New Roman" w:hAnsi="Times New Roman"/>
          <w:b/>
          <w:bCs/>
          <w:color w:val="000000"/>
          <w:sz w:val="26"/>
          <w:szCs w:val="26"/>
        </w:rPr>
        <w:t xml:space="preserve">Additional Features Selected</w:t>
      </w:r>
    </w:p>
    <w:p>
      <w:pPr>
        <w:spacing w:after="160" w:line="360" w:lineRule="auto"/>
        <w:jc w:val="both"/>
      </w:pPr>
      <w:r>
        <w:rPr>
          <w:rFonts w:ascii="Times New Roman" w:cs="Times New Roman" w:eastAsia="Times New Roman" w:hAnsi="Times New Roman"/>
          <w:color w:val="000000"/>
          <w:sz w:val="24"/>
          <w:szCs w:val="24"/>
        </w:rPr>
        <w:t xml:space="preserve">7. Dynamic search. A search box in the Exploratory Analysis and Detailed Investigation views lets users type a team name to jump directly to it, rather than scrolling a 27-team filter list.</w:t>
      </w:r>
    </w:p>
    <w:p>
      <w:pPr>
        <w:spacing w:after="160" w:line="360" w:lineRule="auto"/>
        <w:jc w:val="both"/>
      </w:pPr>
      <w:r>
        <w:rPr>
          <w:rFonts w:ascii="Times New Roman" w:cs="Times New Roman" w:eastAsia="Times New Roman" w:hAnsi="Times New Roman"/>
          <w:color w:val="000000"/>
          <w:sz w:val="24"/>
          <w:szCs w:val="24"/>
        </w:rPr>
        <w:t xml:space="preserve">8. Reset filters. A persistent Reset All Filters control visible in every view returns the dashboard to its unfiltered, full-dataset state in one click.</w:t>
      </w:r>
    </w:p>
    <w:p>
      <w:pPr>
        <w:pStyle w:val="Heading2"/>
        <w:spacing w:after="140" w:before="300" w:line="360" w:lineRule="auto"/>
      </w:pPr>
      <w:r>
        <w:rPr>
          <w:rFonts w:ascii="Times New Roman" w:cs="Times New Roman" w:eastAsia="Times New Roman" w:hAnsi="Times New Roman"/>
          <w:b/>
          <w:bCs/>
          <w:color w:val="000000"/>
          <w:sz w:val="26"/>
          <w:szCs w:val="26"/>
        </w:rPr>
        <w:t xml:space="preserve">Cross-Filtering Challenge</w:t>
      </w:r>
    </w:p>
    <w:p>
      <w:pPr>
        <w:spacing w:after="200" w:line="360" w:lineRule="auto"/>
        <w:jc w:val="both"/>
      </w:pPr>
      <w:r>
        <w:rPr>
          <w:rFonts w:ascii="Times New Roman" w:cs="Times New Roman" w:eastAsia="Times New Roman" w:hAnsi="Times New Roman"/>
          <w:color w:val="000000"/>
          <w:sz w:val="24"/>
          <w:szCs w:val="24"/>
        </w:rPr>
        <w:t xml:space="preserve">User selects a team in the grouped bar chart, the comparison visualization. The grouped bar chart highlights that team's win, draw, and loss bars and dims the rest. The cumulative points area chart, the time-based visualization, switches from the league aggregate to that team's own season trajectory. The possession box plot, the distribution visualization, filters to show only that team's matches, split by win, draw, and loss. The KPI cards recalculate. Average Points per Match, Average xG Differential, Top-Performing Team, which now shows the team's league rank, and Home vs Away Win Rate Gap all update to the selected team's figures.</w:t>
      </w:r>
    </w:p>
    <w:p>
      <w:pPr>
        <w:spacing w:after="200" w:line="360" w:lineRule="auto"/>
        <w:jc w:val="both"/>
      </w:pPr>
      <w:r>
        <w:rPr>
          <w:rFonts w:ascii="Times New Roman" w:cs="Times New Roman" w:eastAsia="Times New Roman" w:hAnsi="Times New Roman"/>
          <w:color w:val="000000"/>
          <w:sz w:val="24"/>
          <w:szCs w:val="24"/>
        </w:rPr>
        <w:t xml:space="preserve">This mirrors the domain logic of a team selection cascading through comparison, time, and distribution views before reaching the KPI layer, built from the actual charts and KPIs established in Tasks 4, 5, and 6 rather than a generic example.</w:t>
      </w:r>
    </w:p>
    <w:p>
      <w:pPr>
        <w:pStyle w:val="Heading2"/>
        <w:spacing w:after="140" w:before="300" w:line="360" w:lineRule="auto"/>
      </w:pPr>
      <w:r>
        <w:rPr>
          <w:rFonts w:ascii="Times New Roman" w:cs="Times New Roman" w:eastAsia="Times New Roman" w:hAnsi="Times New Roman"/>
          <w:b/>
          <w:bCs/>
          <w:color w:val="000000"/>
          <w:sz w:val="26"/>
          <w:szCs w:val="26"/>
        </w:rPr>
        <w:t xml:space="preserve">Filter State Indicators</w:t>
      </w:r>
    </w:p>
    <w:p>
      <w:pPr>
        <w:pStyle w:val="ListParagraph"/>
        <w:numPr>
          <w:ilvl w:val="0"/>
          <w:numId w:val="2"/>
        </w:numPr>
        <w:spacing w:after="100" w:line="360" w:lineRule="auto"/>
        <w:jc w:val="both"/>
      </w:pPr>
      <w:r>
        <w:rPr>
          <w:rFonts w:ascii="Times New Roman" w:cs="Times New Roman" w:eastAsia="Times New Roman" w:hAnsi="Times New Roman"/>
          <w:color w:val="000000"/>
          <w:sz w:val="24"/>
          <w:szCs w:val="24"/>
        </w:rPr>
        <w:t xml:space="preserve">Active filters shown as removable chips in a filter bar pinned to the top of every view, for example Team Arsenal or Season 2023/24</w:t>
      </w:r>
    </w:p>
    <w:p>
      <w:pPr>
        <w:pStyle w:val="ListParagraph"/>
        <w:numPr>
          <w:ilvl w:val="0"/>
          <w:numId w:val="2"/>
        </w:numPr>
        <w:spacing w:after="100" w:line="360" w:lineRule="auto"/>
        <w:jc w:val="both"/>
      </w:pPr>
      <w:r>
        <w:rPr>
          <w:rFonts w:ascii="Times New Roman" w:cs="Times New Roman" w:eastAsia="Times New Roman" w:hAnsi="Times New Roman"/>
          <w:color w:val="000000"/>
          <w:sz w:val="24"/>
          <w:szCs w:val="24"/>
        </w:rPr>
        <w:t xml:space="preserve">Selected category shown with a distinct highlight color and border consistently applied across every chart</w:t>
      </w:r>
    </w:p>
    <w:p>
      <w:pPr>
        <w:pStyle w:val="ListParagraph"/>
        <w:numPr>
          <w:ilvl w:val="0"/>
          <w:numId w:val="2"/>
        </w:numPr>
        <w:spacing w:after="100" w:line="360" w:lineRule="auto"/>
        <w:jc w:val="both"/>
      </w:pPr>
      <w:r>
        <w:rPr>
          <w:rFonts w:ascii="Times New Roman" w:cs="Times New Roman" w:eastAsia="Times New Roman" w:hAnsi="Times New Roman"/>
          <w:color w:val="000000"/>
          <w:sz w:val="24"/>
          <w:szCs w:val="24"/>
        </w:rPr>
        <w:t xml:space="preserve">Number of visible records displayed as running text, for example "Showing 140 of 3,800 matches"</w:t>
      </w:r>
    </w:p>
    <w:p>
      <w:pPr>
        <w:pStyle w:val="ListParagraph"/>
        <w:numPr>
          <w:ilvl w:val="0"/>
          <w:numId w:val="2"/>
        </w:numPr>
        <w:spacing w:after="100" w:line="360" w:lineRule="auto"/>
        <w:jc w:val="both"/>
      </w:pPr>
      <w:r>
        <w:rPr>
          <w:rFonts w:ascii="Times New Roman" w:cs="Times New Roman" w:eastAsia="Times New Roman" w:hAnsi="Times New Roman"/>
          <w:color w:val="000000"/>
          <w:sz w:val="24"/>
          <w:szCs w:val="24"/>
        </w:rPr>
        <w:t xml:space="preserve">Reset method is the persistent Reset All Filters button, always visible regardless of which view the user is on</w:t>
      </w:r>
    </w:p>
    <w:p>
      <w:r>
        <w:br w:type="page"/>
      </w:r>
    </w:p>
    <w:p>
      <w:pPr>
        <w:pStyle w:val="Heading1"/>
        <w:spacing w:after="220" w:before="200" w:line="360" w:lineRule="auto"/>
      </w:pPr>
      <w:r>
        <w:rPr>
          <w:rFonts w:ascii="Times New Roman" w:cs="Times New Roman" w:eastAsia="Times New Roman" w:hAnsi="Times New Roman"/>
          <w:b/>
          <w:bCs/>
          <w:color w:val="000000"/>
          <w:sz w:val="32"/>
          <w:szCs w:val="32"/>
        </w:rPr>
        <w:t xml:space="preserve">Task 8, Drill-Down Analysis and Data Storytelling</w:t>
      </w:r>
    </w:p>
    <w:p>
      <w:pPr>
        <w:pStyle w:val="Heading2"/>
        <w:spacing w:after="140" w:before="300" w:line="360" w:lineRule="auto"/>
      </w:pPr>
      <w:r>
        <w:rPr>
          <w:rFonts w:ascii="Times New Roman" w:cs="Times New Roman" w:eastAsia="Times New Roman" w:hAnsi="Times New Roman"/>
          <w:b/>
          <w:bCs/>
          <w:color w:val="000000"/>
          <w:sz w:val="26"/>
          <w:szCs w:val="26"/>
        </w:rPr>
        <w:t xml:space="preserve">Drill-Down Structure, League → Team → Individual Match</w:t>
      </w:r>
    </w:p>
    <w:p>
      <w:pPr>
        <w:pStyle w:val="ListParagraph"/>
        <w:numPr>
          <w:ilvl w:val="0"/>
          <w:numId w:val="2"/>
        </w:numPr>
        <w:spacing w:after="100" w:line="360" w:lineRule="auto"/>
        <w:jc w:val="both"/>
      </w:pPr>
      <w:r>
        <w:rPr>
          <w:rFonts w:ascii="Times New Roman" w:cs="Times New Roman" w:eastAsia="Times New Roman" w:hAnsi="Times New Roman"/>
          <w:color w:val="000000"/>
          <w:sz w:val="24"/>
          <w:szCs w:val="24"/>
        </w:rPr>
        <w:t xml:space="preserve">Level 1, League. The Executive Overview shows all 27 teams aggregated, the comparison chart ranks every team by points, and KPI cards reflect league-wide averages</w:t>
      </w:r>
    </w:p>
    <w:p>
      <w:pPr>
        <w:pStyle w:val="ListParagraph"/>
        <w:numPr>
          <w:ilvl w:val="0"/>
          <w:numId w:val="2"/>
        </w:numPr>
        <w:spacing w:after="100" w:line="360" w:lineRule="auto"/>
        <w:jc w:val="both"/>
      </w:pPr>
      <w:r>
        <w:rPr>
          <w:rFonts w:ascii="Times New Roman" w:cs="Times New Roman" w:eastAsia="Times New Roman" w:hAnsi="Times New Roman"/>
          <w:color w:val="000000"/>
          <w:sz w:val="24"/>
          <w:szCs w:val="24"/>
        </w:rPr>
        <w:t xml:space="preserve">Level 2, Team. Clicking a team in the comparison chart or treemap filters every view to that team alone, its win/draw/loss split, its season trajectory, its possession distribution, and its position in the parallel coordinates plot</w:t>
      </w:r>
    </w:p>
    <w:p>
      <w:pPr>
        <w:pStyle w:val="ListParagraph"/>
        <w:numPr>
          <w:ilvl w:val="0"/>
          <w:numId w:val="2"/>
        </w:numPr>
        <w:spacing w:after="100" w:line="360" w:lineRule="auto"/>
        <w:jc w:val="both"/>
      </w:pPr>
      <w:r>
        <w:rPr>
          <w:rFonts w:ascii="Times New Roman" w:cs="Times New Roman" w:eastAsia="Times New Roman" w:hAnsi="Times New Roman"/>
          <w:color w:val="000000"/>
          <w:sz w:val="24"/>
          <w:szCs w:val="24"/>
        </w:rPr>
        <w:t xml:space="preserve">Level 3, Individual Match. Clicking a point in the scatter plot, a cell in the calendar heatmap, or a row in the team's match table opens the full record for that single match, including date, opponent, venue, score, xG, and possession</w:t>
      </w:r>
    </w:p>
    <w:p>
      <w:pPr>
        <w:spacing w:after="200" w:line="360" w:lineRule="auto"/>
        <w:jc w:val="both"/>
      </w:pPr>
      <w:r>
        <w:rPr>
          <w:rFonts w:ascii="Times New Roman" w:cs="Times New Roman" w:eastAsia="Times New Roman" w:hAnsi="Times New Roman"/>
          <w:color w:val="000000"/>
          <w:sz w:val="24"/>
          <w:szCs w:val="24"/>
        </w:rPr>
        <w:t xml:space="preserve">A breadcrumb trail, for example League &gt; Arsenal &gt; 12 Aug 2023 vs Fulham, sits at the top of the Detailed Investigation view, with each breadcrumb segment clickable to return to that level, and the Reset control from Task 7 returns directly to League level from anywhere.</w:t>
      </w:r>
    </w:p>
    <w:p>
      <w:pPr>
        <w:pStyle w:val="Heading2"/>
        <w:spacing w:after="140" w:before="300" w:line="360" w:lineRule="auto"/>
      </w:pPr>
      <w:r>
        <w:rPr>
          <w:rFonts w:ascii="Times New Roman" w:cs="Times New Roman" w:eastAsia="Times New Roman" w:hAnsi="Times New Roman"/>
          <w:b/>
          <w:bCs/>
          <w:color w:val="000000"/>
          <w:sz w:val="26"/>
          <w:szCs w:val="26"/>
        </w:rPr>
        <w:t xml:space="preserve">Data Storytelling</w:t>
      </w:r>
    </w:p>
    <w:p>
      <w:pPr>
        <w:spacing w:after="200" w:line="360" w:lineRule="auto"/>
        <w:jc w:val="both"/>
      </w:pPr>
      <w:r>
        <w:rPr>
          <w:rFonts w:ascii="Times New Roman" w:cs="Times New Roman" w:eastAsia="Times New Roman" w:hAnsi="Times New Roman"/>
          <w:color w:val="000000"/>
          <w:sz w:val="24"/>
          <w:szCs w:val="24"/>
        </w:rPr>
        <w:t xml:space="preserve">Context. The dashboard tracks Premier League team performance from 2021 to 2025, where 27 clubs played across five seasons, averaging 1.39 points and 1.46 goals per match, as shown by the KPI cards on the Executive Overview.</w:t>
      </w:r>
    </w:p>
    <w:p>
      <w:pPr>
        <w:spacing w:after="200" w:line="360" w:lineRule="auto"/>
        <w:jc w:val="both"/>
      </w:pPr>
      <w:r>
        <w:rPr>
          <w:rFonts w:ascii="Times New Roman" w:cs="Times New Roman" w:eastAsia="Times New Roman" w:hAnsi="Times New Roman"/>
          <w:color w:val="000000"/>
          <w:sz w:val="24"/>
          <w:szCs w:val="24"/>
        </w:rPr>
        <w:t xml:space="preserve">Pattern. Scoring has risen steadily across the period, from 1.35 goals per match in the 2021 season to 1.64 in 2024 before easing to 1.47 in 2025, visible in the cumulative points area chart. Home advantage is also consistent throughout, with a 43.2 percent home win rate against 34.0 percent away, shown by the Home vs Away Win Rate Gap KPI.</w:t>
      </w:r>
    </w:p>
    <w:p>
      <w:pPr>
        <w:spacing w:after="200" w:line="360" w:lineRule="auto"/>
        <w:jc w:val="both"/>
      </w:pPr>
      <w:r>
        <w:rPr>
          <w:rFonts w:ascii="Times New Roman" w:cs="Times New Roman" w:eastAsia="Times New Roman" w:hAnsi="Times New Roman"/>
          <w:color w:val="000000"/>
          <w:sz w:val="24"/>
          <w:szCs w:val="24"/>
        </w:rPr>
        <w:t xml:space="preserve">Explanation. The scatter plot matrix shows shots and shots on target are strongly related, as expected, but possession shows a much weaker relationship with goals scored, suggesting that dominating the ball does not reliably translate into scoring, which the possession box plot by result confirms through overlapping ranges across win, draw, and loss categories.</w:t>
      </w:r>
    </w:p>
    <w:p>
      <w:pPr>
        <w:spacing w:after="200" w:line="360" w:lineRule="auto"/>
        <w:jc w:val="both"/>
      </w:pPr>
      <w:r>
        <w:rPr>
          <w:rFonts w:ascii="Times New Roman" w:cs="Times New Roman" w:eastAsia="Times New Roman" w:hAnsi="Times New Roman"/>
          <w:color w:val="000000"/>
          <w:sz w:val="24"/>
          <w:szCs w:val="24"/>
        </w:rPr>
        <w:t xml:space="preserve">Risk or Opportunity. Norwich City and Sheffield United show the most negative average xG differentials in the parallel coordinates plot, at minus 0.25 and minus 0.22 goals per match respectively, meaning both teams are scoring fewer goals than their chances warrant, a pattern worth investigating for finishing quality or squad depth. Manchester City sits at the opposite end at plus 0.32, converting chances above expectation.</w:t>
      </w:r>
    </w:p>
    <w:p>
      <w:pPr>
        <w:pStyle w:val="Heading2"/>
        <w:spacing w:after="140" w:before="300" w:line="360" w:lineRule="auto"/>
      </w:pPr>
      <w:r>
        <w:rPr>
          <w:rFonts w:ascii="Times New Roman" w:cs="Times New Roman" w:eastAsia="Times New Roman" w:hAnsi="Times New Roman"/>
          <w:b/>
          <w:bCs/>
          <w:color w:val="000000"/>
          <w:sz w:val="26"/>
          <w:szCs w:val="26"/>
        </w:rPr>
        <w:t xml:space="preserve">Seven Evidence-Based Insights</w:t>
      </w:r>
    </w:p>
    <w:p>
      <w:pPr>
        <w:spacing w:after="160" w:line="360" w:lineRule="auto"/>
        <w:jc w:val="both"/>
      </w:pPr>
      <w:r>
        <w:rPr>
          <w:rFonts w:ascii="Times New Roman" w:cs="Times New Roman" w:eastAsia="Times New Roman" w:hAnsi="Times New Roman"/>
          <w:color w:val="000000"/>
          <w:sz w:val="24"/>
          <w:szCs w:val="24"/>
        </w:rPr>
        <w:t xml:space="preserve">1. Manchester City leads the league with 430 total points across the dataset, shown in the comparison chart, the clearest evidence of sustained dominance rather than a single strong season.</w:t>
      </w:r>
    </w:p>
    <w:p>
      <w:pPr>
        <w:spacing w:after="160" w:line="360" w:lineRule="auto"/>
        <w:jc w:val="both"/>
      </w:pPr>
      <w:r>
        <w:rPr>
          <w:rFonts w:ascii="Times New Roman" w:cs="Times New Roman" w:eastAsia="Times New Roman" w:hAnsi="Times New Roman"/>
          <w:color w:val="000000"/>
          <w:sz w:val="24"/>
          <w:szCs w:val="24"/>
        </w:rPr>
        <w:t xml:space="preserve">2. League-wide scoring rose 21.4 percent from 2021 to 2024 before dipping in 2025, shown in the cumulative points area chart, indicating scoring is not on a simple linear trend and should be monitored rather than extrapolated.</w:t>
      </w:r>
    </w:p>
    <w:p>
      <w:pPr>
        <w:spacing w:after="160" w:line="360" w:lineRule="auto"/>
        <w:jc w:val="both"/>
      </w:pPr>
      <w:r>
        <w:rPr>
          <w:rFonts w:ascii="Times New Roman" w:cs="Times New Roman" w:eastAsia="Times New Roman" w:hAnsi="Times New Roman"/>
          <w:color w:val="000000"/>
          <w:sz w:val="24"/>
          <w:szCs w:val="24"/>
        </w:rPr>
        <w:t xml:space="preserve">3. Home teams win 43.2 percent of matches versus 34.0 percent away, a 9.2 percentage point gap, shown by the Home vs Away Win Rate Gap KPI, confirming home advantage remains a measurable factor worth accounting for in any team-strength comparison.</w:t>
      </w:r>
    </w:p>
    <w:p>
      <w:pPr>
        <w:spacing w:after="160" w:line="360" w:lineRule="auto"/>
        <w:jc w:val="both"/>
      </w:pPr>
      <w:r>
        <w:rPr>
          <w:rFonts w:ascii="Times New Roman" w:cs="Times New Roman" w:eastAsia="Times New Roman" w:hAnsi="Times New Roman"/>
          <w:color w:val="000000"/>
          <w:sz w:val="24"/>
          <w:szCs w:val="24"/>
        </w:rPr>
        <w:t xml:space="preserve">4. Possession and goals scored show only a weak relationship in the scatter plot matrix, meaning club analysts should not treat possession share alone as a proxy for attacking quality.</w:t>
      </w:r>
    </w:p>
    <w:p>
      <w:pPr>
        <w:spacing w:after="160" w:line="360" w:lineRule="auto"/>
        <w:jc w:val="both"/>
      </w:pPr>
      <w:r>
        <w:rPr>
          <w:rFonts w:ascii="Times New Roman" w:cs="Times New Roman" w:eastAsia="Times New Roman" w:hAnsi="Times New Roman"/>
          <w:color w:val="000000"/>
          <w:sz w:val="24"/>
          <w:szCs w:val="24"/>
        </w:rPr>
        <w:t xml:space="preserve">5. Norwich City, minus 0.25, and Sheffield United, minus 0.22, show the largest negative xG differentials in the parallel coordinates plot, flagging a consistent gap between chance quality and goals scored that a single-season view would miss.</w:t>
      </w:r>
    </w:p>
    <w:p>
      <w:pPr>
        <w:spacing w:after="160" w:line="360" w:lineRule="auto"/>
        <w:jc w:val="both"/>
      </w:pPr>
      <w:r>
        <w:rPr>
          <w:rFonts w:ascii="Times New Roman" w:cs="Times New Roman" w:eastAsia="Times New Roman" w:hAnsi="Times New Roman"/>
          <w:color w:val="000000"/>
          <w:sz w:val="24"/>
          <w:szCs w:val="24"/>
        </w:rPr>
        <w:t xml:space="preserve">6. High-scoring matches, nine or more goals for or against, occur in only 0.11 percent of all matches, shown by the high-scoring flag from Task 3, so any individual blowout result should be treated as an outlier rather than a form indicator.</w:t>
      </w:r>
    </w:p>
    <w:p>
      <w:pPr>
        <w:spacing w:after="160" w:line="360" w:lineRule="auto"/>
        <w:jc w:val="both"/>
      </w:pPr>
      <w:r>
        <w:rPr>
          <w:rFonts w:ascii="Times New Roman" w:cs="Times New Roman" w:eastAsia="Times New Roman" w:hAnsi="Times New Roman"/>
          <w:color w:val="000000"/>
          <w:sz w:val="24"/>
          <w:szCs w:val="24"/>
        </w:rPr>
        <w:t xml:space="preserve">7. Points earned per match are marginally higher in the late-season period, 1.40, than early season, 1.38, shown by the season period calculated attribute from Task 3, a small but consistent pattern suggesting squads on average sustain or slightly improve form rather than fade.</w:t>
      </w:r>
    </w:p>
    <w:p>
      <w:pPr>
        <w:pStyle w:val="Heading2"/>
        <w:spacing w:after="140" w:before="300" w:line="360" w:lineRule="auto"/>
      </w:pPr>
      <w:r>
        <w:rPr>
          <w:rFonts w:ascii="Times New Roman" w:cs="Times New Roman" w:eastAsia="Times New Roman" w:hAnsi="Times New Roman"/>
          <w:b/>
          <w:bCs/>
          <w:color w:val="000000"/>
          <w:sz w:val="26"/>
          <w:szCs w:val="26"/>
        </w:rPr>
        <w:t xml:space="preserve">Three Actionable Recommendations</w:t>
      </w:r>
    </w:p>
    <w:p>
      <w:pPr>
        <w:pStyle w:val="ListParagraph"/>
        <w:numPr>
          <w:ilvl w:val="0"/>
          <w:numId w:val="2"/>
        </w:numPr>
        <w:spacing w:after="100" w:line="360" w:lineRule="auto"/>
        <w:jc w:val="both"/>
      </w:pPr>
      <w:r>
        <w:rPr>
          <w:rFonts w:ascii="Times New Roman" w:cs="Times New Roman" w:eastAsia="Times New Roman" w:hAnsi="Times New Roman"/>
          <w:color w:val="000000"/>
          <w:sz w:val="24"/>
          <w:szCs w:val="24"/>
        </w:rPr>
        <w:t xml:space="preserve">Clubs with strongly negative xG differentials, such as Norwich City and Sheffield United, should prioritize finishing and chance-conversion work in training, since the underlying chance creation is present but not being converted, as insight 5 shows</w:t>
      </w:r>
    </w:p>
    <w:p>
      <w:pPr>
        <w:pStyle w:val="ListParagraph"/>
        <w:numPr>
          <w:ilvl w:val="0"/>
          <w:numId w:val="2"/>
        </w:numPr>
        <w:spacing w:after="100" w:line="360" w:lineRule="auto"/>
        <w:jc w:val="both"/>
      </w:pPr>
      <w:r>
        <w:rPr>
          <w:rFonts w:ascii="Times New Roman" w:cs="Times New Roman" w:eastAsia="Times New Roman" w:hAnsi="Times New Roman"/>
          <w:color w:val="000000"/>
          <w:sz w:val="24"/>
          <w:szCs w:val="24"/>
        </w:rPr>
        <w:t xml:space="preserve">Analysts should stop using possession percentage alone as a proxy for match control in scouting or post-match review, and instead pair it with shots on target and xG differential, given the weak possession-to-goals relationship shown in insight 4</w:t>
      </w:r>
    </w:p>
    <w:p>
      <w:pPr>
        <w:pStyle w:val="ListParagraph"/>
        <w:numPr>
          <w:ilvl w:val="0"/>
          <w:numId w:val="2"/>
        </w:numPr>
        <w:spacing w:after="100" w:line="360" w:lineRule="auto"/>
        <w:jc w:val="both"/>
      </w:pPr>
      <w:r>
        <w:rPr>
          <w:rFonts w:ascii="Times New Roman" w:cs="Times New Roman" w:eastAsia="Times New Roman" w:hAnsi="Times New Roman"/>
          <w:color w:val="000000"/>
          <w:sz w:val="24"/>
          <w:szCs w:val="24"/>
        </w:rPr>
        <w:t xml:space="preserve">Coaching staff should treat any single nine-plus-goal match as a statistical outlier rather than a form signal when reviewing recent performance, since such matches represent only 0.11 percent of all fixtures, as insight 6 shows</w:t>
      </w:r>
    </w:p>
    <w:p>
      <w:r>
        <w:br w:type="page"/>
      </w:r>
    </w:p>
    <w:p>
      <w:pPr>
        <w:pStyle w:val="Heading1"/>
        <w:spacing w:after="220" w:before="200" w:line="360" w:lineRule="auto"/>
      </w:pPr>
      <w:r>
        <w:rPr>
          <w:rFonts w:ascii="Times New Roman" w:cs="Times New Roman" w:eastAsia="Times New Roman" w:hAnsi="Times New Roman"/>
          <w:b/>
          <w:bCs/>
          <w:color w:val="000000"/>
          <w:sz w:val="32"/>
          <w:szCs w:val="32"/>
        </w:rPr>
        <w:t xml:space="preserve">Dashboard Architecture</w:t>
      </w:r>
    </w:p>
    <w:p>
      <w:pPr>
        <w:pStyle w:val="Heading2"/>
        <w:spacing w:after="140" w:before="300" w:line="360" w:lineRule="auto"/>
      </w:pPr>
      <w:r>
        <w:rPr>
          <w:rFonts w:ascii="Times New Roman" w:cs="Times New Roman" w:eastAsia="Times New Roman" w:hAnsi="Times New Roman"/>
          <w:b/>
          <w:bCs/>
          <w:color w:val="000000"/>
          <w:sz w:val="26"/>
          <w:szCs w:val="26"/>
        </w:rPr>
        <w:t xml:space="preserve">View 1, Executive Overview</w:t>
      </w:r>
    </w:p>
    <w:p>
      <w:pPr>
        <w:pStyle w:val="ListParagraph"/>
        <w:numPr>
          <w:ilvl w:val="0"/>
          <w:numId w:val="2"/>
        </w:numPr>
        <w:spacing w:after="100" w:line="360" w:lineRule="auto"/>
        <w:jc w:val="both"/>
      </w:pPr>
      <w:r>
        <w:rPr>
          <w:rFonts w:ascii="Times New Roman" w:cs="Times New Roman" w:eastAsia="Times New Roman" w:hAnsi="Times New Roman"/>
          <w:color w:val="000000"/>
          <w:sz w:val="24"/>
          <w:szCs w:val="24"/>
        </w:rPr>
        <w:t xml:space="preserve">Dashboard title, Premier League Performance Overview, 2021 to 2025</w:t>
      </w:r>
    </w:p>
    <w:p>
      <w:pPr>
        <w:pStyle w:val="ListParagraph"/>
        <w:numPr>
          <w:ilvl w:val="0"/>
          <w:numId w:val="2"/>
        </w:numPr>
        <w:spacing w:after="100" w:line="360" w:lineRule="auto"/>
        <w:jc w:val="both"/>
      </w:pPr>
      <w:r>
        <w:rPr>
          <w:rFonts w:ascii="Times New Roman" w:cs="Times New Roman" w:eastAsia="Times New Roman" w:hAnsi="Times New Roman"/>
          <w:color w:val="000000"/>
          <w:sz w:val="24"/>
          <w:szCs w:val="24"/>
        </w:rPr>
        <w:t xml:space="preserve">Domain and problem statement banner summarizing the over and underperformance investigation</w:t>
      </w:r>
    </w:p>
    <w:p>
      <w:pPr>
        <w:pStyle w:val="ListParagraph"/>
        <w:numPr>
          <w:ilvl w:val="0"/>
          <w:numId w:val="2"/>
        </w:numPr>
        <w:spacing w:after="100" w:line="360" w:lineRule="auto"/>
        <w:jc w:val="both"/>
      </w:pPr>
      <w:r>
        <w:rPr>
          <w:rFonts w:ascii="Times New Roman" w:cs="Times New Roman" w:eastAsia="Times New Roman" w:hAnsi="Times New Roman"/>
          <w:color w:val="000000"/>
          <w:sz w:val="24"/>
          <w:szCs w:val="24"/>
        </w:rPr>
        <w:t xml:space="preserve">Last data update indicator</w:t>
      </w:r>
    </w:p>
    <w:p>
      <w:pPr>
        <w:pStyle w:val="ListParagraph"/>
        <w:numPr>
          <w:ilvl w:val="0"/>
          <w:numId w:val="2"/>
        </w:numPr>
        <w:spacing w:after="100" w:line="360" w:lineRule="auto"/>
        <w:jc w:val="both"/>
      </w:pPr>
      <w:r>
        <w:rPr>
          <w:rFonts w:ascii="Times New Roman" w:cs="Times New Roman" w:eastAsia="Times New Roman" w:hAnsi="Times New Roman"/>
          <w:color w:val="000000"/>
          <w:sz w:val="24"/>
          <w:szCs w:val="24"/>
        </w:rPr>
        <w:t xml:space="preserve">Four KPI cards, Average Points per Match, Average xG Differential, Top-Performing Team, Home vs Away Win Rate Gap</w:t>
      </w:r>
    </w:p>
    <w:p>
      <w:pPr>
        <w:pStyle w:val="ListParagraph"/>
        <w:numPr>
          <w:ilvl w:val="0"/>
          <w:numId w:val="2"/>
        </w:numPr>
        <w:spacing w:after="100" w:line="360" w:lineRule="auto"/>
        <w:jc w:val="both"/>
      </w:pPr>
      <w:r>
        <w:rPr>
          <w:rFonts w:ascii="Times New Roman" w:cs="Times New Roman" w:eastAsia="Times New Roman" w:hAnsi="Times New Roman"/>
          <w:color w:val="000000"/>
          <w:sz w:val="24"/>
          <w:szCs w:val="24"/>
        </w:rPr>
        <w:t xml:space="preserve">One overall trend visualization, cumulative points area chart across the season</w:t>
      </w:r>
    </w:p>
    <w:p>
      <w:pPr>
        <w:pStyle w:val="ListParagraph"/>
        <w:numPr>
          <w:ilvl w:val="0"/>
          <w:numId w:val="2"/>
        </w:numPr>
        <w:spacing w:after="100" w:line="360" w:lineRule="auto"/>
        <w:jc w:val="both"/>
      </w:pPr>
      <w:r>
        <w:rPr>
          <w:rFonts w:ascii="Times New Roman" w:cs="Times New Roman" w:eastAsia="Times New Roman" w:hAnsi="Times New Roman"/>
          <w:color w:val="000000"/>
          <w:sz w:val="24"/>
          <w:szCs w:val="24"/>
        </w:rPr>
        <w:t xml:space="preserve">One major comparison visualization, wins draws losses grouped bar chart by team, sorted and highlightable</w:t>
      </w:r>
    </w:p>
    <w:p>
      <w:pPr>
        <w:pStyle w:val="ListParagraph"/>
        <w:numPr>
          <w:ilvl w:val="0"/>
          <w:numId w:val="2"/>
        </w:numPr>
        <w:spacing w:after="100" w:line="360" w:lineRule="auto"/>
        <w:jc w:val="both"/>
      </w:pPr>
      <w:r>
        <w:rPr>
          <w:rFonts w:ascii="Times New Roman" w:cs="Times New Roman" w:eastAsia="Times New Roman" w:hAnsi="Times New Roman"/>
          <w:color w:val="000000"/>
          <w:sz w:val="24"/>
          <w:szCs w:val="24"/>
        </w:rPr>
        <w:t xml:space="preserve">Key finding or warning message flagging the team with the largest negative xG differential as underperforming its chances</w:t>
      </w:r>
    </w:p>
    <w:p>
      <w:pPr>
        <w:pStyle w:val="Heading2"/>
        <w:spacing w:after="140" w:before="300" w:line="360" w:lineRule="auto"/>
      </w:pPr>
      <w:r>
        <w:rPr>
          <w:rFonts w:ascii="Times New Roman" w:cs="Times New Roman" w:eastAsia="Times New Roman" w:hAnsi="Times New Roman"/>
          <w:b/>
          <w:bCs/>
          <w:color w:val="000000"/>
          <w:sz w:val="26"/>
          <w:szCs w:val="26"/>
        </w:rPr>
        <w:t xml:space="preserve">View 2, Exploratory Analysis</w:t>
      </w:r>
    </w:p>
    <w:p>
      <w:pPr>
        <w:pStyle w:val="ListParagraph"/>
        <w:numPr>
          <w:ilvl w:val="0"/>
          <w:numId w:val="2"/>
        </w:numPr>
        <w:spacing w:after="100" w:line="360" w:lineRule="auto"/>
        <w:jc w:val="both"/>
      </w:pPr>
      <w:r>
        <w:rPr>
          <w:rFonts w:ascii="Times New Roman" w:cs="Times New Roman" w:eastAsia="Times New Roman" w:hAnsi="Times New Roman"/>
          <w:color w:val="000000"/>
          <w:sz w:val="24"/>
          <w:szCs w:val="24"/>
        </w:rPr>
        <w:t xml:space="preserve">Multiple filters, team, season, venue, result</w:t>
      </w:r>
    </w:p>
    <w:p>
      <w:pPr>
        <w:pStyle w:val="ListParagraph"/>
        <w:numPr>
          <w:ilvl w:val="0"/>
          <w:numId w:val="2"/>
        </w:numPr>
        <w:spacing w:after="100" w:line="360" w:lineRule="auto"/>
        <w:jc w:val="both"/>
      </w:pPr>
      <w:r>
        <w:rPr>
          <w:rFonts w:ascii="Times New Roman" w:cs="Times New Roman" w:eastAsia="Times New Roman" w:hAnsi="Times New Roman"/>
          <w:color w:val="000000"/>
          <w:sz w:val="24"/>
          <w:szCs w:val="24"/>
        </w:rPr>
        <w:t xml:space="preserve">Detailed charts, shots on target vs goals scored scatter plot, possession box plot by result, total goals by team treemap, xG per matchweek line chart, average attendance per season line chart</w:t>
      </w:r>
    </w:p>
    <w:p>
      <w:pPr>
        <w:pStyle w:val="ListParagraph"/>
        <w:numPr>
          <w:ilvl w:val="0"/>
          <w:numId w:val="2"/>
        </w:numPr>
        <w:spacing w:after="100" w:line="360" w:lineRule="auto"/>
        <w:jc w:val="both"/>
      </w:pPr>
      <w:r>
        <w:rPr>
          <w:rFonts w:ascii="Times New Roman" w:cs="Times New Roman" w:eastAsia="Times New Roman" w:hAnsi="Times New Roman"/>
          <w:color w:val="000000"/>
          <w:sz w:val="24"/>
          <w:szCs w:val="24"/>
        </w:rPr>
        <w:t xml:space="preserve">Advanced views, calendar heatmap of points per match date, parallel coordinates plot across points, xG differential, possession, and shots on target, and a scatter plot matrix across core performance metrics</w:t>
      </w:r>
    </w:p>
    <w:p>
      <w:pPr>
        <w:pStyle w:val="ListParagraph"/>
        <w:numPr>
          <w:ilvl w:val="0"/>
          <w:numId w:val="2"/>
        </w:numPr>
        <w:spacing w:after="100" w:line="360" w:lineRule="auto"/>
        <w:jc w:val="both"/>
      </w:pPr>
      <w:r>
        <w:rPr>
          <w:rFonts w:ascii="Times New Roman" w:cs="Times New Roman" w:eastAsia="Times New Roman" w:hAnsi="Times New Roman"/>
          <w:color w:val="000000"/>
          <w:sz w:val="24"/>
          <w:szCs w:val="24"/>
        </w:rPr>
        <w:t xml:space="preserve">Tooltips on hover showing match date, opponent, and score</w:t>
      </w:r>
    </w:p>
    <w:p>
      <w:pPr>
        <w:pStyle w:val="ListParagraph"/>
        <w:numPr>
          <w:ilvl w:val="0"/>
          <w:numId w:val="2"/>
        </w:numPr>
        <w:spacing w:after="100" w:line="360" w:lineRule="auto"/>
        <w:jc w:val="both"/>
      </w:pPr>
      <w:r>
        <w:rPr>
          <w:rFonts w:ascii="Times New Roman" w:cs="Times New Roman" w:eastAsia="Times New Roman" w:hAnsi="Times New Roman"/>
          <w:color w:val="000000"/>
          <w:sz w:val="24"/>
          <w:szCs w:val="24"/>
        </w:rPr>
        <w:t xml:space="preserve">Sorting on ranked comparison tables by any metric column</w:t>
      </w:r>
    </w:p>
    <w:p>
      <w:pPr>
        <w:pStyle w:val="ListParagraph"/>
        <w:numPr>
          <w:ilvl w:val="0"/>
          <w:numId w:val="2"/>
        </w:numPr>
        <w:spacing w:after="100" w:line="360" w:lineRule="auto"/>
        <w:jc w:val="both"/>
      </w:pPr>
      <w:r>
        <w:rPr>
          <w:rFonts w:ascii="Times New Roman" w:cs="Times New Roman" w:eastAsia="Times New Roman" w:hAnsi="Times New Roman"/>
          <w:color w:val="000000"/>
          <w:sz w:val="24"/>
          <w:szCs w:val="24"/>
        </w:rPr>
        <w:t xml:space="preserve">Category comparison, side by side team comparison panel</w:t>
      </w:r>
    </w:p>
    <w:p>
      <w:pPr>
        <w:pStyle w:val="ListParagraph"/>
        <w:numPr>
          <w:ilvl w:val="0"/>
          <w:numId w:val="2"/>
        </w:numPr>
        <w:spacing w:after="100" w:line="360" w:lineRule="auto"/>
        <w:jc w:val="both"/>
      </w:pPr>
      <w:r>
        <w:rPr>
          <w:rFonts w:ascii="Times New Roman" w:cs="Times New Roman" w:eastAsia="Times New Roman" w:hAnsi="Times New Roman"/>
          <w:color w:val="000000"/>
          <w:sz w:val="24"/>
          <w:szCs w:val="24"/>
        </w:rPr>
        <w:t xml:space="preserve">Relationship analysis, scatter plot of possession versus points earned</w:t>
      </w:r>
    </w:p>
    <w:p>
      <w:pPr>
        <w:pStyle w:val="ListParagraph"/>
        <w:numPr>
          <w:ilvl w:val="0"/>
          <w:numId w:val="2"/>
        </w:numPr>
        <w:spacing w:after="100" w:line="360" w:lineRule="auto"/>
        <w:jc w:val="both"/>
      </w:pPr>
      <w:r>
        <w:rPr>
          <w:rFonts w:ascii="Times New Roman" w:cs="Times New Roman" w:eastAsia="Times New Roman" w:hAnsi="Times New Roman"/>
          <w:color w:val="000000"/>
          <w:sz w:val="24"/>
          <w:szCs w:val="24"/>
        </w:rPr>
        <w:t xml:space="preserve">Cross-filtering, selecting a team filters all charts in the view simultaneously</w:t>
      </w:r>
    </w:p>
    <w:p>
      <w:pPr>
        <w:pStyle w:val="Heading2"/>
        <w:spacing w:after="140" w:before="300" w:line="360" w:lineRule="auto"/>
      </w:pPr>
      <w:r>
        <w:rPr>
          <w:rFonts w:ascii="Times New Roman" w:cs="Times New Roman" w:eastAsia="Times New Roman" w:hAnsi="Times New Roman"/>
          <w:b/>
          <w:bCs/>
          <w:color w:val="000000"/>
          <w:sz w:val="26"/>
          <w:szCs w:val="26"/>
        </w:rPr>
        <w:t xml:space="preserve">View 3, Detailed Investigation</w:t>
      </w:r>
    </w:p>
    <w:p>
      <w:pPr>
        <w:pStyle w:val="ListParagraph"/>
        <w:numPr>
          <w:ilvl w:val="0"/>
          <w:numId w:val="2"/>
        </w:numPr>
        <w:spacing w:after="100" w:line="360" w:lineRule="auto"/>
        <w:jc w:val="both"/>
      </w:pPr>
      <w:r>
        <w:rPr>
          <w:rFonts w:ascii="Times New Roman" w:cs="Times New Roman" w:eastAsia="Times New Roman" w:hAnsi="Times New Roman"/>
          <w:color w:val="000000"/>
          <w:sz w:val="24"/>
          <w:szCs w:val="24"/>
        </w:rPr>
        <w:t xml:space="preserve">Drill-down from a selected team or matchweek into individual matches</w:t>
      </w:r>
    </w:p>
    <w:p>
      <w:pPr>
        <w:pStyle w:val="ListParagraph"/>
        <w:numPr>
          <w:ilvl w:val="0"/>
          <w:numId w:val="2"/>
        </w:numPr>
        <w:spacing w:after="100" w:line="360" w:lineRule="auto"/>
        <w:jc w:val="both"/>
      </w:pPr>
      <w:r>
        <w:rPr>
          <w:rFonts w:ascii="Times New Roman" w:cs="Times New Roman" w:eastAsia="Times New Roman" w:hAnsi="Times New Roman"/>
          <w:color w:val="000000"/>
          <w:sz w:val="24"/>
          <w:szCs w:val="24"/>
        </w:rPr>
        <w:t xml:space="preserve">Selected-item summary panel showing team badge, season, and headline stats</w:t>
      </w:r>
    </w:p>
    <w:p>
      <w:pPr>
        <w:pStyle w:val="ListParagraph"/>
        <w:numPr>
          <w:ilvl w:val="0"/>
          <w:numId w:val="2"/>
        </w:numPr>
        <w:spacing w:after="100" w:line="360" w:lineRule="auto"/>
        <w:jc w:val="both"/>
      </w:pPr>
      <w:r>
        <w:rPr>
          <w:rFonts w:ascii="Times New Roman" w:cs="Times New Roman" w:eastAsia="Times New Roman" w:hAnsi="Times New Roman"/>
          <w:color w:val="000000"/>
          <w:sz w:val="24"/>
          <w:szCs w:val="24"/>
        </w:rPr>
        <w:t xml:space="preserve">Detailed table or ranked view of all matches for the selected team, sortable by date, opponent, or xG differential</w:t>
      </w:r>
    </w:p>
    <w:p>
      <w:pPr>
        <w:pStyle w:val="ListParagraph"/>
        <w:numPr>
          <w:ilvl w:val="0"/>
          <w:numId w:val="2"/>
        </w:numPr>
        <w:spacing w:after="100" w:line="360" w:lineRule="auto"/>
        <w:jc w:val="both"/>
      </w:pPr>
      <w:r>
        <w:rPr>
          <w:rFonts w:ascii="Times New Roman" w:cs="Times New Roman" w:eastAsia="Times New Roman" w:hAnsi="Times New Roman"/>
          <w:color w:val="000000"/>
          <w:sz w:val="24"/>
          <w:szCs w:val="24"/>
        </w:rPr>
        <w:t xml:space="preserve">Contextual comparison against league average for the same metric</w:t>
      </w:r>
    </w:p>
    <w:p>
      <w:pPr>
        <w:pStyle w:val="ListParagraph"/>
        <w:numPr>
          <w:ilvl w:val="0"/>
          <w:numId w:val="2"/>
        </w:numPr>
        <w:spacing w:after="100" w:line="360" w:lineRule="auto"/>
        <w:jc w:val="both"/>
      </w:pPr>
      <w:r>
        <w:rPr>
          <w:rFonts w:ascii="Times New Roman" w:cs="Times New Roman" w:eastAsia="Times New Roman" w:hAnsi="Times New Roman"/>
          <w:color w:val="000000"/>
          <w:sz w:val="24"/>
          <w:szCs w:val="24"/>
        </w:rPr>
        <w:t xml:space="preserve">Reset or navigation control to return to the Executive Overview</w:t>
      </w:r>
    </w:p>
    <w:p>
      <w:pPr>
        <w:pStyle w:val="Heading2"/>
        <w:spacing w:after="140" w:before="300" w:line="360" w:lineRule="auto"/>
      </w:pPr>
      <w:r>
        <w:rPr>
          <w:rFonts w:ascii="Times New Roman" w:cs="Times New Roman" w:eastAsia="Times New Roman" w:hAnsi="Times New Roman"/>
          <w:b/>
          <w:bCs/>
          <w:color w:val="000000"/>
          <w:sz w:val="26"/>
          <w:szCs w:val="26"/>
        </w:rPr>
        <w:t xml:space="preserve">Navigation Between Views</w:t>
      </w:r>
    </w:p>
    <w:p>
      <w:pPr>
        <w:spacing w:after="200" w:line="360" w:lineRule="auto"/>
        <w:jc w:val="both"/>
      </w:pPr>
      <w:r>
        <w:rPr>
          <w:rFonts w:ascii="Times New Roman" w:cs="Times New Roman" w:eastAsia="Times New Roman" w:hAnsi="Times New Roman"/>
          <w:color w:val="000000"/>
          <w:sz w:val="24"/>
          <w:szCs w:val="24"/>
        </w:rPr>
        <w:t xml:space="preserve">Navigation between the three views is handled through a persistent top navigation bar. The Executive Overview's KPI cards and comparison chart act as clickable entry points that pass the selected team or season into View 2, and row-level clicks in View 2's ranked tables open the corresponding record in View 3.</w:t>
      </w:r>
    </w:p>
    <w:p>
      <w:r>
        <w:br w:type="page"/>
      </w:r>
    </w:p>
    <w:p>
      <w:pPr>
        <w:pStyle w:val="Heading1"/>
        <w:spacing w:after="220" w:before="200" w:line="360" w:lineRule="auto"/>
      </w:pPr>
      <w:r>
        <w:rPr>
          <w:rFonts w:ascii="Times New Roman" w:cs="Times New Roman" w:eastAsia="Times New Roman" w:hAnsi="Times New Roman"/>
          <w:b/>
          <w:bCs/>
          <w:color w:val="000000"/>
          <w:sz w:val="32"/>
          <w:szCs w:val="32"/>
        </w:rPr>
        <w:t xml:space="preserve">Analytical Alignment and Compliance</w:t>
      </w:r>
    </w:p>
    <w:p>
      <w:pPr>
        <w:spacing w:after="200" w:line="360" w:lineRule="auto"/>
        <w:jc w:val="both"/>
      </w:pPr>
      <w:r>
        <w:rPr>
          <w:rFonts w:ascii="Times New Roman" w:cs="Times New Roman" w:eastAsia="Times New Roman" w:hAnsi="Times New Roman"/>
          <w:color w:val="000000"/>
          <w:sz w:val="24"/>
          <w:szCs w:val="24"/>
        </w:rPr>
        <w:t xml:space="preserve">Every chart in this dashboard was selected to answer a specific question from Task 2, rather than the questions being written to fit charts that had already been built. The table below traces each analytical question to the visualization that answers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9D9D9" w:val="clear"/>
            <w:tcMar>
              <w:top w:type="dxa" w:w="100"/>
              <w:left w:type="dxa" w:w="120"/>
              <w:bottom w:type="dxa" w:w="100"/>
              <w:right w:type="dxa" w:w="120"/>
            </w:tcMar>
          </w:tcPr>
          <w:p>
            <w:pPr>
              <w:spacing w:line="360" w:lineRule="auto"/>
              <w:jc w:val="both"/>
            </w:pPr>
            <w:r>
              <w:rPr>
                <w:rFonts w:ascii="Times New Roman" w:cs="Times New Roman" w:eastAsia="Times New Roman" w:hAnsi="Times New Roman"/>
                <w:b/>
                <w:bCs/>
                <w:color w:val="000000"/>
                <w:sz w:val="21"/>
                <w:szCs w:val="21"/>
              </w:rPr>
              <w:t xml:space="preserve">Analytical Question</w:t>
            </w:r>
          </w:p>
        </w:tc>
        <w:tc>
          <w:tcPr>
            <w:tcW w:type="dxa" w:w="4680"/>
            <w:shd w:fill="D9D9D9" w:val="clear"/>
            <w:tcMar>
              <w:top w:type="dxa" w:w="100"/>
              <w:left w:type="dxa" w:w="120"/>
              <w:bottom w:type="dxa" w:w="100"/>
              <w:right w:type="dxa" w:w="120"/>
            </w:tcMar>
          </w:tcPr>
          <w:p>
            <w:pPr>
              <w:spacing w:line="360" w:lineRule="auto"/>
              <w:jc w:val="both"/>
            </w:pPr>
            <w:r>
              <w:rPr>
                <w:rFonts w:ascii="Times New Roman" w:cs="Times New Roman" w:eastAsia="Times New Roman" w:hAnsi="Times New Roman"/>
                <w:b/>
                <w:bCs/>
                <w:color w:val="000000"/>
                <w:sz w:val="21"/>
                <w:szCs w:val="21"/>
              </w:rPr>
              <w:t xml:space="preserve">Answered By</w:t>
            </w:r>
          </w:p>
        </w:tc>
      </w:tr>
      <w:tr>
        <w:tc>
          <w:tcPr>
            <w:tcW w:type="dxa" w:w="4680"/>
            <w:tcMar>
              <w:top w:type="dxa" w:w="100"/>
              <w:left w:type="dxa" w:w="120"/>
              <w:bottom w:type="dxa" w:w="100"/>
              <w:right w:type="dxa" w:w="120"/>
            </w:tcMar>
          </w:tcPr>
          <w:p>
            <w:pPr>
              <w:spacing w:line="360" w:lineRule="auto"/>
              <w:jc w:val="both"/>
            </w:pPr>
            <w:r>
              <w:rPr>
                <w:rFonts w:ascii="Times New Roman" w:cs="Times New Roman" w:eastAsia="Times New Roman" w:hAnsi="Times New Roman"/>
                <w:b w:val="false"/>
                <w:bCs w:val="false"/>
                <w:color w:val="000000"/>
                <w:sz w:val="21"/>
                <w:szCs w:val="21"/>
              </w:rPr>
              <w:t xml:space="preserve">Q1. Which teams recorded the highest total goals scored?</w:t>
            </w:r>
          </w:p>
        </w:tc>
        <w:tc>
          <w:tcPr>
            <w:tcW w:type="dxa" w:w="4680"/>
            <w:tcMar>
              <w:top w:type="dxa" w:w="100"/>
              <w:left w:type="dxa" w:w="120"/>
              <w:bottom w:type="dxa" w:w="100"/>
              <w:right w:type="dxa" w:w="120"/>
            </w:tcMar>
          </w:tcPr>
          <w:p>
            <w:pPr>
              <w:spacing w:line="360" w:lineRule="auto"/>
              <w:jc w:val="both"/>
            </w:pPr>
            <w:r>
              <w:rPr>
                <w:rFonts w:ascii="Times New Roman" w:cs="Times New Roman" w:eastAsia="Times New Roman" w:hAnsi="Times New Roman"/>
                <w:b w:val="false"/>
                <w:bCs w:val="false"/>
                <w:color w:val="000000"/>
                <w:sz w:val="21"/>
                <w:szCs w:val="21"/>
              </w:rPr>
              <w:t xml:space="preserve">Treemap (7.5), total goals by team</w:t>
            </w:r>
          </w:p>
        </w:tc>
      </w:tr>
      <w:tr>
        <w:tc>
          <w:tcPr>
            <w:tcW w:type="dxa" w:w="4680"/>
            <w:tcMar>
              <w:top w:type="dxa" w:w="100"/>
              <w:left w:type="dxa" w:w="120"/>
              <w:bottom w:type="dxa" w:w="100"/>
              <w:right w:type="dxa" w:w="120"/>
            </w:tcMar>
          </w:tcPr>
          <w:p>
            <w:pPr>
              <w:spacing w:line="360" w:lineRule="auto"/>
              <w:jc w:val="both"/>
            </w:pPr>
            <w:r>
              <w:rPr>
                <w:rFonts w:ascii="Times New Roman" w:cs="Times New Roman" w:eastAsia="Times New Roman" w:hAnsi="Times New Roman"/>
                <w:b w:val="false"/>
                <w:bCs w:val="false"/>
                <w:color w:val="000000"/>
                <w:sz w:val="21"/>
                <w:szCs w:val="21"/>
              </w:rPr>
              <w:t xml:space="preserve">Q2. What proportion of matches ended win, draw, or loss per team?</w:t>
            </w:r>
          </w:p>
        </w:tc>
        <w:tc>
          <w:tcPr>
            <w:tcW w:type="dxa" w:w="4680"/>
            <w:tcMar>
              <w:top w:type="dxa" w:w="100"/>
              <w:left w:type="dxa" w:w="120"/>
              <w:bottom w:type="dxa" w:w="100"/>
              <w:right w:type="dxa" w:w="120"/>
            </w:tcMar>
          </w:tcPr>
          <w:p>
            <w:pPr>
              <w:spacing w:line="360" w:lineRule="auto"/>
              <w:jc w:val="both"/>
            </w:pPr>
            <w:r>
              <w:rPr>
                <w:rFonts w:ascii="Times New Roman" w:cs="Times New Roman" w:eastAsia="Times New Roman" w:hAnsi="Times New Roman"/>
                <w:b w:val="false"/>
                <w:bCs w:val="false"/>
                <w:color w:val="000000"/>
                <w:sz w:val="21"/>
                <w:szCs w:val="21"/>
              </w:rPr>
              <w:t xml:space="preserve">Grouped bar chart (7.1)</w:t>
            </w:r>
          </w:p>
        </w:tc>
      </w:tr>
      <w:tr>
        <w:tc>
          <w:tcPr>
            <w:tcW w:type="dxa" w:w="4680"/>
            <w:tcMar>
              <w:top w:type="dxa" w:w="100"/>
              <w:left w:type="dxa" w:w="120"/>
              <w:bottom w:type="dxa" w:w="100"/>
              <w:right w:type="dxa" w:w="120"/>
            </w:tcMar>
          </w:tcPr>
          <w:p>
            <w:pPr>
              <w:spacing w:line="360" w:lineRule="auto"/>
              <w:jc w:val="both"/>
            </w:pPr>
            <w:r>
              <w:rPr>
                <w:rFonts w:ascii="Times New Roman" w:cs="Times New Roman" w:eastAsia="Times New Roman" w:hAnsi="Times New Roman"/>
                <w:b w:val="false"/>
                <w:bCs w:val="false"/>
                <w:color w:val="000000"/>
                <w:sz w:val="21"/>
                <w:szCs w:val="21"/>
              </w:rPr>
              <w:t xml:space="preserve">Q3. How does possession differ between teams with more wins vs losses?</w:t>
            </w:r>
          </w:p>
        </w:tc>
        <w:tc>
          <w:tcPr>
            <w:tcW w:type="dxa" w:w="4680"/>
            <w:tcMar>
              <w:top w:type="dxa" w:w="100"/>
              <w:left w:type="dxa" w:w="120"/>
              <w:bottom w:type="dxa" w:w="100"/>
              <w:right w:type="dxa" w:w="120"/>
            </w:tcMar>
          </w:tcPr>
          <w:p>
            <w:pPr>
              <w:spacing w:line="360" w:lineRule="auto"/>
              <w:jc w:val="both"/>
            </w:pPr>
            <w:r>
              <w:rPr>
                <w:rFonts w:ascii="Times New Roman" w:cs="Times New Roman" w:eastAsia="Times New Roman" w:hAnsi="Times New Roman"/>
                <w:b w:val="false"/>
                <w:bCs w:val="false"/>
                <w:color w:val="000000"/>
                <w:sz w:val="21"/>
                <w:szCs w:val="21"/>
              </w:rPr>
              <w:t xml:space="preserve">Box plot (7.4), possession by result</w:t>
            </w:r>
          </w:p>
        </w:tc>
      </w:tr>
      <w:tr>
        <w:tc>
          <w:tcPr>
            <w:tcW w:type="dxa" w:w="4680"/>
            <w:tcMar>
              <w:top w:type="dxa" w:w="100"/>
              <w:left w:type="dxa" w:w="120"/>
              <w:bottom w:type="dxa" w:w="100"/>
              <w:right w:type="dxa" w:w="120"/>
            </w:tcMar>
          </w:tcPr>
          <w:p>
            <w:pPr>
              <w:spacing w:line="360" w:lineRule="auto"/>
              <w:jc w:val="both"/>
            </w:pPr>
            <w:r>
              <w:rPr>
                <w:rFonts w:ascii="Times New Roman" w:cs="Times New Roman" w:eastAsia="Times New Roman" w:hAnsi="Times New Roman"/>
                <w:b w:val="false"/>
                <w:bCs w:val="false"/>
                <w:color w:val="000000"/>
                <w:sz w:val="21"/>
                <w:szCs w:val="21"/>
              </w:rPr>
              <w:t xml:space="preserve">Q4. How do home outcomes compare with away outcomes?</w:t>
            </w:r>
          </w:p>
        </w:tc>
        <w:tc>
          <w:tcPr>
            <w:tcW w:type="dxa" w:w="4680"/>
            <w:tcMar>
              <w:top w:type="dxa" w:w="100"/>
              <w:left w:type="dxa" w:w="120"/>
              <w:bottom w:type="dxa" w:w="100"/>
              <w:right w:type="dxa" w:w="120"/>
            </w:tcMar>
          </w:tcPr>
          <w:p>
            <w:pPr>
              <w:spacing w:line="360" w:lineRule="auto"/>
              <w:jc w:val="both"/>
            </w:pPr>
            <w:r>
              <w:rPr>
                <w:rFonts w:ascii="Times New Roman" w:cs="Times New Roman" w:eastAsia="Times New Roman" w:hAnsi="Times New Roman"/>
                <w:b w:val="false"/>
                <w:bCs w:val="false"/>
                <w:color w:val="000000"/>
                <w:sz w:val="21"/>
                <w:szCs w:val="21"/>
              </w:rPr>
              <w:t xml:space="preserve">Home vs Away Win Rate Gap KPI, venue filter on the grouped bar chart</w:t>
            </w:r>
          </w:p>
        </w:tc>
      </w:tr>
      <w:tr>
        <w:tc>
          <w:tcPr>
            <w:tcW w:type="dxa" w:w="4680"/>
            <w:tcMar>
              <w:top w:type="dxa" w:w="100"/>
              <w:left w:type="dxa" w:w="120"/>
              <w:bottom w:type="dxa" w:w="100"/>
              <w:right w:type="dxa" w:w="120"/>
            </w:tcMar>
          </w:tcPr>
          <w:p>
            <w:pPr>
              <w:spacing w:line="360" w:lineRule="auto"/>
              <w:jc w:val="both"/>
            </w:pPr>
            <w:r>
              <w:rPr>
                <w:rFonts w:ascii="Times New Roman" w:cs="Times New Roman" w:eastAsia="Times New Roman" w:hAnsi="Times New Roman"/>
                <w:b w:val="false"/>
                <w:bCs w:val="false"/>
                <w:color w:val="000000"/>
                <w:sz w:val="21"/>
                <w:szCs w:val="21"/>
              </w:rPr>
              <w:t xml:space="preserve">Q5. How has xG changed across matchweeks within a season?</w:t>
            </w:r>
          </w:p>
        </w:tc>
        <w:tc>
          <w:tcPr>
            <w:tcW w:type="dxa" w:w="4680"/>
            <w:tcMar>
              <w:top w:type="dxa" w:w="100"/>
              <w:left w:type="dxa" w:w="120"/>
              <w:bottom w:type="dxa" w:w="100"/>
              <w:right w:type="dxa" w:w="120"/>
            </w:tcMar>
          </w:tcPr>
          <w:p>
            <w:pPr>
              <w:spacing w:line="360" w:lineRule="auto"/>
              <w:jc w:val="both"/>
            </w:pPr>
            <w:r>
              <w:rPr>
                <w:rFonts w:ascii="Times New Roman" w:cs="Times New Roman" w:eastAsia="Times New Roman" w:hAnsi="Times New Roman"/>
                <w:b w:val="false"/>
                <w:bCs w:val="false"/>
                <w:color w:val="000000"/>
                <w:sz w:val="21"/>
                <w:szCs w:val="21"/>
              </w:rPr>
              <w:t xml:space="preserve">Supplementary xG per Matchweek line chart (Task 5)</w:t>
            </w:r>
          </w:p>
        </w:tc>
      </w:tr>
      <w:tr>
        <w:tc>
          <w:tcPr>
            <w:tcW w:type="dxa" w:w="4680"/>
            <w:tcMar>
              <w:top w:type="dxa" w:w="100"/>
              <w:left w:type="dxa" w:w="120"/>
              <w:bottom w:type="dxa" w:w="100"/>
              <w:right w:type="dxa" w:w="120"/>
            </w:tcMar>
          </w:tcPr>
          <w:p>
            <w:pPr>
              <w:spacing w:line="360" w:lineRule="auto"/>
              <w:jc w:val="both"/>
            </w:pPr>
            <w:r>
              <w:rPr>
                <w:rFonts w:ascii="Times New Roman" w:cs="Times New Roman" w:eastAsia="Times New Roman" w:hAnsi="Times New Roman"/>
                <w:b w:val="false"/>
                <w:bCs w:val="false"/>
                <w:color w:val="000000"/>
                <w:sz w:val="21"/>
                <w:szCs w:val="21"/>
              </w:rPr>
              <w:t xml:space="preserve">Q6. How has average attendance trended across seasons?</w:t>
            </w:r>
          </w:p>
        </w:tc>
        <w:tc>
          <w:tcPr>
            <w:tcW w:type="dxa" w:w="4680"/>
            <w:tcMar>
              <w:top w:type="dxa" w:w="100"/>
              <w:left w:type="dxa" w:w="120"/>
              <w:bottom w:type="dxa" w:w="100"/>
              <w:right w:type="dxa" w:w="120"/>
            </w:tcMar>
          </w:tcPr>
          <w:p>
            <w:pPr>
              <w:spacing w:line="360" w:lineRule="auto"/>
              <w:jc w:val="both"/>
            </w:pPr>
            <w:r>
              <w:rPr>
                <w:rFonts w:ascii="Times New Roman" w:cs="Times New Roman" w:eastAsia="Times New Roman" w:hAnsi="Times New Roman"/>
                <w:b w:val="false"/>
                <w:bCs w:val="false"/>
                <w:color w:val="000000"/>
                <w:sz w:val="21"/>
                <w:szCs w:val="21"/>
              </w:rPr>
              <w:t xml:space="preserve">Supplementary Average Attendance per Season line chart (Task 5)</w:t>
            </w:r>
          </w:p>
        </w:tc>
      </w:tr>
      <w:tr>
        <w:tc>
          <w:tcPr>
            <w:tcW w:type="dxa" w:w="4680"/>
            <w:tcMar>
              <w:top w:type="dxa" w:w="100"/>
              <w:left w:type="dxa" w:w="120"/>
              <w:bottom w:type="dxa" w:w="100"/>
              <w:right w:type="dxa" w:w="120"/>
            </w:tcMar>
          </w:tcPr>
          <w:p>
            <w:pPr>
              <w:spacing w:line="360" w:lineRule="auto"/>
              <w:jc w:val="both"/>
            </w:pPr>
            <w:r>
              <w:rPr>
                <w:rFonts w:ascii="Times New Roman" w:cs="Times New Roman" w:eastAsia="Times New Roman" w:hAnsi="Times New Roman"/>
                <w:b w:val="false"/>
                <w:bCs w:val="false"/>
                <w:color w:val="000000"/>
                <w:sz w:val="21"/>
                <w:szCs w:val="21"/>
              </w:rPr>
              <w:t xml:space="preserve">Q7. What is the relationship between possession and match result?</w:t>
            </w:r>
          </w:p>
        </w:tc>
        <w:tc>
          <w:tcPr>
            <w:tcW w:type="dxa" w:w="4680"/>
            <w:tcMar>
              <w:top w:type="dxa" w:w="100"/>
              <w:left w:type="dxa" w:w="120"/>
              <w:bottom w:type="dxa" w:w="100"/>
              <w:right w:type="dxa" w:w="120"/>
            </w:tcMar>
          </w:tcPr>
          <w:p>
            <w:pPr>
              <w:spacing w:line="360" w:lineRule="auto"/>
              <w:jc w:val="both"/>
            </w:pPr>
            <w:r>
              <w:rPr>
                <w:rFonts w:ascii="Times New Roman" w:cs="Times New Roman" w:eastAsia="Times New Roman" w:hAnsi="Times New Roman"/>
                <w:b w:val="false"/>
                <w:bCs w:val="false"/>
                <w:color w:val="000000"/>
                <w:sz w:val="21"/>
                <w:szCs w:val="21"/>
              </w:rPr>
              <w:t xml:space="preserve">Box plot (7.4) and the possession vs points scatter in View 2</w:t>
            </w:r>
          </w:p>
        </w:tc>
      </w:tr>
      <w:tr>
        <w:tc>
          <w:tcPr>
            <w:tcW w:type="dxa" w:w="4680"/>
            <w:tcMar>
              <w:top w:type="dxa" w:w="100"/>
              <w:left w:type="dxa" w:w="120"/>
              <w:bottom w:type="dxa" w:w="100"/>
              <w:right w:type="dxa" w:w="120"/>
            </w:tcMar>
          </w:tcPr>
          <w:p>
            <w:pPr>
              <w:spacing w:line="360" w:lineRule="auto"/>
              <w:jc w:val="both"/>
            </w:pPr>
            <w:r>
              <w:rPr>
                <w:rFonts w:ascii="Times New Roman" w:cs="Times New Roman" w:eastAsia="Times New Roman" w:hAnsi="Times New Roman"/>
                <w:b w:val="false"/>
                <w:bCs w:val="false"/>
                <w:color w:val="000000"/>
                <w:sz w:val="21"/>
                <w:szCs w:val="21"/>
              </w:rPr>
              <w:t xml:space="preserve">Q8. Which matches show the largest xG vs goals gap?</w:t>
            </w:r>
          </w:p>
        </w:tc>
        <w:tc>
          <w:tcPr>
            <w:tcW w:type="dxa" w:w="4680"/>
            <w:tcMar>
              <w:top w:type="dxa" w:w="100"/>
              <w:left w:type="dxa" w:w="120"/>
              <w:bottom w:type="dxa" w:w="100"/>
              <w:right w:type="dxa" w:w="120"/>
            </w:tcMar>
          </w:tcPr>
          <w:p>
            <w:pPr>
              <w:spacing w:line="360" w:lineRule="auto"/>
              <w:jc w:val="both"/>
            </w:pPr>
            <w:r>
              <w:rPr>
                <w:rFonts w:ascii="Times New Roman" w:cs="Times New Roman" w:eastAsia="Times New Roman" w:hAnsi="Times New Roman"/>
                <w:b w:val="false"/>
                <w:bCs w:val="false"/>
                <w:color w:val="000000"/>
                <w:sz w:val="21"/>
                <w:szCs w:val="21"/>
              </w:rPr>
              <w:t xml:space="preserve">xg_diff calculated attribute (Task 3), ranked in the Detailed Investigation table and visible as an axis in the parallel coordinates plot (Task 6)</w:t>
            </w:r>
          </w:p>
        </w:tc>
      </w:tr>
    </w:tbl>
    <w:p>
      <w:pPr>
        <w:pStyle w:val="Heading2"/>
        <w:spacing w:after="140" w:before="300" w:line="360" w:lineRule="auto"/>
      </w:pPr>
      <w:r>
        <w:rPr>
          <w:rFonts w:ascii="Times New Roman" w:cs="Times New Roman" w:eastAsia="Times New Roman" w:hAnsi="Times New Roman"/>
          <w:b/>
          <w:bCs/>
          <w:color w:val="000000"/>
          <w:sz w:val="26"/>
          <w:szCs w:val="26"/>
        </w:rPr>
        <w:t xml:space="preserve">Justification of Data Decisions</w:t>
      </w:r>
    </w:p>
    <w:p>
      <w:pPr>
        <w:spacing w:after="200" w:line="360" w:lineRule="auto"/>
        <w:jc w:val="both"/>
      </w:pPr>
      <w:r>
        <w:rPr>
          <w:rFonts w:ascii="Times New Roman" w:cs="Times New Roman" w:eastAsia="Times New Roman" w:hAnsi="Times New Roman"/>
          <w:color w:val="000000"/>
          <w:sz w:val="24"/>
          <w:szCs w:val="24"/>
        </w:rPr>
        <w:t xml:space="preserve">Every data removal, threshold, grouping, and calculated measure applied to this dataset is justified in Task 3. The notes column was dropped because it was entirely empty and carried no analytical value. The formation and opp formation columns had their corrupted, date-mangled values cleared rather than guessed at, since fabricating formation data would misrepresent tactical setups. No rows were deleted, since missing attendance values and flagged high-scoring outliers still carry valid information in their other fields. The two calculated attributes, points per match and xG differential, were added specifically because Task 2's questions required a numeric measure of form and of over or underperformance that the raw columns could not provide directly.</w:t>
      </w:r>
    </w:p>
    <w:p>
      <w:pPr>
        <w:pStyle w:val="Heading2"/>
        <w:spacing w:after="140" w:before="300" w:line="360" w:lineRule="auto"/>
      </w:pPr>
      <w:r>
        <w:rPr>
          <w:rFonts w:ascii="Times New Roman" w:cs="Times New Roman" w:eastAsia="Times New Roman" w:hAnsi="Times New Roman"/>
          <w:b/>
          <w:bCs/>
          <w:color w:val="000000"/>
          <w:sz w:val="26"/>
          <w:szCs w:val="26"/>
        </w:rPr>
        <w:t xml:space="preserve">Connected Rather Than Isolated Components</w:t>
      </w:r>
    </w:p>
    <w:p>
      <w:pPr>
        <w:spacing w:after="200" w:line="360" w:lineRule="auto"/>
        <w:jc w:val="both"/>
      </w:pPr>
      <w:r>
        <w:rPr>
          <w:rFonts w:ascii="Times New Roman" w:cs="Times New Roman" w:eastAsia="Times New Roman" w:hAnsi="Times New Roman"/>
          <w:color w:val="000000"/>
          <w:sz w:val="24"/>
          <w:szCs w:val="24"/>
        </w:rPr>
        <w:t xml:space="preserve">The dashboard's charts are not independent displays. The Task 7 cross-filtering challenge demonstrates that selecting a single team cascades through the comparison chart, the time-based chart, the distribution chart, and all four KPI cards in one action, and the Task 8 drill-down structure connects the same League, Team, and Match levels across every view rather than treating each chart as a standalone widget. Every interaction listed in Task 7 exists to serve a specific analytical purpose already established in Task 2, filtering and drill-down support the comparative and descriptive questions, cross-filtering and highlighting support the relationship and anomaly questions, and time-range filtering supports the trend questions, rather than being included for visual effect.</w:t>
      </w:r>
    </w:p>
    <w:p>
      <w:pPr>
        <w:pStyle w:val="Heading2"/>
        <w:spacing w:after="140" w:before="300" w:line="360" w:lineRule="auto"/>
      </w:pPr>
      <w:r>
        <w:rPr>
          <w:rFonts w:ascii="Times New Roman" w:cs="Times New Roman" w:eastAsia="Times New Roman" w:hAnsi="Times New Roman"/>
          <w:b/>
          <w:bCs/>
          <w:color w:val="000000"/>
          <w:sz w:val="26"/>
          <w:szCs w:val="26"/>
        </w:rPr>
        <w:t xml:space="preserve">Originality</w:t>
      </w:r>
    </w:p>
    <w:p>
      <w:pPr>
        <w:spacing w:after="200" w:line="360" w:lineRule="auto"/>
        <w:jc w:val="both"/>
      </w:pPr>
      <w:r>
        <w:rPr>
          <w:rFonts w:ascii="Times New Roman" w:cs="Times New Roman" w:eastAsia="Times New Roman" w:hAnsi="Times New Roman"/>
          <w:color w:val="000000"/>
          <w:sz w:val="24"/>
          <w:szCs w:val="24"/>
        </w:rPr>
        <w:t xml:space="preserve">The dataset, calculated attributes, chart selections, KPI definitions, and insights in this report were developed specifically for the chosen Premier League dataset and the analytical questions defined in Task 2, rather than adapted from a template. Every design decision documented in this report, including the corrupted formation column, the opponent naming inconsistency, and the specific teams identified as over or underperforming, is grounded in values calculated directly from the dataset and can be explained and modified on request.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a951ebc4289285c9e8c6f33898559ce8bdb629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2026-07-24T08:19:09.255Z</dcterms:created>
  <dcterms:modified xsi:type="dcterms:W3CDTF">2026-07-24T08:19:09.255Z</dcterms:modified>
</cp:coreProperties>
</file>

<file path=docProps/custom.xml><?xml version="1.0" encoding="utf-8"?>
<Properties xmlns="http://schemas.openxmlformats.org/officeDocument/2006/custom-properties" xmlns:vt="http://schemas.openxmlformats.org/officeDocument/2006/docPropsVTypes"/>
</file>