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Yazılım Gereksinim Belirleme Dokümanı (SRS)</w:t>
      </w:r>
    </w:p>
    <w:p>
      <w:pPr>
        <w:spacing w:after="240"/>
      </w:pPr>
      <w:r>
        <w:rPr>
          <w:b/>
          <w:bCs/>
          <w:sz w:val="24"/>
          <w:szCs w:val="24"/>
        </w:rPr>
        <w:t xml:space="preserve">Proje Başlığı: EPİAŞ Gün Öncesi Piyasası (PTF) Fiyat Tahmini ve Enerji Trading Karar Destek Terminali</w:t>
      </w:r>
    </w:p>
    <w:p>
      <w:pPr>
        <w:spacing w:after="160"/>
      </w:pPr>
      <w:r>
        <w:t xml:space="preserve">Doküman Standardı: IEEE 830 / ISO/IEC/IEEE 29148 Referanslı Yazılım İsterleri Şartnamesi</w:t>
      </w:r>
    </w:p>
    <w:p>
      <w:pPr>
        <w:spacing w:after="160"/>
      </w:pPr>
      <w:r>
        <w:t xml:space="preserve">Proje Türü: 4 Haftalık Mühendislik Stajı Uygulama Portföyü</w:t>
      </w:r>
    </w:p>
    <w:p>
      <w:pPr>
        <w:spacing w:after="160"/>
      </w:pPr>
      <w:r>
        <w:t xml:space="preserve">Sürüm: 1.0</w:t>
      </w:r>
    </w:p>
    <w:p>
      <w:pPr>
        <w:spacing w:after="160"/>
      </w:pPr>
      <w:r>
        <w:t xml:space="preserve">Tarih: Eylül 2026</w:t>
      </w:r>
    </w:p>
    <w:p>
      <w:pPr>
        <w:pBdr>
          <w:top w:val="single" w:color="D1D5DB" w:sz="6"/>
          <w:bottom w:val="single" w:color="D1D5DB" w:sz="6"/>
        </w:pBdr>
        <w:spacing w:after="200" w:before="200"/>
      </w:pPr>
    </w:p>
    <w:p>
      <w:pPr>
        <w:pStyle w:val="Heading2"/>
        <w:spacing w:after="120" w:before="240"/>
      </w:pPr>
      <w:r>
        <w:t xml:space="preserve">Mühendislik Notu ve 1. Hafta Kapsamı</w:t>
      </w:r>
    </w:p>
    <w:p>
      <w:pPr>
        <w:spacing w:after="160"/>
      </w:pPr>
      <w:r>
        <w:t xml:space="preserve">Stajın ilk haftası tamamen proje çerçevesinin çizilmesine, EPİAŞ enerji piyasası regülasyonlarının ve piyasa takas mekanizmalarının incelenmesine, teknik fizibiliteye ve bu detaylı SRS dokümanının IEEE 830 standartlarında hazırlanmasına ayrılmıştır. Geriye kalan 3 haftalık sürede ise sırasıyla veri boru hattı (ETL) ile öznitelik mühendisliği, makine öğrenmesi modelleme çalışmaları ve Streamlit tabanlı analitik operasyon panelinin geliştirilerek buluta canlıya alınması gerçekleştirilecektir.</w:t>
      </w:r>
    </w:p>
    <w:p>
      <w:pPr>
        <w:pStyle w:val="Heading1"/>
        <w:spacing w:after="160" w:before="320"/>
      </w:pPr>
      <w:r>
        <w:t xml:space="preserve">1. Giriş ve Proje Vizyonu</w:t>
      </w:r>
    </w:p>
    <w:p>
      <w:pPr>
        <w:pStyle w:val="Heading2"/>
        <w:spacing w:after="120" w:before="240"/>
      </w:pPr>
      <w:r>
        <w:t xml:space="preserve">1.1 Amaç ve Kapsam</w:t>
      </w:r>
    </w:p>
    <w:p>
      <w:pPr>
        <w:spacing w:after="160"/>
      </w:pPr>
      <w:r>
        <w:t xml:space="preserve">Bu belgenin temel amacı, EPİAŞ Gün Öncesi Piyasası (GÖP) için geliştirilecek olan "Yapay Zeka Tabanlı Fiyat Tahmin ve Enerji Trading Karar Destek Platformu" projesinin tüm fonksiyonel, operasyonel ve mimari isterlerini net bir dille ortaya koymaktır. Sistem; kamuya açık EPİAŞ verilerini otomatik olarak çekip işleyen, CatBoost/LightGBM tabanlı zaman serisi modelleriyle bir sonraki günün 24 saatlik Piyasa Takas Fiyatını (PTF) öngören ve bu tahminleri piyasa katılımcılarının risklerini yönetebileceği finansal bir simülasyon paneliyle sunan uçtan uca bir web ürünüdür.</w:t>
      </w:r>
    </w:p>
    <w:p>
      <w:pPr>
        <w:pStyle w:val="Heading2"/>
        <w:spacing w:after="120" w:before="240"/>
      </w:pPr>
      <w:r>
        <w:t xml:space="preserve">1.2 Kurumsal Değer ve Krizma Uyumu</w:t>
      </w:r>
    </w:p>
    <w:p>
      <w:pPr>
        <w:spacing w:after="160"/>
      </w:pPr>
      <w:r>
        <w:t xml:space="preserve">Krizma Yazılım'ın TANAP COMS gibi stratejik altyapı projelerinde yürüttüğü iletim, kapasite tahsisi, ticari uzlaştırma ve enerji dengeleme uzmanlığı göz önüne alındığında; elektrik toptan piyasası ile doğal gaz santralleri arasındaki marjinal maliyet ilişkisini modelleyen bu çalışma doğrudan sektörel bir analitik karar destek aracı niteliğindedir. Şirketin ticari gizlilik ve veri güvenliği standartlarını tam korumak amacıyla müşteriye özel hiçbir ağ veya kod tabanı kullanılmayacak; regüle ve şeffaf kamu verileri üzerinden bağımsız bir mühendislik ürünü ortaya konacaktır.</w:t>
      </w:r>
    </w:p>
    <w:p>
      <w:pPr>
        <w:pStyle w:val="Heading2"/>
        <w:spacing w:after="120" w:before="240"/>
      </w:pPr>
      <w:r>
        <w:t xml:space="preserve">1.3 Terimler ve Kısaltmalar Sözlüğü</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7100"/>
      </w:tblGrid>
      <w:tr>
        <w:trPr>
          <w:tblHeader/>
        </w:trPr>
        <w:tc>
          <w:tcPr>
            <w:tcW w:type="dxa" w:w="1800"/>
            <w:shd w:fill="1F2937" w:color="auto" w:val="clear"/>
            <w:tcMar>
              <w:top w:type="dxa" w:w="100"/>
              <w:left w:type="dxa" w:w="120"/>
              <w:bottom w:type="dxa" w:w="100"/>
              <w:right w:type="dxa" w:w="120"/>
            </w:tcMar>
            <w:vAlign w:val="center"/>
          </w:tcPr>
          <w:p>
            <w:pPr>
              <w:jc w:val="left"/>
            </w:pPr>
            <w:r>
              <w:rPr>
                <w:b/>
                <w:bCs/>
              </w:rPr>
              <w:t xml:space="preserve">Terim / Kısaltma</w:t>
            </w:r>
          </w:p>
        </w:tc>
        <w:tc>
          <w:tcPr>
            <w:tcW w:type="dxa" w:w="7100"/>
            <w:shd w:fill="1F2937" w:color="auto" w:val="clear"/>
            <w:tcMar>
              <w:top w:type="dxa" w:w="100"/>
              <w:left w:type="dxa" w:w="120"/>
              <w:bottom w:type="dxa" w:w="100"/>
              <w:right w:type="dxa" w:w="120"/>
            </w:tcMar>
            <w:vAlign w:val="center"/>
          </w:tcPr>
          <w:p>
            <w:pPr>
              <w:jc w:val="left"/>
            </w:pPr>
            <w:r>
              <w:rPr>
                <w:b/>
                <w:bCs/>
              </w:rPr>
              <w:t xml:space="preserve">Mühendislik Açıklaması</w:t>
            </w:r>
          </w:p>
        </w:tc>
      </w:tr>
      <w:tr>
        <w:tc>
          <w:tcPr>
            <w:tcW w:type="dxa" w:w="1800"/>
            <w:tcMar>
              <w:top w:type="dxa" w:w="100"/>
              <w:left w:type="dxa" w:w="120"/>
              <w:bottom w:type="dxa" w:w="100"/>
              <w:right w:type="dxa" w:w="120"/>
            </w:tcMar>
            <w:vAlign w:val="center"/>
          </w:tcPr>
          <w:p>
            <w:pPr>
              <w:jc w:val="left"/>
            </w:pPr>
            <w:r>
              <w:rPr>
                <w:b w:val="false"/>
                <w:bCs w:val="false"/>
              </w:rPr>
              <w:t xml:space="preserve">SRS</w:t>
            </w:r>
          </w:p>
        </w:tc>
        <w:tc>
          <w:tcPr>
            <w:tcW w:type="dxa" w:w="7100"/>
            <w:tcMar>
              <w:top w:type="dxa" w:w="100"/>
              <w:left w:type="dxa" w:w="120"/>
              <w:bottom w:type="dxa" w:w="100"/>
              <w:right w:type="dxa" w:w="120"/>
            </w:tcMar>
            <w:vAlign w:val="center"/>
          </w:tcPr>
          <w:p>
            <w:pPr>
              <w:jc w:val="left"/>
            </w:pPr>
            <w:r>
              <w:rPr>
                <w:b w:val="false"/>
                <w:bCs w:val="false"/>
              </w:rPr>
              <w:t xml:space="preserve">Software Requirements Specification (Yazılım Gereksinim Belirleme Dokümanı).</w:t>
            </w:r>
          </w:p>
        </w:tc>
      </w:tr>
      <w:tr>
        <w:tc>
          <w:tcPr>
            <w:tcW w:type="dxa" w:w="1800"/>
            <w:shd w:fill="F3F4F6" w:color="auto" w:val="clear"/>
            <w:tcMar>
              <w:top w:type="dxa" w:w="100"/>
              <w:left w:type="dxa" w:w="120"/>
              <w:bottom w:type="dxa" w:w="100"/>
              <w:right w:type="dxa" w:w="120"/>
            </w:tcMar>
            <w:vAlign w:val="center"/>
          </w:tcPr>
          <w:p>
            <w:pPr>
              <w:jc w:val="left"/>
            </w:pPr>
            <w:r>
              <w:rPr>
                <w:b w:val="false"/>
                <w:bCs w:val="false"/>
              </w:rPr>
              <w:t xml:space="preserve">EPİAŞ</w:t>
            </w:r>
          </w:p>
        </w:tc>
        <w:tc>
          <w:tcPr>
            <w:tcW w:type="dxa" w:w="7100"/>
            <w:shd w:fill="F3F4F6" w:color="auto" w:val="clear"/>
            <w:tcMar>
              <w:top w:type="dxa" w:w="100"/>
              <w:left w:type="dxa" w:w="120"/>
              <w:bottom w:type="dxa" w:w="100"/>
              <w:right w:type="dxa" w:w="120"/>
            </w:tcMar>
            <w:vAlign w:val="center"/>
          </w:tcPr>
          <w:p>
            <w:pPr>
              <w:jc w:val="left"/>
            </w:pPr>
            <w:r>
              <w:rPr>
                <w:b w:val="false"/>
                <w:bCs w:val="false"/>
              </w:rPr>
              <w:t xml:space="preserve">Enerji Piyasaları İşletme Anonim Şirketi.</w:t>
            </w:r>
          </w:p>
        </w:tc>
      </w:tr>
      <w:tr>
        <w:tc>
          <w:tcPr>
            <w:tcW w:type="dxa" w:w="1800"/>
            <w:tcMar>
              <w:top w:type="dxa" w:w="100"/>
              <w:left w:type="dxa" w:w="120"/>
              <w:bottom w:type="dxa" w:w="100"/>
              <w:right w:type="dxa" w:w="120"/>
            </w:tcMar>
            <w:vAlign w:val="center"/>
          </w:tcPr>
          <w:p>
            <w:pPr>
              <w:jc w:val="left"/>
            </w:pPr>
            <w:r>
              <w:rPr>
                <w:b w:val="false"/>
                <w:bCs w:val="false"/>
              </w:rPr>
              <w:t xml:space="preserve">GÖP</w:t>
            </w:r>
          </w:p>
        </w:tc>
        <w:tc>
          <w:tcPr>
            <w:tcW w:type="dxa" w:w="7100"/>
            <w:tcMar>
              <w:top w:type="dxa" w:w="100"/>
              <w:left w:type="dxa" w:w="120"/>
              <w:bottom w:type="dxa" w:w="100"/>
              <w:right w:type="dxa" w:w="120"/>
            </w:tcMar>
            <w:vAlign w:val="center"/>
          </w:tcPr>
          <w:p>
            <w:pPr>
              <w:jc w:val="left"/>
            </w:pPr>
            <w:r>
              <w:rPr>
                <w:b w:val="false"/>
                <w:bCs w:val="false"/>
              </w:rPr>
              <w:t xml:space="preserve">Gün Öncesi Piyasası (elektrik enerjisinin bir gün sonrası için saatlik bazda alınıp satıldığı toptan piyasa).</w:t>
            </w:r>
          </w:p>
        </w:tc>
      </w:tr>
      <w:tr>
        <w:tc>
          <w:tcPr>
            <w:tcW w:type="dxa" w:w="1800"/>
            <w:shd w:fill="F3F4F6" w:color="auto" w:val="clear"/>
            <w:tcMar>
              <w:top w:type="dxa" w:w="100"/>
              <w:left w:type="dxa" w:w="120"/>
              <w:bottom w:type="dxa" w:w="100"/>
              <w:right w:type="dxa" w:w="120"/>
            </w:tcMar>
            <w:vAlign w:val="center"/>
          </w:tcPr>
          <w:p>
            <w:pPr>
              <w:jc w:val="left"/>
            </w:pPr>
            <w:r>
              <w:rPr>
                <w:b w:val="false"/>
                <w:bCs w:val="false"/>
              </w:rPr>
              <w:t xml:space="preserve">PTF</w:t>
            </w:r>
          </w:p>
        </w:tc>
        <w:tc>
          <w:tcPr>
            <w:tcW w:type="dxa" w:w="7100"/>
            <w:shd w:fill="F3F4F6" w:color="auto" w:val="clear"/>
            <w:tcMar>
              <w:top w:type="dxa" w:w="100"/>
              <w:left w:type="dxa" w:w="120"/>
              <w:bottom w:type="dxa" w:w="100"/>
              <w:right w:type="dxa" w:w="120"/>
            </w:tcMar>
            <w:vAlign w:val="center"/>
          </w:tcPr>
          <w:p>
            <w:pPr>
              <w:jc w:val="left"/>
            </w:pPr>
            <w:r>
              <w:rPr>
                <w:b w:val="false"/>
                <w:bCs w:val="false"/>
              </w:rPr>
              <w:t xml:space="preserve">Piyasa Takas Fiyatı (TL/MWh cinsinden arz ve talebin kesiştiği referans saatlik elektrik fiyatı).</w:t>
            </w:r>
          </w:p>
        </w:tc>
      </w:tr>
      <w:tr>
        <w:tc>
          <w:tcPr>
            <w:tcW w:type="dxa" w:w="1800"/>
            <w:tcMar>
              <w:top w:type="dxa" w:w="100"/>
              <w:left w:type="dxa" w:w="120"/>
              <w:bottom w:type="dxa" w:w="100"/>
              <w:right w:type="dxa" w:w="120"/>
            </w:tcMar>
            <w:vAlign w:val="center"/>
          </w:tcPr>
          <w:p>
            <w:pPr>
              <w:jc w:val="left"/>
            </w:pPr>
            <w:r>
              <w:rPr>
                <w:b w:val="false"/>
                <w:bCs w:val="false"/>
              </w:rPr>
              <w:t xml:space="preserve">SMF</w:t>
            </w:r>
          </w:p>
        </w:tc>
        <w:tc>
          <w:tcPr>
            <w:tcW w:type="dxa" w:w="7100"/>
            <w:tcMar>
              <w:top w:type="dxa" w:w="100"/>
              <w:left w:type="dxa" w:w="120"/>
              <w:bottom w:type="dxa" w:w="100"/>
              <w:right w:type="dxa" w:w="120"/>
            </w:tcMar>
            <w:vAlign w:val="center"/>
          </w:tcPr>
          <w:p>
            <w:pPr>
              <w:jc w:val="left"/>
            </w:pPr>
            <w:r>
              <w:rPr>
                <w:b w:val="false"/>
                <w:bCs w:val="false"/>
              </w:rPr>
              <w:t xml:space="preserve">Sistem Marjinal Fiyatı (Dengeleme Güç Piyasası'nda anlık sistem yönüne göre oluşan uzlaştırma fiyatı).</w:t>
            </w:r>
          </w:p>
        </w:tc>
      </w:tr>
      <w:tr>
        <w:tc>
          <w:tcPr>
            <w:tcW w:type="dxa" w:w="1800"/>
            <w:shd w:fill="F3F4F6" w:color="auto" w:val="clear"/>
            <w:tcMar>
              <w:top w:type="dxa" w:w="100"/>
              <w:left w:type="dxa" w:w="120"/>
              <w:bottom w:type="dxa" w:w="100"/>
              <w:right w:type="dxa" w:w="120"/>
            </w:tcMar>
            <w:vAlign w:val="center"/>
          </w:tcPr>
          <w:p>
            <w:pPr>
              <w:jc w:val="left"/>
            </w:pPr>
            <w:r>
              <w:rPr>
                <w:b w:val="false"/>
                <w:bCs w:val="false"/>
              </w:rPr>
              <w:t xml:space="preserve">KGÜP</w:t>
            </w:r>
          </w:p>
        </w:tc>
        <w:tc>
          <w:tcPr>
            <w:tcW w:type="dxa" w:w="7100"/>
            <w:shd w:fill="F3F4F6" w:color="auto" w:val="clear"/>
            <w:tcMar>
              <w:top w:type="dxa" w:w="100"/>
              <w:left w:type="dxa" w:w="120"/>
              <w:bottom w:type="dxa" w:w="100"/>
              <w:right w:type="dxa" w:w="120"/>
            </w:tcMar>
            <w:vAlign w:val="center"/>
          </w:tcPr>
          <w:p>
            <w:pPr>
              <w:jc w:val="left"/>
            </w:pPr>
            <w:r>
              <w:rPr>
                <w:b w:val="false"/>
                <w:bCs w:val="false"/>
              </w:rPr>
              <w:t xml:space="preserve">Kesinleşmiş Günlük Üretim Planı (santrallerin gün öncesinde bildirdiği saatlik üretim programı).</w:t>
            </w:r>
          </w:p>
        </w:tc>
      </w:tr>
      <w:tr>
        <w:tc>
          <w:tcPr>
            <w:tcW w:type="dxa" w:w="1800"/>
            <w:tcMar>
              <w:top w:type="dxa" w:w="100"/>
              <w:left w:type="dxa" w:w="120"/>
              <w:bottom w:type="dxa" w:w="100"/>
              <w:right w:type="dxa" w:w="120"/>
            </w:tcMar>
            <w:vAlign w:val="center"/>
          </w:tcPr>
          <w:p>
            <w:pPr>
              <w:jc w:val="left"/>
            </w:pPr>
            <w:r>
              <w:rPr>
                <w:b w:val="false"/>
                <w:bCs w:val="false"/>
              </w:rPr>
              <w:t xml:space="preserve">Spread</w:t>
            </w:r>
          </w:p>
        </w:tc>
        <w:tc>
          <w:tcPr>
            <w:tcW w:type="dxa" w:w="7100"/>
            <w:tcMar>
              <w:top w:type="dxa" w:w="100"/>
              <w:left w:type="dxa" w:w="120"/>
              <w:bottom w:type="dxa" w:w="100"/>
              <w:right w:type="dxa" w:w="120"/>
            </w:tcMar>
            <w:vAlign w:val="center"/>
          </w:tcPr>
          <w:p>
            <w:pPr>
              <w:jc w:val="left"/>
            </w:pPr>
            <w:r>
              <w:rPr>
                <w:b w:val="false"/>
                <w:bCs w:val="false"/>
              </w:rPr>
              <w:t xml:space="preserve">PTF ile SMF arasındaki fiyat farkı; enerji ticaretinde arbitraj ve risk yönetiminin temel göstergesi.</w:t>
            </w:r>
          </w:p>
        </w:tc>
      </w:tr>
      <w:tr>
        <w:tc>
          <w:tcPr>
            <w:tcW w:type="dxa" w:w="1800"/>
            <w:shd w:fill="F3F4F6" w:color="auto" w:val="clear"/>
            <w:tcMar>
              <w:top w:type="dxa" w:w="100"/>
              <w:left w:type="dxa" w:w="120"/>
              <w:bottom w:type="dxa" w:w="100"/>
              <w:right w:type="dxa" w:w="120"/>
            </w:tcMar>
            <w:vAlign w:val="center"/>
          </w:tcPr>
          <w:p>
            <w:pPr>
              <w:jc w:val="left"/>
            </w:pPr>
            <w:r>
              <w:rPr>
                <w:b w:val="false"/>
                <w:bCs w:val="false"/>
              </w:rPr>
              <w:t xml:space="preserve">eptr2</w:t>
            </w:r>
          </w:p>
        </w:tc>
        <w:tc>
          <w:tcPr>
            <w:tcW w:type="dxa" w:w="7100"/>
            <w:shd w:fill="F3F4F6" w:color="auto" w:val="clear"/>
            <w:tcMar>
              <w:top w:type="dxa" w:w="100"/>
              <w:left w:type="dxa" w:w="120"/>
              <w:bottom w:type="dxa" w:w="100"/>
              <w:right w:type="dxa" w:w="120"/>
            </w:tcMar>
            <w:vAlign w:val="center"/>
          </w:tcPr>
          <w:p>
            <w:pPr>
              <w:jc w:val="left"/>
            </w:pPr>
            <w:r>
              <w:rPr>
                <w:b w:val="false"/>
                <w:bCs w:val="false"/>
              </w:rPr>
              <w:t xml:space="preserve">EPİAŞ Şeffaflık 2.0 API'si üzerinden veri çekmek için optimize edilmiş açık kaynak Python istemcisi.</w:t>
            </w:r>
          </w:p>
        </w:tc>
      </w:tr>
      <w:tr>
        <w:tc>
          <w:tcPr>
            <w:tcW w:type="dxa" w:w="1800"/>
            <w:tcMar>
              <w:top w:type="dxa" w:w="100"/>
              <w:left w:type="dxa" w:w="120"/>
              <w:bottom w:type="dxa" w:w="100"/>
              <w:right w:type="dxa" w:w="120"/>
            </w:tcMar>
            <w:vAlign w:val="center"/>
          </w:tcPr>
          <w:p>
            <w:pPr>
              <w:jc w:val="left"/>
            </w:pPr>
            <w:r>
              <w:rPr>
                <w:b w:val="false"/>
                <w:bCs w:val="false"/>
              </w:rPr>
              <w:t xml:space="preserve">P&amp;L</w:t>
            </w:r>
          </w:p>
        </w:tc>
        <w:tc>
          <w:tcPr>
            <w:tcW w:type="dxa" w:w="7100"/>
            <w:tcMar>
              <w:top w:type="dxa" w:w="100"/>
              <w:left w:type="dxa" w:w="120"/>
              <w:bottom w:type="dxa" w:w="100"/>
              <w:right w:type="dxa" w:w="120"/>
            </w:tcMar>
            <w:vAlign w:val="center"/>
          </w:tcPr>
          <w:p>
            <w:pPr>
              <w:jc w:val="left"/>
            </w:pPr>
            <w:r>
              <w:rPr>
                <w:b w:val="false"/>
                <w:bCs w:val="false"/>
              </w:rPr>
              <w:t xml:space="preserve">Profit and Loss (kurgusal alım-satım stratejilerinin getiri ve risk kâr/zarar profili).</w:t>
            </w:r>
          </w:p>
        </w:tc>
      </w:tr>
      <w:tr>
        <w:tc>
          <w:tcPr>
            <w:tcW w:type="dxa" w:w="1800"/>
            <w:shd w:fill="F3F4F6" w:color="auto" w:val="clear"/>
            <w:tcMar>
              <w:top w:type="dxa" w:w="100"/>
              <w:left w:type="dxa" w:w="120"/>
              <w:bottom w:type="dxa" w:w="100"/>
              <w:right w:type="dxa" w:w="120"/>
            </w:tcMar>
            <w:vAlign w:val="center"/>
          </w:tcPr>
          <w:p>
            <w:pPr>
              <w:jc w:val="left"/>
            </w:pPr>
            <w:r>
              <w:rPr>
                <w:b w:val="false"/>
                <w:bCs w:val="false"/>
              </w:rPr>
              <w:t xml:space="preserve">MAPE / RMSE</w:t>
            </w:r>
          </w:p>
        </w:tc>
        <w:tc>
          <w:tcPr>
            <w:tcW w:type="dxa" w:w="7100"/>
            <w:shd w:fill="F3F4F6" w:color="auto" w:val="clear"/>
            <w:tcMar>
              <w:top w:type="dxa" w:w="100"/>
              <w:left w:type="dxa" w:w="120"/>
              <w:bottom w:type="dxa" w:w="100"/>
              <w:right w:type="dxa" w:w="120"/>
            </w:tcMar>
            <w:vAlign w:val="center"/>
          </w:tcPr>
          <w:p>
            <w:pPr>
              <w:jc w:val="left"/>
            </w:pPr>
            <w:r>
              <w:rPr>
                <w:b w:val="false"/>
                <w:bCs w:val="false"/>
              </w:rPr>
              <w:t xml:space="preserve">Model doğruluk değerlendirmesinde kullanılan Ortalama Mutlak Yüzde Hata ve Kök Ortalama Kare Hata metrikleri.</w:t>
            </w:r>
          </w:p>
        </w:tc>
      </w:tr>
    </w:tbl>
    <w:p>
      <w:pPr>
        <w:pStyle w:val="Heading1"/>
        <w:spacing w:after="160" w:before="320"/>
      </w:pPr>
      <w:r>
        <w:t xml:space="preserve">2. Genel Sistem Mimarisi ve Tasarım Kısıtları</w:t>
      </w:r>
    </w:p>
    <w:p>
      <w:pPr>
        <w:pStyle w:val="Heading2"/>
        <w:spacing w:after="120" w:before="240"/>
      </w:pPr>
      <w:r>
        <w:t xml:space="preserve">2.1 Üç Katmanlı (3-Tier) Sistem Mimarisi</w:t>
      </w:r>
    </w:p>
    <w:p>
      <w:pPr>
        <w:spacing w:after="160"/>
      </w:pPr>
      <w:r>
        <w:t xml:space="preserve">Uygulama, kodun okunabilirliğini ve bakım kolaylığını sağlamak üzere birbirinden bağımsız üç ana katman halinde inşa edilecektir:</w:t>
      </w:r>
    </w:p>
    <w:p>
      <w:pPr>
        <w:spacing w:after="120"/>
      </w:pPr>
      <w:r>
        <w:rPr>
          <w:b/>
          <w:bCs/>
        </w:rPr>
        <w:t xml:space="preserve">1. Veri ve ETL Katmanı: </w:t>
      </w:r>
      <w:r>
        <w:t xml:space="preserve">eptr2 kütüphanesi aracılığıyla EPİAŞ REST API uç noktalarına bağlanarak geçmiş saatlik PTF, SMF, KGÜP ve üretim karması verilerini çeken, zaman damgalarını yerel saat dilimine göre hizalayan ve eksik verileri enterpolasyonla temizleyen katman.</w:t>
      </w:r>
    </w:p>
    <w:p>
      <w:pPr>
        <w:spacing w:after="120"/>
      </w:pPr>
      <w:r>
        <w:rPr>
          <w:b/>
          <w:bCs/>
        </w:rPr>
        <w:t xml:space="preserve">2. Analitik Modelleme ve Çıkarım (Inference) Katmanı: </w:t>
      </w:r>
      <w:r>
        <w:t xml:space="preserve">Zaman serisindeki otokorelasyon dinamiklerini yakalamak için gecikme (lag) ve yuvarlanan (rolling) istatistikleri üreten, eğitilmiş CatBoost/LightGBM modelleriyle anlık tahmin üreten katman.</w:t>
      </w:r>
    </w:p>
    <w:p>
      <w:pPr>
        <w:spacing w:after="160"/>
      </w:pPr>
      <w:r>
        <w:rPr>
          <w:b/>
          <w:bCs/>
        </w:rPr>
        <w:t xml:space="preserve">3. Sunum ve Operasyon Katmanı: </w:t>
      </w:r>
      <w:r>
        <w:t xml:space="preserve">Streamlit ve Plotly motorlarıyla inşa edilen, kullanıcıya finansal terminal disiplininde koyu tema üzerinden veri filtreleme, grafik analizi ve strateji simülasyonu sağlayan kullanıcı arayüzü.</w:t>
      </w:r>
    </w:p>
    <w:p>
      <w:pPr>
        <w:pStyle w:val="Heading2"/>
        <w:spacing w:after="120" w:before="240"/>
      </w:pPr>
      <w:r>
        <w:t xml:space="preserve">2.2 Gerçekçi Mühendislik Kısıtları</w:t>
      </w:r>
    </w:p>
    <w:p>
      <w:pPr>
        <w:pStyle w:val="ListParagraph"/>
        <w:numPr>
          <w:ilvl w:val="0"/>
          <w:numId w:val="1"/>
        </w:numPr>
        <w:spacing w:after="80"/>
      </w:pPr>
      <w:r>
        <w:t xml:space="preserve">Süre Kısıtı: 1. hafta SRS ve analiz ile tamamlanmış olup, kalan 3 hafta içinde ETL, model ve web arayüzünün eksiksiz çalışır hale getirilmesi şarttır.</w:t>
      </w:r>
    </w:p>
    <w:p>
      <w:pPr>
        <w:pStyle w:val="ListParagraph"/>
        <w:numPr>
          <w:ilvl w:val="0"/>
          <w:numId w:val="1"/>
        </w:numPr>
        <w:spacing w:after="80"/>
      </w:pPr>
      <w:r>
        <w:t xml:space="preserve">Donanım ve Hesaplama Gücü: Büyük ölçekli GPU sunucularına bağımlı kalmamak adına, CPU üzerinde 2-3 dakika içinde eğitilebilen ve 500 ms altında çıkarım yapabilen Gradient Boosted Decision Tree (GBDT) mimarileri kullanılacaktır.</w:t>
      </w:r>
    </w:p>
    <w:p>
      <w:pPr>
        <w:pStyle w:val="ListParagraph"/>
        <w:numPr>
          <w:ilvl w:val="0"/>
          <w:numId w:val="1"/>
        </w:numPr>
        <w:spacing w:after="80"/>
      </w:pPr>
      <w:r>
        <w:t xml:space="preserve">Sıfır Lisans Maliyeti: Veri tabanı ve dağıtım mimarisi dahil olmak üzere tamamen açık kaynak kütüphaneler ve Streamlit Community Cloud gibi ücretsiz barındırma altyapıları tercih edilecektir.</w:t>
      </w:r>
    </w:p>
    <w:p>
      <w:pPr>
        <w:pStyle w:val="Heading1"/>
        <w:spacing w:after="160" w:before="320"/>
      </w:pPr>
      <w:r>
        <w:t xml:space="preserve">3. Fonksiyonel Gereksinimler (Functional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5100"/>
        <w:gridCol w:w="1300"/>
      </w:tblGrid>
      <w:tr>
        <w:trPr>
          <w:tblHeader/>
        </w:trPr>
        <w:tc>
          <w:tcPr>
            <w:tcW w:type="dxa" w:w="900"/>
            <w:shd w:fill="1F2937" w:color="auto" w:val="clear"/>
            <w:tcMar>
              <w:top w:type="dxa" w:w="100"/>
              <w:left w:type="dxa" w:w="120"/>
              <w:bottom w:type="dxa" w:w="100"/>
              <w:right w:type="dxa" w:w="120"/>
            </w:tcMar>
            <w:vAlign w:val="center"/>
          </w:tcPr>
          <w:p>
            <w:pPr>
              <w:jc w:val="left"/>
            </w:pPr>
            <w:r>
              <w:rPr>
                <w:b/>
                <w:bCs/>
              </w:rPr>
              <w:t xml:space="preserve">No</w:t>
            </w:r>
          </w:p>
        </w:tc>
        <w:tc>
          <w:tcPr>
            <w:tcW w:type="dxa" w:w="1600"/>
            <w:shd w:fill="1F2937" w:color="auto" w:val="clear"/>
            <w:tcMar>
              <w:top w:type="dxa" w:w="100"/>
              <w:left w:type="dxa" w:w="120"/>
              <w:bottom w:type="dxa" w:w="100"/>
              <w:right w:type="dxa" w:w="120"/>
            </w:tcMar>
            <w:vAlign w:val="center"/>
          </w:tcPr>
          <w:p>
            <w:pPr>
              <w:jc w:val="left"/>
            </w:pPr>
            <w:r>
              <w:rPr>
                <w:b/>
                <w:bCs/>
              </w:rPr>
              <w:t xml:space="preserve">İlgili Modül</w:t>
            </w:r>
          </w:p>
        </w:tc>
        <w:tc>
          <w:tcPr>
            <w:tcW w:type="dxa" w:w="5100"/>
            <w:shd w:fill="1F2937" w:color="auto" w:val="clear"/>
            <w:tcMar>
              <w:top w:type="dxa" w:w="100"/>
              <w:left w:type="dxa" w:w="120"/>
              <w:bottom w:type="dxa" w:w="100"/>
              <w:right w:type="dxa" w:w="120"/>
            </w:tcMar>
            <w:vAlign w:val="center"/>
          </w:tcPr>
          <w:p>
            <w:pPr>
              <w:jc w:val="left"/>
            </w:pPr>
            <w:r>
              <w:rPr>
                <w:b/>
                <w:bCs/>
              </w:rPr>
              <w:t xml:space="preserve">Fonksiyonel Tanım ve İş Mantığı</w:t>
            </w:r>
          </w:p>
        </w:tc>
        <w:tc>
          <w:tcPr>
            <w:tcW w:type="dxa" w:w="1300"/>
            <w:shd w:fill="1F2937" w:color="auto" w:val="clear"/>
            <w:tcMar>
              <w:top w:type="dxa" w:w="100"/>
              <w:left w:type="dxa" w:w="120"/>
              <w:bottom w:type="dxa" w:w="100"/>
              <w:right w:type="dxa" w:w="120"/>
            </w:tcMar>
            <w:vAlign w:val="center"/>
          </w:tcPr>
          <w:p>
            <w:pPr>
              <w:jc w:val="left"/>
            </w:pPr>
            <w:r>
              <w:rPr>
                <w:b/>
                <w:bCs/>
              </w:rPr>
              <w:t xml:space="preserve">Öncelik</w:t>
            </w:r>
          </w:p>
        </w:tc>
      </w:tr>
      <w:tr>
        <w:tc>
          <w:tcPr>
            <w:tcW w:type="dxa" w:w="900"/>
            <w:tcMar>
              <w:top w:type="dxa" w:w="100"/>
              <w:left w:type="dxa" w:w="120"/>
              <w:bottom w:type="dxa" w:w="100"/>
              <w:right w:type="dxa" w:w="120"/>
            </w:tcMar>
            <w:vAlign w:val="center"/>
          </w:tcPr>
          <w:p>
            <w:pPr>
              <w:jc w:val="left"/>
            </w:pPr>
            <w:r>
              <w:rPr>
                <w:b w:val="false"/>
                <w:bCs w:val="false"/>
              </w:rPr>
              <w:t xml:space="preserve">FR-01</w:t>
            </w:r>
          </w:p>
        </w:tc>
        <w:tc>
          <w:tcPr>
            <w:tcW w:type="dxa" w:w="1600"/>
            <w:tcMar>
              <w:top w:type="dxa" w:w="100"/>
              <w:left w:type="dxa" w:w="120"/>
              <w:bottom w:type="dxa" w:w="100"/>
              <w:right w:type="dxa" w:w="120"/>
            </w:tcMar>
            <w:vAlign w:val="center"/>
          </w:tcPr>
          <w:p>
            <w:pPr>
              <w:jc w:val="left"/>
            </w:pPr>
            <w:r>
              <w:rPr>
                <w:b w:val="false"/>
                <w:bCs w:val="false"/>
              </w:rPr>
              <w:t xml:space="preserve">Veri Çekme &amp; ETL</w:t>
            </w:r>
          </w:p>
        </w:tc>
        <w:tc>
          <w:tcPr>
            <w:tcW w:type="dxa" w:w="5100"/>
            <w:tcMar>
              <w:top w:type="dxa" w:w="100"/>
              <w:left w:type="dxa" w:w="120"/>
              <w:bottom w:type="dxa" w:w="100"/>
              <w:right w:type="dxa" w:w="120"/>
            </w:tcMar>
            <w:vAlign w:val="center"/>
          </w:tcPr>
          <w:p>
            <w:pPr>
              <w:jc w:val="left"/>
            </w:pPr>
            <w:r>
              <w:rPr>
                <w:b w:val="false"/>
                <w:bCs w:val="false"/>
              </w:rPr>
              <w:t xml:space="preserve">Sistem, eptr2 istemcisini kullanarak EPİAŞ API'sinden son 2 yılın saatlik PTF, SMF ve KGÜP serilerini çekebilmeli ve yerel Parquet/CSV dosyalarında önbelleğe alabilmelidir.</w:t>
            </w:r>
          </w:p>
        </w:tc>
        <w:tc>
          <w:tcPr>
            <w:tcW w:type="dxa" w:w="1300"/>
            <w:tcMar>
              <w:top w:type="dxa" w:w="100"/>
              <w:left w:type="dxa" w:w="120"/>
              <w:bottom w:type="dxa" w:w="100"/>
              <w:right w:type="dxa" w:w="120"/>
            </w:tcMar>
            <w:vAlign w:val="center"/>
          </w:tcPr>
          <w:p>
            <w:pPr>
              <w:jc w:val="left"/>
            </w:pPr>
            <w:r>
              <w:rPr>
                <w:b w:val="false"/>
                <w:bCs w:val="false"/>
              </w:rPr>
              <w:t xml:space="preserve">Kritik (P0)</w:t>
            </w:r>
          </w:p>
        </w:tc>
      </w:tr>
      <w:tr>
        <w:tc>
          <w:tcPr>
            <w:tcW w:type="dxa" w:w="900"/>
            <w:shd w:fill="F3F4F6" w:color="auto" w:val="clear"/>
            <w:tcMar>
              <w:top w:type="dxa" w:w="100"/>
              <w:left w:type="dxa" w:w="120"/>
              <w:bottom w:type="dxa" w:w="100"/>
              <w:right w:type="dxa" w:w="120"/>
            </w:tcMar>
            <w:vAlign w:val="center"/>
          </w:tcPr>
          <w:p>
            <w:pPr>
              <w:jc w:val="left"/>
            </w:pPr>
            <w:r>
              <w:rPr>
                <w:b w:val="false"/>
                <w:bCs w:val="false"/>
              </w:rPr>
              <w:t xml:space="preserve">FR-02</w:t>
            </w:r>
          </w:p>
        </w:tc>
        <w:tc>
          <w:tcPr>
            <w:tcW w:type="dxa" w:w="1600"/>
            <w:shd w:fill="F3F4F6" w:color="auto" w:val="clear"/>
            <w:tcMar>
              <w:top w:type="dxa" w:w="100"/>
              <w:left w:type="dxa" w:w="120"/>
              <w:bottom w:type="dxa" w:w="100"/>
              <w:right w:type="dxa" w:w="120"/>
            </w:tcMar>
            <w:vAlign w:val="center"/>
          </w:tcPr>
          <w:p>
            <w:pPr>
              <w:jc w:val="left"/>
            </w:pPr>
            <w:r>
              <w:rPr>
                <w:b w:val="false"/>
                <w:bCs w:val="false"/>
              </w:rPr>
              <w:t xml:space="preserve">Öznitelik Mühendisliği</w:t>
            </w:r>
          </w:p>
        </w:tc>
        <w:tc>
          <w:tcPr>
            <w:tcW w:type="dxa" w:w="5100"/>
            <w:shd w:fill="F3F4F6" w:color="auto" w:val="clear"/>
            <w:tcMar>
              <w:top w:type="dxa" w:w="100"/>
              <w:left w:type="dxa" w:w="120"/>
              <w:bottom w:type="dxa" w:w="100"/>
              <w:right w:type="dxa" w:w="120"/>
            </w:tcMar>
            <w:vAlign w:val="center"/>
          </w:tcPr>
          <w:p>
            <w:pPr>
              <w:jc w:val="left"/>
            </w:pPr>
            <w:r>
              <w:rPr>
                <w:b w:val="false"/>
                <w:bCs w:val="false"/>
              </w:rPr>
              <w:t xml:space="preserve">Zaman serisi boru hattı; saatlik gecikmeler (t-1, t-24, t-48, t-168), 24 saatlik hareketli ortalamalar ile gün, ay, hafta sonu ve resmi tatil göstergelerini otomatik üretmelidir.</w:t>
            </w:r>
          </w:p>
        </w:tc>
        <w:tc>
          <w:tcPr>
            <w:tcW w:type="dxa" w:w="1300"/>
            <w:shd w:fill="F3F4F6" w:color="auto" w:val="clear"/>
            <w:tcMar>
              <w:top w:type="dxa" w:w="100"/>
              <w:left w:type="dxa" w:w="120"/>
              <w:bottom w:type="dxa" w:w="100"/>
              <w:right w:type="dxa" w:w="120"/>
            </w:tcMar>
            <w:vAlign w:val="center"/>
          </w:tcPr>
          <w:p>
            <w:pPr>
              <w:jc w:val="left"/>
            </w:pPr>
            <w:r>
              <w:rPr>
                <w:b w:val="false"/>
                <w:bCs w:val="false"/>
              </w:rPr>
              <w:t xml:space="preserve">Kritik (P0)</w:t>
            </w:r>
          </w:p>
        </w:tc>
      </w:tr>
      <w:tr>
        <w:tc>
          <w:tcPr>
            <w:tcW w:type="dxa" w:w="900"/>
            <w:tcMar>
              <w:top w:type="dxa" w:w="100"/>
              <w:left w:type="dxa" w:w="120"/>
              <w:bottom w:type="dxa" w:w="100"/>
              <w:right w:type="dxa" w:w="120"/>
            </w:tcMar>
            <w:vAlign w:val="center"/>
          </w:tcPr>
          <w:p>
            <w:pPr>
              <w:jc w:val="left"/>
            </w:pPr>
            <w:r>
              <w:rPr>
                <w:b w:val="false"/>
                <w:bCs w:val="false"/>
              </w:rPr>
              <w:t xml:space="preserve">FR-03</w:t>
            </w:r>
          </w:p>
        </w:tc>
        <w:tc>
          <w:tcPr>
            <w:tcW w:type="dxa" w:w="1600"/>
            <w:tcMar>
              <w:top w:type="dxa" w:w="100"/>
              <w:left w:type="dxa" w:w="120"/>
              <w:bottom w:type="dxa" w:w="100"/>
              <w:right w:type="dxa" w:w="120"/>
            </w:tcMar>
            <w:vAlign w:val="center"/>
          </w:tcPr>
          <w:p>
            <w:pPr>
              <w:jc w:val="left"/>
            </w:pPr>
            <w:r>
              <w:rPr>
                <w:b w:val="false"/>
                <w:bCs w:val="false"/>
              </w:rPr>
              <w:t xml:space="preserve">Fiyat Tahmin Motoru</w:t>
            </w:r>
          </w:p>
        </w:tc>
        <w:tc>
          <w:tcPr>
            <w:tcW w:type="dxa" w:w="5100"/>
            <w:tcMar>
              <w:top w:type="dxa" w:w="100"/>
              <w:left w:type="dxa" w:w="120"/>
              <w:bottom w:type="dxa" w:w="100"/>
              <w:right w:type="dxa" w:w="120"/>
            </w:tcMar>
            <w:vAlign w:val="center"/>
          </w:tcPr>
          <w:p>
            <w:pPr>
              <w:jc w:val="left"/>
            </w:pPr>
            <w:r>
              <w:rPr>
                <w:b w:val="false"/>
                <w:bCs w:val="false"/>
              </w:rPr>
              <w:t xml:space="preserve">Model motoru, yarının 24 saatlik PTF fiyat profilini tahmin etmeli; zaman serisi doğrulamasını zamansal sırayı bozmayan Walk-Forward (TimeSeriesSplit) yöntemiyle yapmalıdır.</w:t>
            </w:r>
          </w:p>
        </w:tc>
        <w:tc>
          <w:tcPr>
            <w:tcW w:type="dxa" w:w="1300"/>
            <w:tcMar>
              <w:top w:type="dxa" w:w="100"/>
              <w:left w:type="dxa" w:w="120"/>
              <w:bottom w:type="dxa" w:w="100"/>
              <w:right w:type="dxa" w:w="120"/>
            </w:tcMar>
            <w:vAlign w:val="center"/>
          </w:tcPr>
          <w:p>
            <w:pPr>
              <w:jc w:val="left"/>
            </w:pPr>
            <w:r>
              <w:rPr>
                <w:b w:val="false"/>
                <w:bCs w:val="false"/>
              </w:rPr>
              <w:t xml:space="preserve">Kritik (P0)</w:t>
            </w:r>
          </w:p>
        </w:tc>
      </w:tr>
      <w:tr>
        <w:tc>
          <w:tcPr>
            <w:tcW w:type="dxa" w:w="900"/>
            <w:shd w:fill="F3F4F6" w:color="auto" w:val="clear"/>
            <w:tcMar>
              <w:top w:type="dxa" w:w="100"/>
              <w:left w:type="dxa" w:w="120"/>
              <w:bottom w:type="dxa" w:w="100"/>
              <w:right w:type="dxa" w:w="120"/>
            </w:tcMar>
            <w:vAlign w:val="center"/>
          </w:tcPr>
          <w:p>
            <w:pPr>
              <w:jc w:val="left"/>
            </w:pPr>
            <w:r>
              <w:rPr>
                <w:b w:val="false"/>
                <w:bCs w:val="false"/>
              </w:rPr>
              <w:t xml:space="preserve">FR-04</w:t>
            </w:r>
          </w:p>
        </w:tc>
        <w:tc>
          <w:tcPr>
            <w:tcW w:type="dxa" w:w="1600"/>
            <w:shd w:fill="F3F4F6" w:color="auto" w:val="clear"/>
            <w:tcMar>
              <w:top w:type="dxa" w:w="100"/>
              <w:left w:type="dxa" w:w="120"/>
              <w:bottom w:type="dxa" w:w="100"/>
              <w:right w:type="dxa" w:w="120"/>
            </w:tcMar>
            <w:vAlign w:val="center"/>
          </w:tcPr>
          <w:p>
            <w:pPr>
              <w:jc w:val="left"/>
            </w:pPr>
            <w:r>
              <w:rPr>
                <w:b w:val="false"/>
                <w:bCs w:val="false"/>
              </w:rPr>
              <w:t xml:space="preserve">Performans Raporlama</w:t>
            </w:r>
          </w:p>
        </w:tc>
        <w:tc>
          <w:tcPr>
            <w:tcW w:type="dxa" w:w="5100"/>
            <w:shd w:fill="F3F4F6" w:color="auto" w:val="clear"/>
            <w:tcMar>
              <w:top w:type="dxa" w:w="100"/>
              <w:left w:type="dxa" w:w="120"/>
              <w:bottom w:type="dxa" w:w="100"/>
              <w:right w:type="dxa" w:w="120"/>
            </w:tcMar>
            <w:vAlign w:val="center"/>
          </w:tcPr>
          <w:p>
            <w:pPr>
              <w:jc w:val="left"/>
            </w:pPr>
            <w:r>
              <w:rPr>
                <w:b w:val="false"/>
                <w:bCs w:val="false"/>
              </w:rPr>
              <w:t xml:space="preserve">Modelin başarısı; test dönemi için gerçekleşen piyasa fiyatları üzerinden saatlik/günlük MAPE (hedef &lt; %12) ve Yön Doğruluğu (Directional Accuracy) ile hesaplanmalıdır.</w:t>
            </w:r>
          </w:p>
        </w:tc>
        <w:tc>
          <w:tcPr>
            <w:tcW w:type="dxa" w:w="1300"/>
            <w:shd w:fill="F3F4F6" w:color="auto" w:val="clear"/>
            <w:tcMar>
              <w:top w:type="dxa" w:w="100"/>
              <w:left w:type="dxa" w:w="120"/>
              <w:bottom w:type="dxa" w:w="100"/>
              <w:right w:type="dxa" w:w="120"/>
            </w:tcMar>
            <w:vAlign w:val="center"/>
          </w:tcPr>
          <w:p>
            <w:pPr>
              <w:jc w:val="left"/>
            </w:pPr>
            <w:r>
              <w:rPr>
                <w:b w:val="false"/>
                <w:bCs w:val="false"/>
              </w:rPr>
              <w:t xml:space="preserve">Yüksek (P1)</w:t>
            </w:r>
          </w:p>
        </w:tc>
      </w:tr>
      <w:tr>
        <w:tc>
          <w:tcPr>
            <w:tcW w:type="dxa" w:w="900"/>
            <w:tcMar>
              <w:top w:type="dxa" w:w="100"/>
              <w:left w:type="dxa" w:w="120"/>
              <w:bottom w:type="dxa" w:w="100"/>
              <w:right w:type="dxa" w:w="120"/>
            </w:tcMar>
            <w:vAlign w:val="center"/>
          </w:tcPr>
          <w:p>
            <w:pPr>
              <w:jc w:val="left"/>
            </w:pPr>
            <w:r>
              <w:rPr>
                <w:b w:val="false"/>
                <w:bCs w:val="false"/>
              </w:rPr>
              <w:t xml:space="preserve">FR-05</w:t>
            </w:r>
          </w:p>
        </w:tc>
        <w:tc>
          <w:tcPr>
            <w:tcW w:type="dxa" w:w="1600"/>
            <w:tcMar>
              <w:top w:type="dxa" w:w="100"/>
              <w:left w:type="dxa" w:w="120"/>
              <w:bottom w:type="dxa" w:w="100"/>
              <w:right w:type="dxa" w:w="120"/>
            </w:tcMar>
            <w:vAlign w:val="center"/>
          </w:tcPr>
          <w:p>
            <w:pPr>
              <w:jc w:val="left"/>
            </w:pPr>
            <w:r>
              <w:rPr>
                <w:b w:val="false"/>
                <w:bCs w:val="false"/>
              </w:rPr>
              <w:t xml:space="preserve">İnteraktif Grafik Paneli</w:t>
            </w:r>
          </w:p>
        </w:tc>
        <w:tc>
          <w:tcPr>
            <w:tcW w:type="dxa" w:w="5100"/>
            <w:tcMar>
              <w:top w:type="dxa" w:w="100"/>
              <w:left w:type="dxa" w:w="120"/>
              <w:bottom w:type="dxa" w:w="100"/>
              <w:right w:type="dxa" w:w="120"/>
            </w:tcMar>
            <w:vAlign w:val="center"/>
          </w:tcPr>
          <w:p>
            <w:pPr>
              <w:jc w:val="left"/>
            </w:pPr>
            <w:r>
              <w:rPr>
                <w:b w:val="false"/>
                <w:bCs w:val="false"/>
              </w:rPr>
              <w:t xml:space="preserve">Arayüz; gerçekleşen PTF ile tahmin edilen eğriyi aynı zaman ekseninde Plotly ile etkileşimli, yakınlaştırılabilir (zoom) ve üzerine gelindiğinde detay veren yapıda sunmalıdır.</w:t>
            </w:r>
          </w:p>
        </w:tc>
        <w:tc>
          <w:tcPr>
            <w:tcW w:type="dxa" w:w="1300"/>
            <w:tcMar>
              <w:top w:type="dxa" w:w="100"/>
              <w:left w:type="dxa" w:w="120"/>
              <w:bottom w:type="dxa" w:w="100"/>
              <w:right w:type="dxa" w:w="120"/>
            </w:tcMar>
            <w:vAlign w:val="center"/>
          </w:tcPr>
          <w:p>
            <w:pPr>
              <w:jc w:val="left"/>
            </w:pPr>
            <w:r>
              <w:rPr>
                <w:b w:val="false"/>
                <w:bCs w:val="false"/>
              </w:rPr>
              <w:t xml:space="preserve">Yüksek (P1)</w:t>
            </w:r>
          </w:p>
        </w:tc>
      </w:tr>
      <w:tr>
        <w:tc>
          <w:tcPr>
            <w:tcW w:type="dxa" w:w="900"/>
            <w:shd w:fill="F3F4F6" w:color="auto" w:val="clear"/>
            <w:tcMar>
              <w:top w:type="dxa" w:w="100"/>
              <w:left w:type="dxa" w:w="120"/>
              <w:bottom w:type="dxa" w:w="100"/>
              <w:right w:type="dxa" w:w="120"/>
            </w:tcMar>
            <w:vAlign w:val="center"/>
          </w:tcPr>
          <w:p>
            <w:pPr>
              <w:jc w:val="left"/>
            </w:pPr>
            <w:r>
              <w:rPr>
                <w:b w:val="false"/>
                <w:bCs w:val="false"/>
              </w:rPr>
              <w:t xml:space="preserve">FR-06</w:t>
            </w:r>
          </w:p>
        </w:tc>
        <w:tc>
          <w:tcPr>
            <w:tcW w:type="dxa" w:w="1600"/>
            <w:shd w:fill="F3F4F6" w:color="auto" w:val="clear"/>
            <w:tcMar>
              <w:top w:type="dxa" w:w="100"/>
              <w:left w:type="dxa" w:w="120"/>
              <w:bottom w:type="dxa" w:w="100"/>
              <w:right w:type="dxa" w:w="120"/>
            </w:tcMar>
            <w:vAlign w:val="center"/>
          </w:tcPr>
          <w:p>
            <w:pPr>
              <w:jc w:val="left"/>
            </w:pPr>
            <w:r>
              <w:rPr>
                <w:b w:val="false"/>
                <w:bCs w:val="false"/>
              </w:rPr>
              <w:t xml:space="preserve">Spread &amp; Risk Göstergesi</w:t>
            </w:r>
          </w:p>
        </w:tc>
        <w:tc>
          <w:tcPr>
            <w:tcW w:type="dxa" w:w="5100"/>
            <w:shd w:fill="F3F4F6" w:color="auto" w:val="clear"/>
            <w:tcMar>
              <w:top w:type="dxa" w:w="100"/>
              <w:left w:type="dxa" w:w="120"/>
              <w:bottom w:type="dxa" w:w="100"/>
              <w:right w:type="dxa" w:w="120"/>
            </w:tcMar>
            <w:vAlign w:val="center"/>
          </w:tcPr>
          <w:p>
            <w:pPr>
              <w:jc w:val="left"/>
            </w:pPr>
            <w:r>
              <w:rPr>
                <w:b w:val="false"/>
                <w:bCs w:val="false"/>
              </w:rPr>
              <w:t xml:space="preserve">Sistem, tahmin edilen PTF ile geçmiş SMF dinamiklerini kıyaslayarak enerji açığı veya fazlası durumunda oluşabilecek marjinal risk primini hesaplayıp renk kodlu uyarılar vermelidir.</w:t>
            </w:r>
          </w:p>
        </w:tc>
        <w:tc>
          <w:tcPr>
            <w:tcW w:type="dxa" w:w="1300"/>
            <w:shd w:fill="F3F4F6" w:color="auto" w:val="clear"/>
            <w:tcMar>
              <w:top w:type="dxa" w:w="100"/>
              <w:left w:type="dxa" w:w="120"/>
              <w:bottom w:type="dxa" w:w="100"/>
              <w:right w:type="dxa" w:w="120"/>
            </w:tcMar>
            <w:vAlign w:val="center"/>
          </w:tcPr>
          <w:p>
            <w:pPr>
              <w:jc w:val="left"/>
            </w:pPr>
            <w:r>
              <w:rPr>
                <w:b w:val="false"/>
                <w:bCs w:val="false"/>
              </w:rPr>
              <w:t xml:space="preserve">Orta (P2)</w:t>
            </w:r>
          </w:p>
        </w:tc>
      </w:tr>
      <w:tr>
        <w:tc>
          <w:tcPr>
            <w:tcW w:type="dxa" w:w="900"/>
            <w:tcMar>
              <w:top w:type="dxa" w:w="100"/>
              <w:left w:type="dxa" w:w="120"/>
              <w:bottom w:type="dxa" w:w="100"/>
              <w:right w:type="dxa" w:w="120"/>
            </w:tcMar>
            <w:vAlign w:val="center"/>
          </w:tcPr>
          <w:p>
            <w:pPr>
              <w:jc w:val="left"/>
            </w:pPr>
            <w:r>
              <w:rPr>
                <w:b w:val="false"/>
                <w:bCs w:val="false"/>
              </w:rPr>
              <w:t xml:space="preserve">FR-07</w:t>
            </w:r>
          </w:p>
        </w:tc>
        <w:tc>
          <w:tcPr>
            <w:tcW w:type="dxa" w:w="1600"/>
            <w:tcMar>
              <w:top w:type="dxa" w:w="100"/>
              <w:left w:type="dxa" w:w="120"/>
              <w:bottom w:type="dxa" w:w="100"/>
              <w:right w:type="dxa" w:w="120"/>
            </w:tcMar>
            <w:vAlign w:val="center"/>
          </w:tcPr>
          <w:p>
            <w:pPr>
              <w:jc w:val="left"/>
            </w:pPr>
            <w:r>
              <w:rPr>
                <w:b w:val="false"/>
                <w:bCs w:val="false"/>
              </w:rPr>
              <w:t xml:space="preserve">P&amp;L Trading Simülatörü</w:t>
            </w:r>
          </w:p>
        </w:tc>
        <w:tc>
          <w:tcPr>
            <w:tcW w:type="dxa" w:w="5100"/>
            <w:tcMar>
              <w:top w:type="dxa" w:w="100"/>
              <w:left w:type="dxa" w:w="120"/>
              <w:bottom w:type="dxa" w:w="100"/>
              <w:right w:type="dxa" w:w="120"/>
            </w:tcMar>
            <w:vAlign w:val="center"/>
          </w:tcPr>
          <w:p>
            <w:pPr>
              <w:jc w:val="left"/>
            </w:pPr>
            <w:r>
              <w:rPr>
                <w:b w:val="false"/>
                <w:bCs w:val="false"/>
              </w:rPr>
              <w:t xml:space="preserve">Kullanıcı, arayüzden belirleyeceği basit bir eşik kuralına göre (örn. Model Tahmini &gt; 2.500 TL ise Alış Pozisyonu) geçmişe dönük portföy getiri/zarar eğrisini izleyebilmelidir.</w:t>
            </w:r>
          </w:p>
        </w:tc>
        <w:tc>
          <w:tcPr>
            <w:tcW w:type="dxa" w:w="1300"/>
            <w:tcMar>
              <w:top w:type="dxa" w:w="100"/>
              <w:left w:type="dxa" w:w="120"/>
              <w:bottom w:type="dxa" w:w="100"/>
              <w:right w:type="dxa" w:w="120"/>
            </w:tcMar>
            <w:vAlign w:val="center"/>
          </w:tcPr>
          <w:p>
            <w:pPr>
              <w:jc w:val="left"/>
            </w:pPr>
            <w:r>
              <w:rPr>
                <w:b w:val="false"/>
                <w:bCs w:val="false"/>
              </w:rPr>
              <w:t xml:space="preserve">Orta (P2)</w:t>
            </w:r>
          </w:p>
        </w:tc>
      </w:tr>
      <w:tr>
        <w:tc>
          <w:tcPr>
            <w:tcW w:type="dxa" w:w="900"/>
            <w:shd w:fill="F3F4F6" w:color="auto" w:val="clear"/>
            <w:tcMar>
              <w:top w:type="dxa" w:w="100"/>
              <w:left w:type="dxa" w:w="120"/>
              <w:bottom w:type="dxa" w:w="100"/>
              <w:right w:type="dxa" w:w="120"/>
            </w:tcMar>
            <w:vAlign w:val="center"/>
          </w:tcPr>
          <w:p>
            <w:pPr>
              <w:jc w:val="left"/>
            </w:pPr>
            <w:r>
              <w:rPr>
                <w:b w:val="false"/>
                <w:bCs w:val="false"/>
              </w:rPr>
              <w:t xml:space="preserve">FR-08</w:t>
            </w:r>
          </w:p>
        </w:tc>
        <w:tc>
          <w:tcPr>
            <w:tcW w:type="dxa" w:w="1600"/>
            <w:shd w:fill="F3F4F6" w:color="auto" w:val="clear"/>
            <w:tcMar>
              <w:top w:type="dxa" w:w="100"/>
              <w:left w:type="dxa" w:w="120"/>
              <w:bottom w:type="dxa" w:w="100"/>
              <w:right w:type="dxa" w:w="120"/>
            </w:tcMar>
            <w:vAlign w:val="center"/>
          </w:tcPr>
          <w:p>
            <w:pPr>
              <w:jc w:val="left"/>
            </w:pPr>
            <w:r>
              <w:rPr>
                <w:b w:val="false"/>
                <w:bCs w:val="false"/>
              </w:rPr>
              <w:t xml:space="preserve">Veri Dışa Aktarımı</w:t>
            </w:r>
          </w:p>
        </w:tc>
        <w:tc>
          <w:tcPr>
            <w:tcW w:type="dxa" w:w="5100"/>
            <w:shd w:fill="F3F4F6" w:color="auto" w:val="clear"/>
            <w:tcMar>
              <w:top w:type="dxa" w:w="100"/>
              <w:left w:type="dxa" w:w="120"/>
              <w:bottom w:type="dxa" w:w="100"/>
              <w:right w:type="dxa" w:w="120"/>
            </w:tcMar>
            <w:vAlign w:val="center"/>
          </w:tcPr>
          <w:p>
            <w:pPr>
              <w:jc w:val="left"/>
            </w:pPr>
            <w:r>
              <w:rPr>
                <w:b w:val="false"/>
                <w:bCs w:val="false"/>
              </w:rPr>
              <w:t xml:space="preserve">Kullanıcı, seçilen tarih aralığındaki saatlik tahminleri ve risk metriklerini tek bir butonla CSV formatında indirebilmelidir.</w:t>
            </w:r>
          </w:p>
        </w:tc>
        <w:tc>
          <w:tcPr>
            <w:tcW w:type="dxa" w:w="1300"/>
            <w:shd w:fill="F3F4F6" w:color="auto" w:val="clear"/>
            <w:tcMar>
              <w:top w:type="dxa" w:w="100"/>
              <w:left w:type="dxa" w:w="120"/>
              <w:bottom w:type="dxa" w:w="100"/>
              <w:right w:type="dxa" w:w="120"/>
            </w:tcMar>
            <w:vAlign w:val="center"/>
          </w:tcPr>
          <w:p>
            <w:pPr>
              <w:jc w:val="left"/>
            </w:pPr>
            <w:r>
              <w:rPr>
                <w:b w:val="false"/>
                <w:bCs w:val="false"/>
              </w:rPr>
              <w:t xml:space="preserve">Düşük (P3)</w:t>
            </w:r>
          </w:p>
        </w:tc>
      </w:tr>
    </w:tbl>
    <w:p>
      <w:pPr>
        <w:pStyle w:val="Heading1"/>
        <w:spacing w:after="160" w:before="320"/>
      </w:pPr>
      <w:r>
        <w:t xml:space="preserve">4. Fonksiyonel Olmayan Gereksinimler (Non-Functional Requirements)</w:t>
      </w:r>
    </w:p>
    <w:p>
      <w:pPr>
        <w:pStyle w:val="Heading2"/>
        <w:spacing w:after="120" w:before="240"/>
      </w:pPr>
      <w:r>
        <w:t xml:space="preserve">4.1 Performans ve Hız (NFR-01)</w:t>
      </w:r>
    </w:p>
    <w:p>
      <w:pPr>
        <w:pStyle w:val="ListParagraph"/>
        <w:numPr>
          <w:ilvl w:val="0"/>
          <w:numId w:val="1"/>
        </w:numPr>
        <w:spacing w:after="80"/>
      </w:pPr>
      <w:r>
        <w:t xml:space="preserve">İnference Süresi: Eğitilmiş model üzerinden 24 saatlik fiyat tahmin çıkarımı 500 milisaniyenin altında gerçekleşmelidir.</w:t>
      </w:r>
    </w:p>
    <w:p>
      <w:pPr>
        <w:pStyle w:val="ListParagraph"/>
        <w:numPr>
          <w:ilvl w:val="0"/>
          <w:numId w:val="1"/>
        </w:numPr>
        <w:spacing w:after="80"/>
      </w:pPr>
      <w:r>
        <w:t xml:space="preserve">Arayüz Yanıt Süresi: Streamlit paneli üzerindeki tarih ve filtre değişimleri 2 saniyeyi aşmadan görselleştirilmelidir.</w:t>
      </w:r>
    </w:p>
    <w:p>
      <w:pPr>
        <w:pStyle w:val="ListParagraph"/>
        <w:numPr>
          <w:ilvl w:val="0"/>
          <w:numId w:val="1"/>
        </w:numPr>
        <w:spacing w:after="80"/>
      </w:pPr>
      <w:r>
        <w:t xml:space="preserve">Hafıza Yönetimi: Sistem, ücretsiz bulut ortamlarının 1 GB RAM sınırına takılmamak adına verileri optimize numerik tiplerle (float32) işleyecektir.</w:t>
      </w:r>
    </w:p>
    <w:p>
      <w:pPr>
        <w:pStyle w:val="Heading2"/>
        <w:spacing w:after="120" w:before="240"/>
      </w:pPr>
      <w:r>
        <w:t xml:space="preserve">4.2 Veri Bütünlüğü ve Güvenilirlik (NFR-02)</w:t>
      </w:r>
    </w:p>
    <w:p>
      <w:pPr>
        <w:pStyle w:val="ListParagraph"/>
        <w:numPr>
          <w:ilvl w:val="0"/>
          <w:numId w:val="1"/>
        </w:numPr>
        <w:spacing w:after="80"/>
      </w:pPr>
      <w:r>
        <w:t xml:space="preserve">Veri Sızıntısı Engeli (Data Leakage): Geleceğe ait hiçbir fiyat veya öznitelik bilgisi geçmiş veri eğitiminde kullanılmayacak, strictly causal (nedensel) pencereler uygulanacaktır.</w:t>
      </w:r>
    </w:p>
    <w:p>
      <w:pPr>
        <w:pStyle w:val="ListParagraph"/>
        <w:numPr>
          <w:ilvl w:val="0"/>
          <w:numId w:val="1"/>
        </w:numPr>
        <w:spacing w:after="80"/>
      </w:pPr>
      <w:r>
        <w:t xml:space="preserve">Kesintisiz Çalışma (Fallback): API bağlantısında gecikme yaşanması durumunda sistem çökmeyecek, yereldeki son geçerli Parquet veri seti üzerinden çalışmaya devam edecektir.</w:t>
      </w:r>
    </w:p>
    <w:p>
      <w:pPr>
        <w:pStyle w:val="Heading2"/>
        <w:spacing w:after="120" w:before="240"/>
      </w:pPr>
      <w:r>
        <w:t xml:space="preserve">4.3 Kullanıcı Deneyimi ve Taşınabilirlik (NFR-03)</w:t>
      </w:r>
    </w:p>
    <w:p>
      <w:pPr>
        <w:pStyle w:val="ListParagraph"/>
        <w:numPr>
          <w:ilvl w:val="0"/>
          <w:numId w:val="1"/>
        </w:numPr>
        <w:spacing w:after="80"/>
      </w:pPr>
      <w:r>
        <w:t xml:space="preserve">Tasarım Dili: Finansal analistlerin ve trading masalarının göz yorgunluğunu önleyen kurumsal koyu tema (Dark Theme) standart olarak benimsenecektir.</w:t>
      </w:r>
    </w:p>
    <w:p>
      <w:pPr>
        <w:pStyle w:val="ListParagraph"/>
        <w:numPr>
          <w:ilvl w:val="0"/>
          <w:numId w:val="1"/>
        </w:numPr>
        <w:spacing w:after="80"/>
      </w:pPr>
      <w:r>
        <w:t xml:space="preserve">Taşınabilirlik: Proje kök dizininde yer alan requirements.txt dosyasıyla herhangi bir Python 3.10+ ortamında tek komutla ayağa kaldırılabilecektir.</w:t>
      </w:r>
    </w:p>
    <w:p>
      <w:pPr>
        <w:pStyle w:val="Heading1"/>
        <w:spacing w:after="160" w:before="320"/>
      </w:pPr>
      <w:r>
        <w:t xml:space="preserve">5. Kullanıcı Arayüzü Mimarisi (UI Mockup)</w:t>
      </w:r>
    </w:p>
    <w:p>
      <w:pPr>
        <w:spacing w:after="160"/>
      </w:pPr>
      <w:r>
        <w:t xml:space="preserve">Kullanıcı arayüzü, sekmeli ve temiz bir dashboard mantığıyla aşağıdaki operasyonel bloklardan oluşacaktır:</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EPİAŞ GÜN ÖNCESİ PİYASASI (GÖP) PTF TAHMİN &amp; ENERJİ TRADING TERMİNALİ</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[SOL PANEL: FİLTRE &amp; KONTROL]        | [ANA PANEL: ÜST KPI GÖSTERGE KARTLARI]</w:t>
      </w:r>
    </w:p>
    <w:p>
      <w:pPr>
        <w:spacing w:after="0"/>
      </w:pPr>
      <w:r>
        <w:rPr>
          <w:rFonts w:ascii="Consolas" w:cs="Consolas" w:eastAsia="Consolas" w:hAnsi="Consolas"/>
          <w:sz w:val="16"/>
          <w:szCs w:val="16"/>
        </w:rPr>
        <w:t xml:space="preserve">- Hedef Tahmin Tarihi Seçimi         | [Ort. PTF: 2,480 TL]  [Model MAPE: %8.2]</w:t>
      </w:r>
    </w:p>
    <w:p>
      <w:pPr>
        <w:spacing w:after="0"/>
      </w:pPr>
      <w:r>
        <w:rPr>
          <w:rFonts w:ascii="Consolas" w:cs="Consolas" w:eastAsia="Consolas" w:hAnsi="Consolas"/>
          <w:sz w:val="16"/>
          <w:szCs w:val="16"/>
        </w:rPr>
        <w:t xml:space="preserve">- Model Seçimi (CatBoost/LGBM)       | [24s Trend: YUKARI]   [Piyasa Spread: +140 TL]</w:t>
      </w:r>
    </w:p>
    <w:p>
      <w:pPr>
        <w:spacing w:after="0"/>
      </w:pPr>
      <w:r>
        <w:rPr>
          <w:rFonts w:ascii="Consolas" w:cs="Consolas" w:eastAsia="Consolas" w:hAnsi="Consolas"/>
          <w:sz w:val="16"/>
          <w:szCs w:val="16"/>
        </w:rPr>
        <w:t xml:space="preserve">- Risk Katsayısı Kaydırıcısı         +---------------------------------------------</w:t>
      </w:r>
    </w:p>
    <w:p>
      <w:pPr>
        <w:spacing w:after="0"/>
      </w:pPr>
      <w:r>
        <w:rPr>
          <w:rFonts w:ascii="Consolas" w:cs="Consolas" w:eastAsia="Consolas" w:hAnsi="Consolas"/>
          <w:sz w:val="16"/>
          <w:szCs w:val="16"/>
        </w:rPr>
        <w:t xml:space="preserve">- Kurgusal Pozisyon Hacmi (MWh)      | [SEKME 1: 24 SAATLİK FİYAT PROJEKSİYONU]</w:t>
      </w:r>
    </w:p>
    <w:p>
      <w:pPr>
        <w:spacing w:after="0"/>
      </w:pPr>
      <w:r>
        <w:rPr>
          <w:rFonts w:ascii="Consolas" w:cs="Consolas" w:eastAsia="Consolas" w:hAnsi="Consolas"/>
          <w:sz w:val="16"/>
          <w:szCs w:val="16"/>
        </w:rPr>
        <w:t xml:space="preserve">                                      | - Plotly: Gerçekleşen PTF vs Model Tahmin Eğrisi</w:t>
      </w:r>
    </w:p>
    <w:p>
      <w:pPr>
        <w:spacing w:after="0"/>
      </w:pPr>
      <w:r>
        <w:rPr>
          <w:rFonts w:ascii="Consolas" w:cs="Consolas" w:eastAsia="Consolas" w:hAnsi="Consolas"/>
          <w:sz w:val="16"/>
          <w:szCs w:val="16"/>
        </w:rPr>
        <w:t xml:space="preserve">[VERİ DIŞA AKTAR]                    | - Hata Dağılımı ve Saatlik Sapma Çubukları</w:t>
      </w:r>
    </w:p>
    <w:p>
      <w:pPr>
        <w:spacing w:after="0"/>
      </w:pPr>
      <w:r>
        <w:rPr>
          <w:rFonts w:ascii="Consolas" w:cs="Consolas" w:eastAsia="Consolas" w:hAnsi="Consolas"/>
          <w:sz w:val="16"/>
          <w:szCs w:val="16"/>
        </w:rPr>
        <w:t xml:space="preserve">- [Tahminleri CSV İndir]             +---------------------------------------------</w:t>
      </w:r>
    </w:p>
    <w:p>
      <w:pPr>
        <w:spacing w:after="0"/>
      </w:pPr>
      <w:r>
        <w:rPr>
          <w:rFonts w:ascii="Consolas" w:cs="Consolas" w:eastAsia="Consolas" w:hAnsi="Consolas"/>
          <w:sz w:val="16"/>
          <w:szCs w:val="16"/>
        </w:rPr>
        <w:t xml:space="preserve">- [Teknik Rapor Al]                  | [SEKME 2: BACKTEST &amp; P&amp;L SİMÜLASYONU]</w:t>
      </w:r>
    </w:p>
    <w:p>
      <w:pPr>
        <w:spacing w:after="0"/>
      </w:pPr>
      <w:r>
        <w:rPr>
          <w:rFonts w:ascii="Consolas" w:cs="Consolas" w:eastAsia="Consolas" w:hAnsi="Consolas"/>
          <w:sz w:val="16"/>
          <w:szCs w:val="16"/>
        </w:rPr>
        <w:t xml:space="preserve">                                      | - Kümülatif Kâr/Zarar (TL) Grafiği</w:t>
      </w:r>
    </w:p>
    <w:p>
      <w:pPr>
        <w:spacing w:after="0"/>
      </w:pPr>
      <w:r>
        <w:rPr>
          <w:rFonts w:ascii="Consolas" w:cs="Consolas" w:eastAsia="Consolas" w:hAnsi="Consolas"/>
          <w:sz w:val="16"/>
          <w:szCs w:val="16"/>
        </w:rPr>
        <w:t xml:space="preserve">                                      | - Başarılı İşlem Oranı ve Maksimum Drawdown (%)</w:t>
      </w:r>
    </w:p>
    <w:p>
      <w:pPr>
        <w:spacing w:after="0"/>
      </w:pPr>
      <w:r>
        <w:rPr>
          <w:rFonts w:ascii="Consolas" w:cs="Consolas" w:eastAsia="Consolas" w:hAnsi="Consolas"/>
          <w:sz w:val="16"/>
          <w:szCs w:val="16"/>
        </w:rPr>
        <w:t xml:space="preserve">===================================================================================</w:t>
      </w:r>
    </w:p>
    <w:p>
      <w:pPr>
        <w:pStyle w:val="Heading1"/>
        <w:spacing w:after="160" w:before="320"/>
      </w:pPr>
      <w:r>
        <w:t xml:space="preserve">6. Doğrulama, Test ve Kabul Kriterleri (Acceptance Criteria)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500"/>
      </w:tblGrid>
      <w:tr>
        <w:trPr>
          <w:tblHeader/>
        </w:trPr>
        <w:tc>
          <w:tcPr>
            <w:tcW w:type="dxa" w:w="2200"/>
            <w:shd w:fill="1F2937" w:color="auto" w:val="clear"/>
            <w:tcMar>
              <w:top w:type="dxa" w:w="100"/>
              <w:left w:type="dxa" w:w="120"/>
              <w:bottom w:type="dxa" w:w="100"/>
              <w:right w:type="dxa" w:w="120"/>
            </w:tcMar>
            <w:vAlign w:val="center"/>
          </w:tcPr>
          <w:p>
            <w:pPr>
              <w:jc w:val="left"/>
            </w:pPr>
            <w:r>
              <w:rPr>
                <w:b/>
                <w:bCs/>
              </w:rPr>
              <w:t xml:space="preserve">Doğrulama Boyutu</w:t>
            </w:r>
          </w:p>
        </w:tc>
        <w:tc>
          <w:tcPr>
            <w:tcW w:type="dxa" w:w="4200"/>
            <w:shd w:fill="1F2937" w:color="auto" w:val="clear"/>
            <w:tcMar>
              <w:top w:type="dxa" w:w="100"/>
              <w:left w:type="dxa" w:w="120"/>
              <w:bottom w:type="dxa" w:w="100"/>
              <w:right w:type="dxa" w:w="120"/>
            </w:tcMar>
            <w:vAlign w:val="center"/>
          </w:tcPr>
          <w:p>
            <w:pPr>
              <w:jc w:val="left"/>
            </w:pPr>
            <w:r>
              <w:rPr>
                <w:b/>
                <w:bCs/>
              </w:rPr>
              <w:t xml:space="preserve">Değerlendirme Yöntemi</w:t>
            </w:r>
          </w:p>
        </w:tc>
        <w:tc>
          <w:tcPr>
            <w:tcW w:type="dxa" w:w="2500"/>
            <w:shd w:fill="1F2937" w:color="auto" w:val="clear"/>
            <w:tcMar>
              <w:top w:type="dxa" w:w="100"/>
              <w:left w:type="dxa" w:w="120"/>
              <w:bottom w:type="dxa" w:w="100"/>
              <w:right w:type="dxa" w:w="120"/>
            </w:tcMar>
            <w:vAlign w:val="center"/>
          </w:tcPr>
          <w:p>
            <w:pPr>
              <w:jc w:val="left"/>
            </w:pPr>
            <w:r>
              <w:rPr>
                <w:b/>
                <w:bCs/>
              </w:rPr>
              <w:t xml:space="preserve">Kabul Eşiği</w:t>
            </w:r>
          </w:p>
        </w:tc>
      </w:tr>
      <w:tr>
        <w:tc>
          <w:tcPr>
            <w:tcW w:type="dxa" w:w="2200"/>
            <w:tcMar>
              <w:top w:type="dxa" w:w="100"/>
              <w:left w:type="dxa" w:w="120"/>
              <w:bottom w:type="dxa" w:w="100"/>
              <w:right w:type="dxa" w:w="120"/>
            </w:tcMar>
            <w:vAlign w:val="center"/>
          </w:tcPr>
          <w:p>
            <w:pPr>
              <w:jc w:val="left"/>
            </w:pPr>
            <w:r>
              <w:rPr>
                <w:b w:val="false"/>
                <w:bCs w:val="false"/>
              </w:rPr>
              <w:t xml:space="preserve">Model Doğruluk Başarısı</w:t>
            </w:r>
          </w:p>
        </w:tc>
        <w:tc>
          <w:tcPr>
            <w:tcW w:type="dxa" w:w="4200"/>
            <w:tcMar>
              <w:top w:type="dxa" w:w="100"/>
              <w:left w:type="dxa" w:w="120"/>
              <w:bottom w:type="dxa" w:w="100"/>
              <w:right w:type="dxa" w:w="120"/>
            </w:tcMar>
            <w:vAlign w:val="center"/>
          </w:tcPr>
          <w:p>
            <w:pPr>
              <w:jc w:val="left"/>
            </w:pPr>
            <w:r>
              <w:rPr>
                <w:b w:val="false"/>
                <w:bCs w:val="false"/>
              </w:rPr>
              <w:t xml:space="preserve">Test periyodundaki saatlik tahminlerin gerçek PTF ile kıyaslanması.</w:t>
            </w:r>
          </w:p>
        </w:tc>
        <w:tc>
          <w:tcPr>
            <w:tcW w:type="dxa" w:w="2500"/>
            <w:tcMar>
              <w:top w:type="dxa" w:w="100"/>
              <w:left w:type="dxa" w:w="120"/>
              <w:bottom w:type="dxa" w:w="100"/>
              <w:right w:type="dxa" w:w="120"/>
            </w:tcMar>
            <w:vAlign w:val="center"/>
          </w:tcPr>
          <w:p>
            <w:pPr>
              <w:jc w:val="left"/>
            </w:pPr>
            <w:r>
              <w:rPr>
                <w:b w:val="false"/>
                <w:bCs w:val="false"/>
              </w:rPr>
              <w:t xml:space="preserve">MAPE &lt; %12.0
Yön Doğruluğu &gt; %70</w:t>
            </w:r>
          </w:p>
        </w:tc>
      </w:tr>
      <w:tr>
        <w:tc>
          <w:tcPr>
            <w:tcW w:type="dxa" w:w="2200"/>
            <w:shd w:fill="F3F4F6" w:color="auto" w:val="clear"/>
            <w:tcMar>
              <w:top w:type="dxa" w:w="100"/>
              <w:left w:type="dxa" w:w="120"/>
              <w:bottom w:type="dxa" w:w="100"/>
              <w:right w:type="dxa" w:w="120"/>
            </w:tcMar>
            <w:vAlign w:val="center"/>
          </w:tcPr>
          <w:p>
            <w:pPr>
              <w:jc w:val="left"/>
            </w:pPr>
            <w:r>
              <w:rPr>
                <w:b w:val="false"/>
                <w:bCs w:val="false"/>
              </w:rPr>
              <w:t xml:space="preserve">ETL Boru Hattı Tutarlılığı</w:t>
            </w:r>
          </w:p>
        </w:tc>
        <w:tc>
          <w:tcPr>
            <w:tcW w:type="dxa" w:w="4200"/>
            <w:shd w:fill="F3F4F6" w:color="auto" w:val="clear"/>
            <w:tcMar>
              <w:top w:type="dxa" w:w="100"/>
              <w:left w:type="dxa" w:w="120"/>
              <w:bottom w:type="dxa" w:w="100"/>
              <w:right w:type="dxa" w:w="120"/>
            </w:tcMar>
            <w:vAlign w:val="center"/>
          </w:tcPr>
          <w:p>
            <w:pPr>
              <w:jc w:val="left"/>
            </w:pPr>
            <w:r>
              <w:rPr>
                <w:b w:val="false"/>
                <w:bCs w:val="false"/>
              </w:rPr>
              <w:t xml:space="preserve">EPİAŞ verilerindeki eksik saatlerin tespiti ve doldurulması.</w:t>
            </w:r>
          </w:p>
        </w:tc>
        <w:tc>
          <w:tcPr>
            <w:tcW w:type="dxa" w:w="2500"/>
            <w:shd w:fill="F3F4F6" w:color="auto" w:val="clear"/>
            <w:tcMar>
              <w:top w:type="dxa" w:w="100"/>
              <w:left w:type="dxa" w:w="120"/>
              <w:bottom w:type="dxa" w:w="100"/>
              <w:right w:type="dxa" w:w="120"/>
            </w:tcMar>
            <w:vAlign w:val="center"/>
          </w:tcPr>
          <w:p>
            <w:pPr>
              <w:jc w:val="left"/>
            </w:pPr>
            <w:r>
              <w:rPr>
                <w:b w:val="false"/>
                <w:bCs w:val="false"/>
              </w:rPr>
              <w:t xml:space="preserve">Eksiksiz zaman indeksi (%100 Bütünlük)</w:t>
            </w:r>
          </w:p>
        </w:tc>
      </w:tr>
      <w:tr>
        <w:tc>
          <w:tcPr>
            <w:tcW w:type="dxa" w:w="2200"/>
            <w:tcMar>
              <w:top w:type="dxa" w:w="100"/>
              <w:left w:type="dxa" w:w="120"/>
              <w:bottom w:type="dxa" w:w="100"/>
              <w:right w:type="dxa" w:w="120"/>
            </w:tcMar>
            <w:vAlign w:val="center"/>
          </w:tcPr>
          <w:p>
            <w:pPr>
              <w:jc w:val="left"/>
            </w:pPr>
            <w:r>
              <w:rPr>
                <w:b w:val="false"/>
                <w:bCs w:val="false"/>
              </w:rPr>
              <w:t xml:space="preserve">Arayüz Kararlılığı</w:t>
            </w:r>
          </w:p>
        </w:tc>
        <w:tc>
          <w:tcPr>
            <w:tcW w:type="dxa" w:w="4200"/>
            <w:tcMar>
              <w:top w:type="dxa" w:w="100"/>
              <w:left w:type="dxa" w:w="120"/>
              <w:bottom w:type="dxa" w:w="100"/>
              <w:right w:type="dxa" w:w="120"/>
            </w:tcMar>
            <w:vAlign w:val="center"/>
          </w:tcPr>
          <w:p>
            <w:pPr>
              <w:jc w:val="left"/>
            </w:pPr>
            <w:r>
              <w:rPr>
                <w:b w:val="false"/>
                <w:bCs w:val="false"/>
              </w:rPr>
              <w:t xml:space="preserve">Streamlit üzerinde ardışık tarih ve filtre sorgulamaları.</w:t>
            </w:r>
          </w:p>
        </w:tc>
        <w:tc>
          <w:tcPr>
            <w:tcW w:type="dxa" w:w="2500"/>
            <w:tcMar>
              <w:top w:type="dxa" w:w="100"/>
              <w:left w:type="dxa" w:w="120"/>
              <w:bottom w:type="dxa" w:w="100"/>
              <w:right w:type="dxa" w:w="120"/>
            </w:tcMar>
            <w:vAlign w:val="center"/>
          </w:tcPr>
          <w:p>
            <w:pPr>
              <w:jc w:val="left"/>
            </w:pPr>
            <w:r>
              <w:rPr>
                <w:b w:val="false"/>
                <w:bCs w:val="false"/>
              </w:rPr>
              <w:t xml:space="preserve">Hatasız ve çökmesiz çalışma (0 Crash)</w:t>
            </w:r>
          </w:p>
        </w:tc>
      </w:tr>
      <w:tr>
        <w:tc>
          <w:tcPr>
            <w:tcW w:type="dxa" w:w="2200"/>
            <w:shd w:fill="F3F4F6" w:color="auto" w:val="clear"/>
            <w:tcMar>
              <w:top w:type="dxa" w:w="100"/>
              <w:left w:type="dxa" w:w="120"/>
              <w:bottom w:type="dxa" w:w="100"/>
              <w:right w:type="dxa" w:w="120"/>
            </w:tcMar>
            <w:vAlign w:val="center"/>
          </w:tcPr>
          <w:p>
            <w:pPr>
              <w:jc w:val="left"/>
            </w:pPr>
            <w:r>
              <w:rPr>
                <w:b w:val="false"/>
                <w:bCs w:val="false"/>
              </w:rPr>
              <w:t xml:space="preserve">Dokümantasyon Standardı</w:t>
            </w:r>
          </w:p>
        </w:tc>
        <w:tc>
          <w:tcPr>
            <w:tcW w:type="dxa" w:w="4200"/>
            <w:shd w:fill="F3F4F6" w:color="auto" w:val="clear"/>
            <w:tcMar>
              <w:top w:type="dxa" w:w="100"/>
              <w:left w:type="dxa" w:w="120"/>
              <w:bottom w:type="dxa" w:w="100"/>
              <w:right w:type="dxa" w:w="120"/>
            </w:tcMar>
            <w:vAlign w:val="center"/>
          </w:tcPr>
          <w:p>
            <w:pPr>
              <w:jc w:val="left"/>
            </w:pPr>
            <w:r>
              <w:rPr>
                <w:b w:val="false"/>
                <w:bCs w:val="false"/>
              </w:rPr>
              <w:t xml:space="preserve">GitHub reposu, kurulum rehberi ve kurumsal kod düzeni.</w:t>
            </w:r>
          </w:p>
        </w:tc>
        <w:tc>
          <w:tcPr>
            <w:tcW w:type="dxa" w:w="2500"/>
            <w:shd w:fill="F3F4F6" w:color="auto" w:val="clear"/>
            <w:tcMar>
              <w:top w:type="dxa" w:w="100"/>
              <w:left w:type="dxa" w:w="120"/>
              <w:bottom w:type="dxa" w:w="100"/>
              <w:right w:type="dxa" w:w="120"/>
            </w:tcMar>
            <w:vAlign w:val="center"/>
          </w:tcPr>
          <w:p>
            <w:pPr>
              <w:jc w:val="left"/>
            </w:pPr>
            <w:r>
              <w:rPr>
                <w:b w:val="false"/>
                <w:bCs w:val="false"/>
              </w:rPr>
              <w:t xml:space="preserve">Eksiksiz README.md &amp; Modüler Kod Mimarisi</w:t>
            </w:r>
          </w:p>
        </w:tc>
      </w:tr>
    </w:tbl>
    <w:p>
      <w:pPr>
        <w:pStyle w:val="Heading1"/>
        <w:spacing w:after="160" w:before="320"/>
      </w:pPr>
      <w:r>
        <w:t xml:space="preserve">7. 4 Haftalık Staj Yol Haritası (1 Hafta SRS + 3 Hafta Uygulama)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400"/>
        <w:gridCol w:w="2000"/>
      </w:tblGrid>
      <w:tr>
        <w:trPr>
          <w:tblHeader/>
        </w:trPr>
        <w:tc>
          <w:tcPr>
            <w:tcW w:type="dxa" w:w="1300"/>
            <w:shd w:fill="1F2937" w:color="auto" w:val="clear"/>
            <w:tcMar>
              <w:top w:type="dxa" w:w="100"/>
              <w:left w:type="dxa" w:w="120"/>
              <w:bottom w:type="dxa" w:w="100"/>
              <w:right w:type="dxa" w:w="120"/>
            </w:tcMar>
            <w:vAlign w:val="center"/>
          </w:tcPr>
          <w:p>
            <w:pPr>
              <w:jc w:val="left"/>
            </w:pPr>
            <w:r>
              <w:rPr>
                <w:b/>
                <w:bCs/>
              </w:rPr>
              <w:t xml:space="preserve">Hafta / Dönem</w:t>
            </w:r>
          </w:p>
        </w:tc>
        <w:tc>
          <w:tcPr>
            <w:tcW w:type="dxa" w:w="2200"/>
            <w:shd w:fill="1F2937" w:color="auto" w:val="clear"/>
            <w:tcMar>
              <w:top w:type="dxa" w:w="100"/>
              <w:left w:type="dxa" w:w="120"/>
              <w:bottom w:type="dxa" w:w="100"/>
              <w:right w:type="dxa" w:w="120"/>
            </w:tcMar>
            <w:vAlign w:val="center"/>
          </w:tcPr>
          <w:p>
            <w:pPr>
              <w:jc w:val="left"/>
            </w:pPr>
            <w:r>
              <w:rPr>
                <w:b/>
                <w:bCs/>
              </w:rPr>
              <w:t xml:space="preserve">Ana Mühendislik Odak Noktası</w:t>
            </w:r>
          </w:p>
        </w:tc>
        <w:tc>
          <w:tcPr>
            <w:tcW w:type="dxa" w:w="3400"/>
            <w:shd w:fill="1F2937" w:color="auto" w:val="clear"/>
            <w:tcMar>
              <w:top w:type="dxa" w:w="100"/>
              <w:left w:type="dxa" w:w="120"/>
              <w:bottom w:type="dxa" w:w="100"/>
              <w:right w:type="dxa" w:w="120"/>
            </w:tcMar>
            <w:vAlign w:val="center"/>
          </w:tcPr>
          <w:p>
            <w:pPr>
              <w:jc w:val="left"/>
            </w:pPr>
            <w:r>
              <w:rPr>
                <w:b/>
                <w:bCs/>
              </w:rPr>
              <w:t xml:space="preserve">Uygulama ve Faaliyet Detayları</w:t>
            </w:r>
          </w:p>
        </w:tc>
        <w:tc>
          <w:tcPr>
            <w:tcW w:type="dxa" w:w="2000"/>
            <w:shd w:fill="1F2937" w:color="auto" w:val="clear"/>
            <w:tcMar>
              <w:top w:type="dxa" w:w="100"/>
              <w:left w:type="dxa" w:w="120"/>
              <w:bottom w:type="dxa" w:w="100"/>
              <w:right w:type="dxa" w:w="120"/>
            </w:tcMar>
            <w:vAlign w:val="center"/>
          </w:tcPr>
          <w:p>
            <w:pPr>
              <w:jc w:val="left"/>
            </w:pPr>
            <w:r>
              <w:rPr>
                <w:b/>
                <w:bCs/>
              </w:rPr>
              <w:t xml:space="preserve">Somut Teslim Çıktısı</w:t>
            </w:r>
          </w:p>
        </w:tc>
      </w:tr>
      <w:tr>
        <w:tc>
          <w:tcPr>
            <w:tcW w:type="dxa" w:w="1300"/>
            <w:tcMar>
              <w:top w:type="dxa" w:w="100"/>
              <w:left w:type="dxa" w:w="120"/>
              <w:bottom w:type="dxa" w:w="100"/>
              <w:right w:type="dxa" w:w="120"/>
            </w:tcMar>
            <w:vAlign w:val="center"/>
          </w:tcPr>
          <w:p>
            <w:pPr>
              <w:jc w:val="left"/>
            </w:pPr>
            <w:r>
              <w:rPr>
                <w:b w:val="false"/>
                <w:bCs w:val="false"/>
              </w:rPr>
              <w:t xml:space="preserve">1. Hafta
(Tamamlanan)</w:t>
            </w:r>
          </w:p>
        </w:tc>
        <w:tc>
          <w:tcPr>
            <w:tcW w:type="dxa" w:w="2200"/>
            <w:tcMar>
              <w:top w:type="dxa" w:w="100"/>
              <w:left w:type="dxa" w:w="120"/>
              <w:bottom w:type="dxa" w:w="100"/>
              <w:right w:type="dxa" w:w="120"/>
            </w:tcMar>
            <w:vAlign w:val="center"/>
          </w:tcPr>
          <w:p>
            <w:pPr>
              <w:jc w:val="left"/>
            </w:pPr>
            <w:r>
              <w:rPr>
                <w:b w:val="false"/>
                <w:bCs w:val="false"/>
              </w:rPr>
              <w:t xml:space="preserve">SRS &amp; Çerçeve Belirleme</w:t>
            </w:r>
          </w:p>
        </w:tc>
        <w:tc>
          <w:tcPr>
            <w:tcW w:type="dxa" w:w="3400"/>
            <w:tcMar>
              <w:top w:type="dxa" w:w="100"/>
              <w:left w:type="dxa" w:w="120"/>
              <w:bottom w:type="dxa" w:w="100"/>
              <w:right w:type="dxa" w:w="120"/>
            </w:tcMar>
            <w:vAlign w:val="center"/>
          </w:tcPr>
          <w:p>
            <w:pPr>
              <w:jc w:val="left"/>
            </w:pPr>
            <w:r>
              <w:rPr>
                <w:b w:val="false"/>
                <w:bCs w:val="false"/>
              </w:rPr>
              <w:t xml:space="preserve">EPİAŞ piyasa mekanizmalarının ve regülasyonlarının araştırılması, API teknik fizibilitesi, mimari kapsamın netleştirilmesi ve IEEE 830 formatında kapsamlı SRS dokümanının hazırlanması.</w:t>
            </w:r>
          </w:p>
        </w:tc>
        <w:tc>
          <w:tcPr>
            <w:tcW w:type="dxa" w:w="2000"/>
            <w:tcMar>
              <w:top w:type="dxa" w:w="100"/>
              <w:left w:type="dxa" w:w="120"/>
              <w:bottom w:type="dxa" w:w="100"/>
              <w:right w:type="dxa" w:w="120"/>
            </w:tcMar>
            <w:vAlign w:val="center"/>
          </w:tcPr>
          <w:p>
            <w:pPr>
              <w:jc w:val="left"/>
            </w:pPr>
            <w:r>
              <w:rPr>
                <w:b w:val="false"/>
                <w:bCs w:val="false"/>
              </w:rPr>
              <w:t xml:space="preserve">Onaylanmış Kapsamlı SRS Dokümanı (v1.0) ve Proje Mimari Planı.</w:t>
            </w:r>
          </w:p>
        </w:tc>
      </w:tr>
      <w:tr>
        <w:tc>
          <w:tcPr>
            <w:tcW w:type="dxa" w:w="1300"/>
            <w:shd w:fill="F3F4F6" w:color="auto" w:val="clear"/>
            <w:tcMar>
              <w:top w:type="dxa" w:w="100"/>
              <w:left w:type="dxa" w:w="120"/>
              <w:bottom w:type="dxa" w:w="100"/>
              <w:right w:type="dxa" w:w="120"/>
            </w:tcMar>
            <w:vAlign w:val="center"/>
          </w:tcPr>
          <w:p>
            <w:pPr>
              <w:jc w:val="left"/>
            </w:pPr>
            <w:r>
              <w:rPr>
                <w:b w:val="false"/>
                <w:bCs w:val="false"/>
              </w:rPr>
              <w:t xml:space="preserve">2. Hafta</w:t>
            </w:r>
          </w:p>
        </w:tc>
        <w:tc>
          <w:tcPr>
            <w:tcW w:type="dxa" w:w="2200"/>
            <w:shd w:fill="F3F4F6" w:color="auto" w:val="clear"/>
            <w:tcMar>
              <w:top w:type="dxa" w:w="100"/>
              <w:left w:type="dxa" w:w="120"/>
              <w:bottom w:type="dxa" w:w="100"/>
              <w:right w:type="dxa" w:w="120"/>
            </w:tcMar>
            <w:vAlign w:val="center"/>
          </w:tcPr>
          <w:p>
            <w:pPr>
              <w:jc w:val="left"/>
            </w:pPr>
            <w:r>
              <w:rPr>
                <w:b w:val="false"/>
                <w:bCs w:val="false"/>
              </w:rPr>
              <w:t xml:space="preserve">ETL &amp; Öznitelik Mühendisliği</w:t>
            </w:r>
          </w:p>
        </w:tc>
        <w:tc>
          <w:tcPr>
            <w:tcW w:type="dxa" w:w="3400"/>
            <w:shd w:fill="F3F4F6" w:color="auto" w:val="clear"/>
            <w:tcMar>
              <w:top w:type="dxa" w:w="100"/>
              <w:left w:type="dxa" w:w="120"/>
              <w:bottom w:type="dxa" w:w="100"/>
              <w:right w:type="dxa" w:w="120"/>
            </w:tcMar>
            <w:vAlign w:val="center"/>
          </w:tcPr>
          <w:p>
            <w:pPr>
              <w:jc w:val="left"/>
            </w:pPr>
            <w:r>
              <w:rPr>
                <w:b w:val="false"/>
                <w:bCs w:val="false"/>
              </w:rPr>
              <w:t xml:space="preserve">eptr2 istemcisinin konfigürasyonu, 2024–2026 saatlik piyasa verilerinin çekilmesi, aykırı değer/eksik veri temizliği, gecikme (lag_24, lag_168) ve takvim özniteliklerinin türetilmesi.</w:t>
            </w:r>
          </w:p>
        </w:tc>
        <w:tc>
          <w:tcPr>
            <w:tcW w:type="dxa" w:w="2000"/>
            <w:shd w:fill="F3F4F6" w:color="auto" w:val="clear"/>
            <w:tcMar>
              <w:top w:type="dxa" w:w="100"/>
              <w:left w:type="dxa" w:w="120"/>
              <w:bottom w:type="dxa" w:w="100"/>
              <w:right w:type="dxa" w:w="120"/>
            </w:tcMar>
            <w:vAlign w:val="center"/>
          </w:tcPr>
          <w:p>
            <w:pPr>
              <w:jc w:val="left"/>
            </w:pPr>
            <w:r>
              <w:rPr>
                <w:b w:val="false"/>
                <w:bCs w:val="false"/>
              </w:rPr>
              <w:t xml:space="preserve">Temizlenmiş Parquet veri seti, modüler veri çekme script'i ve öznitelik matrisi.</w:t>
            </w:r>
          </w:p>
        </w:tc>
      </w:tr>
      <w:tr>
        <w:tc>
          <w:tcPr>
            <w:tcW w:type="dxa" w:w="1300"/>
            <w:tcMar>
              <w:top w:type="dxa" w:w="100"/>
              <w:left w:type="dxa" w:w="120"/>
              <w:bottom w:type="dxa" w:w="100"/>
              <w:right w:type="dxa" w:w="120"/>
            </w:tcMar>
            <w:vAlign w:val="center"/>
          </w:tcPr>
          <w:p>
            <w:pPr>
              <w:jc w:val="left"/>
            </w:pPr>
            <w:r>
              <w:rPr>
                <w:b w:val="false"/>
                <w:bCs w:val="false"/>
              </w:rPr>
              <w:t xml:space="preserve">3. Hafta</w:t>
            </w:r>
          </w:p>
        </w:tc>
        <w:tc>
          <w:tcPr>
            <w:tcW w:type="dxa" w:w="2200"/>
            <w:tcMar>
              <w:top w:type="dxa" w:w="100"/>
              <w:left w:type="dxa" w:w="120"/>
              <w:bottom w:type="dxa" w:w="100"/>
              <w:right w:type="dxa" w:w="120"/>
            </w:tcMar>
            <w:vAlign w:val="center"/>
          </w:tcPr>
          <w:p>
            <w:pPr>
              <w:jc w:val="left"/>
            </w:pPr>
            <w:r>
              <w:rPr>
                <w:b w:val="false"/>
                <w:bCs w:val="false"/>
              </w:rPr>
              <w:t xml:space="preserve">AI Modelleme &amp; UI İskeleti</w:t>
            </w:r>
          </w:p>
        </w:tc>
        <w:tc>
          <w:tcPr>
            <w:tcW w:type="dxa" w:w="3400"/>
            <w:tcMar>
              <w:top w:type="dxa" w:w="100"/>
              <w:left w:type="dxa" w:w="120"/>
              <w:bottom w:type="dxa" w:w="100"/>
              <w:right w:type="dxa" w:w="120"/>
            </w:tcMar>
            <w:vAlign w:val="center"/>
          </w:tcPr>
          <w:p>
            <w:pPr>
              <w:jc w:val="left"/>
            </w:pPr>
            <w:r>
              <w:rPr>
                <w:b w:val="false"/>
                <w:bCs w:val="false"/>
              </w:rPr>
              <w:t xml:space="preserve">CatBoost ve LightGBM modellerinin zaman serisi validasyonu ile eğitilmesi, hiperparametre optimizasyonu, model metriklerinin (MAPE/RMSE) çıkarılması ve Streamlit koyu tema arayüzünün inşası.</w:t>
            </w:r>
          </w:p>
        </w:tc>
        <w:tc>
          <w:tcPr>
            <w:tcW w:type="dxa" w:w="2000"/>
            <w:tcMar>
              <w:top w:type="dxa" w:w="100"/>
              <w:left w:type="dxa" w:w="120"/>
              <w:bottom w:type="dxa" w:w="100"/>
              <w:right w:type="dxa" w:w="120"/>
            </w:tcMar>
            <w:vAlign w:val="center"/>
          </w:tcPr>
          <w:p>
            <w:pPr>
              <w:jc w:val="left"/>
            </w:pPr>
            <w:r>
              <w:rPr>
                <w:b w:val="false"/>
                <w:bCs w:val="false"/>
              </w:rPr>
              <w:t xml:space="preserve">Eğitilmiş model nesnesi (.joblib) ve yerel ortamda çalışan etkileşimli dashboard.</w:t>
            </w:r>
          </w:p>
        </w:tc>
      </w:tr>
      <w:tr>
        <w:tc>
          <w:tcPr>
            <w:tcW w:type="dxa" w:w="1300"/>
            <w:shd w:fill="F3F4F6" w:color="auto" w:val="clear"/>
            <w:tcMar>
              <w:top w:type="dxa" w:w="100"/>
              <w:left w:type="dxa" w:w="120"/>
              <w:bottom w:type="dxa" w:w="100"/>
              <w:right w:type="dxa" w:w="120"/>
            </w:tcMar>
            <w:vAlign w:val="center"/>
          </w:tcPr>
          <w:p>
            <w:pPr>
              <w:jc w:val="left"/>
            </w:pPr>
            <w:r>
              <w:rPr>
                <w:b w:val="false"/>
                <w:bCs w:val="false"/>
              </w:rPr>
              <w:t xml:space="preserve">4. Hafta</w:t>
            </w:r>
          </w:p>
        </w:tc>
        <w:tc>
          <w:tcPr>
            <w:tcW w:type="dxa" w:w="2200"/>
            <w:shd w:fill="F3F4F6" w:color="auto" w:val="clear"/>
            <w:tcMar>
              <w:top w:type="dxa" w:w="100"/>
              <w:left w:type="dxa" w:w="120"/>
              <w:bottom w:type="dxa" w:w="100"/>
              <w:right w:type="dxa" w:w="120"/>
            </w:tcMar>
            <w:vAlign w:val="center"/>
          </w:tcPr>
          <w:p>
            <w:pPr>
              <w:jc w:val="left"/>
            </w:pPr>
            <w:r>
              <w:rPr>
                <w:b w:val="false"/>
                <w:bCs w:val="false"/>
              </w:rPr>
              <w:t xml:space="preserve">Trading Simülatörü, Deploy &amp; Sunum</w:t>
            </w:r>
          </w:p>
        </w:tc>
        <w:tc>
          <w:tcPr>
            <w:tcW w:type="dxa" w:w="3400"/>
            <w:shd w:fill="F3F4F6" w:color="auto" w:val="clear"/>
            <w:tcMar>
              <w:top w:type="dxa" w:w="100"/>
              <w:left w:type="dxa" w:w="120"/>
              <w:bottom w:type="dxa" w:w="100"/>
              <w:right w:type="dxa" w:w="120"/>
            </w:tcMar>
            <w:vAlign w:val="center"/>
          </w:tcPr>
          <w:p>
            <w:pPr>
              <w:jc w:val="left"/>
            </w:pPr>
            <w:r>
              <w:rPr>
                <w:b w:val="false"/>
                <w:bCs w:val="false"/>
              </w:rPr>
              <w:t xml:space="preserve">P&amp;L trading ve spread risk modülünün arayüze bağlanması, uygulamanın Streamlit Community Cloud üzerinde canlıya alınması, GitHub reposunun dokümante edilmesi ve staj kapanış sunumu.</w:t>
            </w:r>
          </w:p>
        </w:tc>
        <w:tc>
          <w:tcPr>
            <w:tcW w:type="dxa" w:w="2000"/>
            <w:shd w:fill="F3F4F6" w:color="auto" w:val="clear"/>
            <w:tcMar>
              <w:top w:type="dxa" w:w="100"/>
              <w:left w:type="dxa" w:w="120"/>
              <w:bottom w:type="dxa" w:w="100"/>
              <w:right w:type="dxa" w:w="120"/>
            </w:tcMar>
            <w:vAlign w:val="center"/>
          </w:tcPr>
          <w:p>
            <w:pPr>
              <w:jc w:val="left"/>
            </w:pPr>
            <w:r>
              <w:rPr>
                <w:b w:val="false"/>
                <w:bCs w:val="false"/>
              </w:rPr>
              <w:t xml:space="preserve">İnternetten erişilebilir canlı web linki, GitHub reposu ve yönetici sunumu.</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Sayfa </w:t>
    </w:r>
    <w:r>
      <w:rPr>
        <w:color w:val="9CA3AF"/>
        <w:sz w:val="16"/>
        <w:szCs w:val="16"/>
      </w:rPr>
      <w:fldChar w:fldCharType="begin"/>
      <w:instrText xml:space="preserve">PAGE</w:instrText>
      <w:fldChar w:fldCharType="separate"/>
      <w:fldChar w:fldCharType="end"/>
    </w:r>
    <w:r>
      <w:rPr>
        <w:color w:val="9CA3AF"/>
        <w:sz w:val="16"/>
        <w:szCs w:val="16"/>
      </w:rPr>
      <w:t xml:space="preserve"> /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EPİAŞ PTF Tahmin &amp; Trading Terminali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2937" w:sz="6"/>
      </w:pBdr>
      <w:spacing w:after="160" w:before="320"/>
    </w:pPr>
    <w:rPr>
      <w:b/>
      <w:bCs/>
      <w:color w:val="1F2937"/>
      <w:sz w:val="30"/>
      <w:szCs w:val="30"/>
    </w:rPr>
  </w:style>
  <w:style w:type="paragraph" w:styleId="Heading2">
    <w:name w:val="Heading 2"/>
    <w:basedOn w:val="Normal"/>
    <w:next w:val="Normal"/>
    <w:qFormat/>
    <w:pPr>
      <w:spacing w:after="120" w:before="240"/>
    </w:pPr>
    <w:rP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2026-09-13T13:19:09.185Z</dcterms:created>
  <dcterms:modified xsi:type="dcterms:W3CDTF">2026-09-13T13:19:09.186Z</dcterms:modified>
</cp:coreProperties>
</file>

<file path=docProps/custom.xml><?xml version="1.0" encoding="utf-8"?>
<Properties xmlns="http://schemas.openxmlformats.org/officeDocument/2006/custom-properties" xmlns:vt="http://schemas.openxmlformats.org/officeDocument/2006/docPropsVTypes"/>
</file>