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7A65" w14:textId="4E96CE54" w:rsidR="00D33C37" w:rsidRDefault="000B0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PAPER OUTLINE</w:t>
      </w:r>
    </w:p>
    <w:p w14:paraId="74A157CF" w14:textId="5DD2F30D" w:rsidR="000B0EEF" w:rsidRDefault="00786D61" w:rsidP="00786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Introduction: a brief description of the origin of site response and its importance in earthquake engineering.</w:t>
      </w:r>
    </w:p>
    <w:p w14:paraId="5B391A4A" w14:textId="2452285E" w:rsidR="00786D61" w:rsidRDefault="00786D61" w:rsidP="00786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Quarter-Wavelength fundamental period of vibration of a soil layer derivation. Its application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geotechnical earthquake engineering. The provisions in the seismic codes limiting the layer thickness to 30 m, and the estimation of Vs based on the weighted time average of a horizontally polarized shear wave vertically propagating upward from the bedrock to the ground surface. Assumption of very small strains, and elastic isotropic media.</w:t>
      </w:r>
    </w:p>
    <w:p w14:paraId="75964C90" w14:textId="068CE52D" w:rsidR="00786D61" w:rsidRDefault="00786D61" w:rsidP="00786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Compact mathematical formulation</w:t>
      </w:r>
      <w:r w:rsidR="00DA3705">
        <w:rPr>
          <w:rFonts w:ascii="Times New Roman" w:hAnsi="Times New Roman" w:cs="Times New Roman"/>
        </w:rPr>
        <w:t xml:space="preserve"> of an unattenuated progressive wave in elastic isotropic layer on a rigid half-space. Plane wave propagation polarized in a vertical plane along the horizontal direction.</w:t>
      </w:r>
    </w:p>
    <w:p w14:paraId="56438663" w14:textId="024F95BD" w:rsidR="00DA3705" w:rsidRDefault="00DA3705" w:rsidP="00786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Generalized Rayleigh wave. Dispersive waves, wave-packet group velocity. Transport energy. Airy phase of dispersive Rayleigh waves. Kinetic energy density flux.</w:t>
      </w:r>
    </w:p>
    <w:p w14:paraId="4CE7150D" w14:textId="3D9F157D" w:rsidR="00DA3705" w:rsidRDefault="006758B5" w:rsidP="00786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 of Ellipticity based on the ratio of the displacement eigenfunctions. Application of the Ellipticity as proxy for predicting the fundamental and higher modes of the layer on a rigid half-space, in contrast with the traditional seismological and geotechnical earthquake engineering method and the most recent microtremor-based method.</w:t>
      </w:r>
    </w:p>
    <w:p w14:paraId="21EB6B65" w14:textId="6733082A" w:rsidR="006758B5" w:rsidRDefault="00092F2A" w:rsidP="00786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Triple-Resonance. The space-time coincidence of the stationarity of the group velocity, the maximum kinetic energy density flux and higher modes of the layer. Implications of a magnified site response, at a higher mode, larger than the site response specified in the seismic codes based on the fundamental mode.</w:t>
      </w:r>
    </w:p>
    <w:p w14:paraId="7551002E" w14:textId="3079720C" w:rsidR="00092F2A" w:rsidRPr="00786D61" w:rsidRDefault="00092F2A" w:rsidP="00786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Discussion and Conclusions.</w:t>
      </w:r>
    </w:p>
    <w:sectPr w:rsidR="00092F2A" w:rsidRPr="00786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01C2"/>
    <w:multiLevelType w:val="hybridMultilevel"/>
    <w:tmpl w:val="26EEE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69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EF"/>
    <w:rsid w:val="00092F2A"/>
    <w:rsid w:val="000B0EEF"/>
    <w:rsid w:val="006758B5"/>
    <w:rsid w:val="00786D61"/>
    <w:rsid w:val="00A96A17"/>
    <w:rsid w:val="00D33C37"/>
    <w:rsid w:val="00D75AE9"/>
    <w:rsid w:val="00DA3705"/>
    <w:rsid w:val="00FA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FE28"/>
  <w15:chartTrackingRefBased/>
  <w15:docId w15:val="{F1C7EF9C-1547-479B-9895-A9685070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1375</Characters>
  <Application>Microsoft Office Word</Application>
  <DocSecurity>0</DocSecurity>
  <Lines>50</Lines>
  <Paragraphs>12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Lockhart</dc:creator>
  <cp:keywords/>
  <dc:description/>
  <cp:lastModifiedBy>Jose Lockhart</cp:lastModifiedBy>
  <cp:revision>2</cp:revision>
  <dcterms:created xsi:type="dcterms:W3CDTF">2026-06-04T15:38:00Z</dcterms:created>
  <dcterms:modified xsi:type="dcterms:W3CDTF">2026-06-04T15:38:00Z</dcterms:modified>
</cp:coreProperties>
</file>