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jc w:val="center"/>
      </w:pPr>
      <w:r>
        <w:rPr>
          <w:b/>
          <w:color w:val="0F6B5B"/>
          <w:sz w:val="26"/>
        </w:rPr>
        <w:t>FINASURE SOLUTIONS</w:t>
      </w:r>
    </w:p>
    <w:p>
      <w:pPr>
        <w:pStyle w:val="Title"/>
        <w:jc w:val="center"/>
      </w:pPr>
      <w:r>
        <w:t>Courtier Portefeuille</w:t>
      </w:r>
    </w:p>
    <w:p>
      <w:pPr>
        <w:pStyle w:val="Subtitle"/>
        <w:jc w:val="center"/>
      </w:pPr>
      <w:r>
        <w:t>Documentation fonctionnelle, technique, exploitation et plan de pérennisation</w:t>
      </w:r>
    </w:p>
    <w:p>
      <w:pPr>
        <w:pBdr>
          <w:bottom w:val="single" w:sz="10" w:color="B58200"/>
        </w:pBdr>
      </w:pPr>
    </w:p>
    <w:p>
      <w:pPr>
        <w:jc w:val="center"/>
      </w:pPr>
      <w:r>
        <w:rPr>
          <w:b/>
        </w:rPr>
        <w:t>Version documentaire 1.0</w:t>
        <w:br/>
      </w:r>
      <w:r>
        <w:t>État du code : commit 95b6a5c</w:t>
        <w:br/>
      </w:r>
      <w:r>
        <w:t>Date de référence : 7 septembre 2026</w:t>
        <w:br/>
      </w:r>
      <w:hyperlink r:id="rId11">
        <w:r>
          <w:rPr>
            <w:color w:val="0F6B5B"/>
            <w:u w:val="single"/>
          </w:rPr>
          <w:t>https://courtier-portefeuille.vercel.app</w:t>
        </w:r>
      </w:hyperlink>
    </w:p>
    <w:p>
      <w:pPr>
        <w:spacing w:after="900"/>
      </w:pPr>
    </w:p>
    <w:tbl>
      <w:tblPr>
        <w:tblW w:type="auto" w:w="0"/>
        <w:jc w:val="center"/>
        <w:tblLook w:firstColumn="1" w:firstRow="1" w:lastColumn="0" w:lastRow="0" w:noHBand="0" w:noVBand="1" w:val="04A0"/>
        <w:tblBorders>
          <w:top w:val="single" w:sz="8" w:color="A61B29"/>
          <w:left w:val="single" w:sz="8" w:color="A61B29"/>
          <w:bottom w:val="single" w:sz="8" w:color="A61B29"/>
          <w:right w:val="single" w:sz="8" w:color="A61B29"/>
          <w:insideH w:val="single" w:sz="8" w:color="A61B29"/>
          <w:insideV w:val="single" w:sz="8" w:color="A61B29"/>
        </w:tblBorders>
      </w:tblPr>
      <w:tblGrid>
        <w:gridCol w:w="9972"/>
      </w:tblGrid>
      <w:tr>
        <w:tc>
          <w:tcPr>
            <w:tcW w:type="dxa" w:w="9972"/>
            <w:shd w:fill="F7E9E9"/>
            <w:tcMar>
              <w:top w:w="140" w:type="dxa"/>
              <w:start w:w="160" w:type="dxa"/>
              <w:bottom w:w="140" w:type="dxa"/>
              <w:end w:w="160" w:type="dxa"/>
            </w:tcMar>
          </w:tcPr>
          <w:p>
            <w:r>
              <w:rPr>
                <w:b/>
                <w:color w:val="A61B29"/>
              </w:rPr>
              <w:t>CONFIDENTIALITÉ</w:t>
            </w:r>
            <w:r>
              <w:br/>
              <w:t>Document interne. Il ne contient volontairement aucun mot de passe, jeton JWT, jeton Blob ni URL PostgreSQL réelle. Les secrets doivent rester exclusivement dans les variables d’environnement sécurisées.</w:t>
            </w:r>
          </w:p>
        </w:tc>
      </w:tr>
    </w:tbl>
    <w:p>
      <w:pPr>
        <w:spacing w:after="0"/>
      </w:pPr>
    </w:p>
    <w:p>
      <w:r>
        <w:br w:type="page"/>
      </w:r>
    </w:p>
    <w:p>
      <w:pPr>
        <w:pStyle w:val="Heading1"/>
        <w:keepNext/>
      </w:pPr>
      <w:r>
        <w:t>Fiche du document</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4986"/>
        <w:gridCol w:w="4986"/>
      </w:tblGrid>
      <w:tr>
        <w:trPr>
          <w:tblHeader/>
        </w:trPr>
        <w:tc>
          <w:tcPr>
            <w:tcW w:type="dxa" w:w="2381"/>
            <w:shd w:fill="073B34"/>
            <w:tcMar>
              <w:top w:w="90" w:type="dxa"/>
              <w:start w:w="110" w:type="dxa"/>
              <w:bottom w:w="90" w:type="dxa"/>
              <w:end w:w="110" w:type="dxa"/>
            </w:tcMar>
            <w:vAlign w:val="center"/>
          </w:tcPr>
          <w:p>
            <w:r>
              <w:rPr>
                <w:b/>
                <w:color w:val="FFFFFF"/>
                <w:sz w:val="18"/>
              </w:rPr>
              <w:t>Élément</w:t>
            </w:r>
          </w:p>
        </w:tc>
        <w:tc>
          <w:tcPr>
            <w:tcW w:type="dxa" w:w="7087"/>
            <w:shd w:fill="073B34"/>
            <w:tcMar>
              <w:top w:w="90" w:type="dxa"/>
              <w:start w:w="110" w:type="dxa"/>
              <w:bottom w:w="90" w:type="dxa"/>
              <w:end w:w="110" w:type="dxa"/>
            </w:tcMar>
            <w:vAlign w:val="center"/>
          </w:tcPr>
          <w:p>
            <w:r>
              <w:rPr>
                <w:b/>
                <w:color w:val="FFFFFF"/>
                <w:sz w:val="18"/>
              </w:rPr>
              <w:t>Valeur</w:t>
            </w:r>
          </w:p>
        </w:tc>
      </w:tr>
      <w:tr>
        <w:tc>
          <w:tcPr>
            <w:tcW w:type="dxa" w:w="2381"/>
            <w:tcMar>
              <w:top w:w="90" w:type="dxa"/>
              <w:start w:w="110" w:type="dxa"/>
              <w:bottom w:w="90" w:type="dxa"/>
              <w:end w:w="110" w:type="dxa"/>
            </w:tcMar>
            <w:vAlign w:val="top"/>
          </w:tcPr>
          <w:p>
            <w:pPr>
              <w:spacing w:after="0"/>
            </w:pPr>
            <w:r>
              <w:rPr>
                <w:sz w:val="17"/>
              </w:rPr>
              <w:t>Produit</w:t>
            </w:r>
          </w:p>
        </w:tc>
        <w:tc>
          <w:tcPr>
            <w:tcW w:type="dxa" w:w="7087"/>
            <w:tcMar>
              <w:top w:w="90" w:type="dxa"/>
              <w:start w:w="110" w:type="dxa"/>
              <w:bottom w:w="90" w:type="dxa"/>
              <w:end w:w="110" w:type="dxa"/>
            </w:tcMar>
            <w:vAlign w:val="top"/>
          </w:tcPr>
          <w:p>
            <w:pPr>
              <w:spacing w:after="0"/>
            </w:pPr>
            <w:r>
              <w:rPr>
                <w:sz w:val="17"/>
              </w:rPr>
              <w:t>Application web de gestion de portefeuille d’assurance</w:t>
            </w:r>
          </w:p>
        </w:tc>
      </w:tr>
      <w:tr>
        <w:tc>
          <w:tcPr>
            <w:tcW w:type="dxa" w:w="2381"/>
            <w:tcMar>
              <w:top w:w="90" w:type="dxa"/>
              <w:start w:w="110" w:type="dxa"/>
              <w:bottom w:w="90" w:type="dxa"/>
              <w:end w:w="110" w:type="dxa"/>
            </w:tcMar>
            <w:vAlign w:val="top"/>
            <w:shd w:fill="F2F5F4"/>
          </w:tcPr>
          <w:p>
            <w:pPr>
              <w:spacing w:after="0"/>
            </w:pPr>
            <w:r>
              <w:rPr>
                <w:sz w:val="17"/>
              </w:rPr>
              <w:t>Propriétaire fonctionnel</w:t>
            </w:r>
          </w:p>
        </w:tc>
        <w:tc>
          <w:tcPr>
            <w:tcW w:type="dxa" w:w="7087"/>
            <w:tcMar>
              <w:top w:w="90" w:type="dxa"/>
              <w:start w:w="110" w:type="dxa"/>
              <w:bottom w:w="90" w:type="dxa"/>
              <w:end w:w="110" w:type="dxa"/>
            </w:tcMar>
            <w:vAlign w:val="top"/>
            <w:shd w:fill="F2F5F4"/>
          </w:tcPr>
          <w:p>
            <w:pPr>
              <w:spacing w:after="0"/>
            </w:pPr>
            <w:r>
              <w:rPr>
                <w:sz w:val="17"/>
              </w:rPr>
              <w:t>Finasure Solutions</w:t>
            </w:r>
          </w:p>
        </w:tc>
      </w:tr>
      <w:tr>
        <w:tc>
          <w:tcPr>
            <w:tcW w:type="dxa" w:w="2381"/>
            <w:tcMar>
              <w:top w:w="90" w:type="dxa"/>
              <w:start w:w="110" w:type="dxa"/>
              <w:bottom w:w="90" w:type="dxa"/>
              <w:end w:w="110" w:type="dxa"/>
            </w:tcMar>
            <w:vAlign w:val="top"/>
          </w:tcPr>
          <w:p>
            <w:pPr>
              <w:spacing w:after="0"/>
            </w:pPr>
            <w:r>
              <w:rPr>
                <w:sz w:val="17"/>
              </w:rPr>
              <w:t>Dépôt</w:t>
            </w:r>
          </w:p>
        </w:tc>
        <w:tc>
          <w:tcPr>
            <w:tcW w:type="dxa" w:w="7087"/>
            <w:tcMar>
              <w:top w:w="90" w:type="dxa"/>
              <w:start w:w="110" w:type="dxa"/>
              <w:bottom w:w="90" w:type="dxa"/>
              <w:end w:w="110" w:type="dxa"/>
            </w:tcMar>
            <w:vAlign w:val="top"/>
          </w:tcPr>
          <w:p>
            <w:pPr>
              <w:spacing w:after="0"/>
            </w:pPr>
            <w:r>
              <w:rPr>
                <w:sz w:val="17"/>
              </w:rPr>
              <w:t>ferjaouiamine/courtier-portefeuille</w:t>
            </w:r>
          </w:p>
        </w:tc>
      </w:tr>
      <w:tr>
        <w:tc>
          <w:tcPr>
            <w:tcW w:type="dxa" w:w="2381"/>
            <w:tcMar>
              <w:top w:w="90" w:type="dxa"/>
              <w:start w:w="110" w:type="dxa"/>
              <w:bottom w:w="90" w:type="dxa"/>
              <w:end w:w="110" w:type="dxa"/>
            </w:tcMar>
            <w:vAlign w:val="top"/>
            <w:shd w:fill="F2F5F4"/>
          </w:tcPr>
          <w:p>
            <w:pPr>
              <w:spacing w:after="0"/>
            </w:pPr>
            <w:r>
              <w:rPr>
                <w:sz w:val="17"/>
              </w:rPr>
              <w:t>Environnement public</w:t>
            </w:r>
          </w:p>
        </w:tc>
        <w:tc>
          <w:tcPr>
            <w:tcW w:type="dxa" w:w="7087"/>
            <w:tcMar>
              <w:top w:w="90" w:type="dxa"/>
              <w:start w:w="110" w:type="dxa"/>
              <w:bottom w:w="90" w:type="dxa"/>
              <w:end w:w="110" w:type="dxa"/>
            </w:tcMar>
            <w:vAlign w:val="top"/>
            <w:shd w:fill="F2F5F4"/>
          </w:tcPr>
          <w:p>
            <w:pPr>
              <w:spacing w:after="0"/>
            </w:pPr>
            <w:r>
              <w:rPr>
                <w:sz w:val="17"/>
              </w:rPr>
              <w:t>Vercel, domaine courtier-portefeuille.vercel.app</w:t>
            </w:r>
          </w:p>
        </w:tc>
      </w:tr>
      <w:tr>
        <w:tc>
          <w:tcPr>
            <w:tcW w:type="dxa" w:w="2381"/>
            <w:tcMar>
              <w:top w:w="90" w:type="dxa"/>
              <w:start w:w="110" w:type="dxa"/>
              <w:bottom w:w="90" w:type="dxa"/>
              <w:end w:w="110" w:type="dxa"/>
            </w:tcMar>
            <w:vAlign w:val="top"/>
          </w:tcPr>
          <w:p>
            <w:pPr>
              <w:spacing w:after="0"/>
            </w:pPr>
            <w:r>
              <w:rPr>
                <w:sz w:val="17"/>
              </w:rPr>
              <w:t>Base de données</w:t>
            </w:r>
          </w:p>
        </w:tc>
        <w:tc>
          <w:tcPr>
            <w:tcW w:type="dxa" w:w="7087"/>
            <w:tcMar>
              <w:top w:w="90" w:type="dxa"/>
              <w:start w:w="110" w:type="dxa"/>
              <w:bottom w:w="90" w:type="dxa"/>
              <w:end w:w="110" w:type="dxa"/>
            </w:tcMar>
            <w:vAlign w:val="top"/>
          </w:tcPr>
          <w:p>
            <w:pPr>
              <w:spacing w:after="0"/>
            </w:pPr>
            <w:r>
              <w:rPr>
                <w:sz w:val="17"/>
              </w:rPr>
              <w:t>PostgreSQL hébergé sur Neon</w:t>
            </w:r>
          </w:p>
        </w:tc>
      </w:tr>
      <w:tr>
        <w:tc>
          <w:tcPr>
            <w:tcW w:type="dxa" w:w="2381"/>
            <w:tcMar>
              <w:top w:w="90" w:type="dxa"/>
              <w:start w:w="110" w:type="dxa"/>
              <w:bottom w:w="90" w:type="dxa"/>
              <w:end w:w="110" w:type="dxa"/>
            </w:tcMar>
            <w:vAlign w:val="top"/>
            <w:shd w:fill="F2F5F4"/>
          </w:tcPr>
          <w:p>
            <w:pPr>
              <w:spacing w:after="0"/>
            </w:pPr>
            <w:r>
              <w:rPr>
                <w:sz w:val="17"/>
              </w:rPr>
              <w:t>Documents</w:t>
            </w:r>
          </w:p>
        </w:tc>
        <w:tc>
          <w:tcPr>
            <w:tcW w:type="dxa" w:w="7087"/>
            <w:tcMar>
              <w:top w:w="90" w:type="dxa"/>
              <w:start w:w="110" w:type="dxa"/>
              <w:bottom w:w="90" w:type="dxa"/>
              <w:end w:w="110" w:type="dxa"/>
            </w:tcMar>
            <w:vAlign w:val="top"/>
            <w:shd w:fill="F2F5F4"/>
          </w:tcPr>
          <w:p>
            <w:pPr>
              <w:spacing w:after="0"/>
            </w:pPr>
            <w:r>
              <w:rPr>
                <w:sz w:val="17"/>
              </w:rPr>
              <w:t>Vercel Blob privé en production, disque local en développement</w:t>
            </w:r>
          </w:p>
        </w:tc>
      </w:tr>
      <w:tr>
        <w:tc>
          <w:tcPr>
            <w:tcW w:type="dxa" w:w="2381"/>
            <w:tcMar>
              <w:top w:w="90" w:type="dxa"/>
              <w:start w:w="110" w:type="dxa"/>
              <w:bottom w:w="90" w:type="dxa"/>
              <w:end w:w="110" w:type="dxa"/>
            </w:tcMar>
            <w:vAlign w:val="top"/>
          </w:tcPr>
          <w:p>
            <w:pPr>
              <w:spacing w:after="0"/>
            </w:pPr>
            <w:r>
              <w:rPr>
                <w:sz w:val="17"/>
              </w:rPr>
              <w:t>Public visé</w:t>
            </w:r>
          </w:p>
        </w:tc>
        <w:tc>
          <w:tcPr>
            <w:tcW w:type="dxa" w:w="7087"/>
            <w:tcMar>
              <w:top w:w="90" w:type="dxa"/>
              <w:start w:w="110" w:type="dxa"/>
              <w:bottom w:w="90" w:type="dxa"/>
              <w:end w:w="110" w:type="dxa"/>
            </w:tcMar>
            <w:vAlign w:val="top"/>
          </w:tcPr>
          <w:p>
            <w:pPr>
              <w:spacing w:after="0"/>
            </w:pPr>
            <w:r>
              <w:rPr>
                <w:sz w:val="17"/>
              </w:rPr>
              <w:t>Administrateurs, agents, lecteurs et futurs profils comptables</w:t>
            </w:r>
          </w:p>
        </w:tc>
      </w:tr>
      <w:tr>
        <w:tc>
          <w:tcPr>
            <w:tcW w:type="dxa" w:w="2381"/>
            <w:tcMar>
              <w:top w:w="90" w:type="dxa"/>
              <w:start w:w="110" w:type="dxa"/>
              <w:bottom w:w="90" w:type="dxa"/>
              <w:end w:w="110" w:type="dxa"/>
            </w:tcMar>
            <w:vAlign w:val="top"/>
            <w:shd w:fill="F2F5F4"/>
          </w:tcPr>
          <w:p>
            <w:pPr>
              <w:spacing w:after="0"/>
            </w:pPr>
            <w:r>
              <w:rPr>
                <w:sz w:val="17"/>
              </w:rPr>
              <w:t>Révision recommandée</w:t>
            </w:r>
          </w:p>
        </w:tc>
        <w:tc>
          <w:tcPr>
            <w:tcW w:type="dxa" w:w="7087"/>
            <w:tcMar>
              <w:top w:w="90" w:type="dxa"/>
              <w:start w:w="110" w:type="dxa"/>
              <w:bottom w:w="90" w:type="dxa"/>
              <w:end w:w="110" w:type="dxa"/>
            </w:tcMar>
            <w:vAlign w:val="top"/>
            <w:shd w:fill="F2F5F4"/>
          </w:tcPr>
          <w:p>
            <w:pPr>
              <w:spacing w:after="0"/>
            </w:pPr>
            <w:r>
              <w:rPr>
                <w:sz w:val="17"/>
              </w:rPr>
              <w:t>Après chaque changement métier majeur et au minimum chaque trimestre</w:t>
            </w:r>
          </w:p>
        </w:tc>
      </w:tr>
    </w:tbl>
    <w:p>
      <w:pPr>
        <w:spacing w:after="0"/>
      </w:pPr>
    </w:p>
    <w:p>
      <w:pPr>
        <w:pStyle w:val="Heading2"/>
        <w:keepNext/>
      </w:pPr>
      <w:r>
        <w:t>Historique documentaire</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2493"/>
        <w:gridCol w:w="2493"/>
        <w:gridCol w:w="2493"/>
        <w:gridCol w:w="2493"/>
      </w:tblGrid>
      <w:tr>
        <w:trPr>
          <w:tblHeader/>
        </w:trPr>
        <w:tc>
          <w:tcPr>
            <w:tcW w:type="dxa" w:w="1134"/>
            <w:shd w:fill="073B34"/>
            <w:tcMar>
              <w:top w:w="90" w:type="dxa"/>
              <w:start w:w="110" w:type="dxa"/>
              <w:bottom w:w="90" w:type="dxa"/>
              <w:end w:w="110" w:type="dxa"/>
            </w:tcMar>
            <w:vAlign w:val="center"/>
          </w:tcPr>
          <w:p>
            <w:r>
              <w:rPr>
                <w:b/>
                <w:color w:val="FFFFFF"/>
                <w:sz w:val="18"/>
              </w:rPr>
              <w:t>Version</w:t>
            </w:r>
          </w:p>
        </w:tc>
        <w:tc>
          <w:tcPr>
            <w:tcW w:type="dxa" w:w="1701"/>
            <w:shd w:fill="073B34"/>
            <w:tcMar>
              <w:top w:w="90" w:type="dxa"/>
              <w:start w:w="110" w:type="dxa"/>
              <w:bottom w:w="90" w:type="dxa"/>
              <w:end w:w="110" w:type="dxa"/>
            </w:tcMar>
            <w:vAlign w:val="center"/>
          </w:tcPr>
          <w:p>
            <w:r>
              <w:rPr>
                <w:b/>
                <w:color w:val="FFFFFF"/>
                <w:sz w:val="18"/>
              </w:rPr>
              <w:t>Date</w:t>
            </w:r>
          </w:p>
        </w:tc>
        <w:tc>
          <w:tcPr>
            <w:tcW w:type="dxa" w:w="4819"/>
            <w:shd w:fill="073B34"/>
            <w:tcMar>
              <w:top w:w="90" w:type="dxa"/>
              <w:start w:w="110" w:type="dxa"/>
              <w:bottom w:w="90" w:type="dxa"/>
              <w:end w:w="110" w:type="dxa"/>
            </w:tcMar>
            <w:vAlign w:val="center"/>
          </w:tcPr>
          <w:p>
            <w:r>
              <w:rPr>
                <w:b/>
                <w:color w:val="FFFFFF"/>
                <w:sz w:val="18"/>
              </w:rPr>
              <w:t>Objet</w:t>
            </w:r>
          </w:p>
        </w:tc>
        <w:tc>
          <w:tcPr>
            <w:tcW w:type="dxa" w:w="1814"/>
            <w:shd w:fill="073B34"/>
            <w:tcMar>
              <w:top w:w="90" w:type="dxa"/>
              <w:start w:w="110" w:type="dxa"/>
              <w:bottom w:w="90" w:type="dxa"/>
              <w:end w:w="110" w:type="dxa"/>
            </w:tcMar>
            <w:vAlign w:val="center"/>
          </w:tcPr>
          <w:p>
            <w:r>
              <w:rPr>
                <w:b/>
                <w:color w:val="FFFFFF"/>
                <w:sz w:val="18"/>
              </w:rPr>
              <w:t>Statut</w:t>
            </w:r>
          </w:p>
        </w:tc>
      </w:tr>
      <w:tr>
        <w:tc>
          <w:tcPr>
            <w:tcW w:type="dxa" w:w="1134"/>
            <w:tcMar>
              <w:top w:w="90" w:type="dxa"/>
              <w:start w:w="110" w:type="dxa"/>
              <w:bottom w:w="90" w:type="dxa"/>
              <w:end w:w="110" w:type="dxa"/>
            </w:tcMar>
            <w:vAlign w:val="top"/>
          </w:tcPr>
          <w:p>
            <w:pPr>
              <w:spacing w:after="0"/>
            </w:pPr>
            <w:r>
              <w:rPr>
                <w:sz w:val="17"/>
              </w:rPr>
              <w:t>1.0</w:t>
            </w:r>
          </w:p>
        </w:tc>
        <w:tc>
          <w:tcPr>
            <w:tcW w:type="dxa" w:w="1701"/>
            <w:tcMar>
              <w:top w:w="90" w:type="dxa"/>
              <w:start w:w="110" w:type="dxa"/>
              <w:bottom w:w="90" w:type="dxa"/>
              <w:end w:w="110" w:type="dxa"/>
            </w:tcMar>
            <w:vAlign w:val="top"/>
          </w:tcPr>
          <w:p>
            <w:pPr>
              <w:spacing w:after="0"/>
            </w:pPr>
            <w:r>
              <w:rPr>
                <w:sz w:val="17"/>
              </w:rPr>
              <w:t>07/09/2026</w:t>
            </w:r>
          </w:p>
        </w:tc>
        <w:tc>
          <w:tcPr>
            <w:tcW w:type="dxa" w:w="4819"/>
            <w:tcMar>
              <w:top w:w="90" w:type="dxa"/>
              <w:start w:w="110" w:type="dxa"/>
              <w:bottom w:w="90" w:type="dxa"/>
              <w:end w:w="110" w:type="dxa"/>
            </w:tcMar>
            <w:vAlign w:val="top"/>
          </w:tcPr>
          <w:p>
            <w:pPr>
              <w:spacing w:after="0"/>
            </w:pPr>
            <w:r>
              <w:rPr>
                <w:sz w:val="17"/>
              </w:rPr>
              <w:t>Première documentation consolidée à partir du code</w:t>
            </w:r>
          </w:p>
        </w:tc>
        <w:tc>
          <w:tcPr>
            <w:tcW w:type="dxa" w:w="1814"/>
            <w:tcMar>
              <w:top w:w="90" w:type="dxa"/>
              <w:start w:w="110" w:type="dxa"/>
              <w:bottom w:w="90" w:type="dxa"/>
              <w:end w:w="110" w:type="dxa"/>
            </w:tcMar>
            <w:vAlign w:val="top"/>
          </w:tcPr>
          <w:p>
            <w:pPr>
              <w:spacing w:after="0"/>
            </w:pPr>
            <w:r>
              <w:rPr>
                <w:sz w:val="17"/>
              </w:rPr>
              <w:t>Référence initiale</w:t>
            </w:r>
          </w:p>
        </w:tc>
      </w:tr>
    </w:tbl>
    <w:p>
      <w:pPr>
        <w:spacing w:after="0"/>
      </w:pPr>
    </w:p>
    <w:p>
      <w:pPr>
        <w:pStyle w:val="Heading1"/>
        <w:keepNext/>
      </w:pPr>
      <w:r>
        <w:t>Table des matières</w:t>
      </w:r>
    </w:p>
    <w:p>
      <w:r>
        <w:fldChar w:fldCharType="begin"/>
        <w:instrText xml:space="preserve">TOC \o "1-3" \h \z \u</w:instrText>
        <w:fldChar w:fldCharType="separate">
          <w:t>Ouvrez le document dans Word puis actualisez la table des matières.</w:t>
        </w:fldChar>
        <w:fldChar w:fldCharType="end"/>
      </w:r>
    </w:p>
    <w:tbl>
      <w:tblPr>
        <w:tblW w:type="auto" w:w="0"/>
        <w:jc w:val="center"/>
        <w:tblLook w:firstColumn="1" w:firstRow="1" w:lastColumn="0" w:lastRow="0" w:noHBand="0" w:noVBand="1" w:val="04A0"/>
        <w:tblBorders>
          <w:top w:val="single" w:sz="8" w:color="0F6B5B"/>
          <w:left w:val="single" w:sz="8" w:color="0F6B5B"/>
          <w:bottom w:val="single" w:sz="8" w:color="0F6B5B"/>
          <w:right w:val="single" w:sz="8" w:color="0F6B5B"/>
          <w:insideH w:val="single" w:sz="8" w:color="0F6B5B"/>
          <w:insideV w:val="single" w:sz="8" w:color="0F6B5B"/>
        </w:tblBorders>
      </w:tblPr>
      <w:tblGrid>
        <w:gridCol w:w="9972"/>
      </w:tblGrid>
      <w:tr>
        <w:tc>
          <w:tcPr>
            <w:tcW w:type="dxa" w:w="9972"/>
            <w:shd w:fill="DDECE7"/>
            <w:tcMar>
              <w:top w:w="140" w:type="dxa"/>
              <w:start w:w="160" w:type="dxa"/>
              <w:bottom w:w="140" w:type="dxa"/>
              <w:end w:w="160" w:type="dxa"/>
            </w:tcMar>
          </w:tcPr>
          <w:p>
            <w:r>
              <w:rPr>
                <w:b/>
                <w:color w:val="0F6B5B"/>
              </w:rPr>
              <w:t>MISE À JOUR DANS WORD</w:t>
            </w:r>
            <w:r>
              <w:br/>
              <w:t>Cliquez dans la table des matières, puis choisissez « Mettre à jour toute la table » pour recalculer les numéros de page.</w:t>
            </w:r>
          </w:p>
        </w:tc>
      </w:tr>
    </w:tbl>
    <w:p>
      <w:pPr>
        <w:spacing w:after="0"/>
      </w:pPr>
    </w:p>
    <w:p>
      <w:r>
        <w:br w:type="page"/>
      </w:r>
    </w:p>
    <w:p>
      <w:pPr>
        <w:pStyle w:val="Heading1"/>
        <w:keepNext/>
      </w:pPr>
      <w:r>
        <w:t>1. Résumé exécutif</w:t>
      </w:r>
    </w:p>
    <w:p>
      <w:r>
        <w:t>Courtier Portefeuille centralise les clients, les contrats d’assurance, les échéances, les encaissements, les relances, les pièces jointes et les référentiels d’un cabinet de courtage. L’application remplace un suivi dispersé dans Excel par une base PostgreSQL structurée, une interface responsive et une traçabilité nominative des opérations.</w:t>
      </w:r>
    </w:p>
    <w:p>
      <w:r>
        <w:t>La solution actuelle convient à une petite équipe et possède déjà plusieurs fondations utiles pour évoluer : isolation par organisation, pagination, index PostgreSQL, contrôle de rôles, journal d’audit et stockage objet privé. Pour devenir un service durable utilisé par plusieurs milliers de comptes, elle doit encore renforcer la gestion des identités, les migrations, les sauvegardes cloud, l’observabilité, les tests et les traitements asynchrones.</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1701"/>
            <w:shd w:fill="073B34"/>
            <w:tcMar>
              <w:top w:w="90" w:type="dxa"/>
              <w:start w:w="110" w:type="dxa"/>
              <w:bottom w:w="90" w:type="dxa"/>
              <w:end w:w="110" w:type="dxa"/>
            </w:tcMar>
            <w:vAlign w:val="center"/>
          </w:tcPr>
          <w:p>
            <w:r>
              <w:rPr>
                <w:b/>
                <w:color w:val="FFFFFF"/>
                <w:sz w:val="18"/>
              </w:rPr>
              <w:t>Axe</w:t>
            </w:r>
          </w:p>
        </w:tc>
        <w:tc>
          <w:tcPr>
            <w:tcW w:type="dxa" w:w="3402"/>
            <w:shd w:fill="073B34"/>
            <w:tcMar>
              <w:top w:w="90" w:type="dxa"/>
              <w:start w:w="110" w:type="dxa"/>
              <w:bottom w:w="90" w:type="dxa"/>
              <w:end w:w="110" w:type="dxa"/>
            </w:tcMar>
            <w:vAlign w:val="center"/>
          </w:tcPr>
          <w:p>
            <w:r>
              <w:rPr>
                <w:b/>
                <w:color w:val="FFFFFF"/>
                <w:sz w:val="18"/>
              </w:rPr>
              <w:t>État actuel</w:t>
            </w:r>
          </w:p>
        </w:tc>
        <w:tc>
          <w:tcPr>
            <w:tcW w:type="dxa" w:w="4252"/>
            <w:shd w:fill="073B34"/>
            <w:tcMar>
              <w:top w:w="90" w:type="dxa"/>
              <w:start w:w="110" w:type="dxa"/>
              <w:bottom w:w="90" w:type="dxa"/>
              <w:end w:w="110" w:type="dxa"/>
            </w:tcMar>
            <w:vAlign w:val="center"/>
          </w:tcPr>
          <w:p>
            <w:r>
              <w:rPr>
                <w:b/>
                <w:color w:val="FFFFFF"/>
                <w:sz w:val="18"/>
              </w:rPr>
              <w:t>Objectif long terme</w:t>
            </w:r>
          </w:p>
        </w:tc>
      </w:tr>
      <w:tr>
        <w:tc>
          <w:tcPr>
            <w:tcW w:type="dxa" w:w="1701"/>
            <w:tcMar>
              <w:top w:w="90" w:type="dxa"/>
              <w:start w:w="110" w:type="dxa"/>
              <w:bottom w:w="90" w:type="dxa"/>
              <w:end w:w="110" w:type="dxa"/>
            </w:tcMar>
            <w:vAlign w:val="top"/>
          </w:tcPr>
          <w:p>
            <w:pPr>
              <w:spacing w:after="0"/>
            </w:pPr>
            <w:r>
              <w:rPr>
                <w:sz w:val="17"/>
              </w:rPr>
              <w:t>Métier</w:t>
            </w:r>
          </w:p>
        </w:tc>
        <w:tc>
          <w:tcPr>
            <w:tcW w:type="dxa" w:w="3402"/>
            <w:tcMar>
              <w:top w:w="90" w:type="dxa"/>
              <w:start w:w="110" w:type="dxa"/>
              <w:bottom w:w="90" w:type="dxa"/>
              <w:end w:w="110" w:type="dxa"/>
            </w:tcMar>
            <w:vAlign w:val="top"/>
          </w:tcPr>
          <w:p>
            <w:pPr>
              <w:spacing w:after="0"/>
            </w:pPr>
            <w:r>
              <w:rPr>
                <w:sz w:val="17"/>
              </w:rPr>
              <w:t>Parcours principaux opérationnels</w:t>
            </w:r>
          </w:p>
        </w:tc>
        <w:tc>
          <w:tcPr>
            <w:tcW w:type="dxa" w:w="4252"/>
            <w:tcMar>
              <w:top w:w="90" w:type="dxa"/>
              <w:start w:w="110" w:type="dxa"/>
              <w:bottom w:w="90" w:type="dxa"/>
              <w:end w:w="110" w:type="dxa"/>
            </w:tcMar>
            <w:vAlign w:val="top"/>
          </w:tcPr>
          <w:p>
            <w:pPr>
              <w:spacing w:after="0"/>
            </w:pPr>
            <w:r>
              <w:rPr>
                <w:sz w:val="17"/>
              </w:rPr>
              <w:t>Règles validées, paramétrables et documentées</w:t>
            </w:r>
          </w:p>
        </w:tc>
      </w:tr>
      <w:tr>
        <w:tc>
          <w:tcPr>
            <w:tcW w:type="dxa" w:w="1701"/>
            <w:tcMar>
              <w:top w:w="90" w:type="dxa"/>
              <w:start w:w="110" w:type="dxa"/>
              <w:bottom w:w="90" w:type="dxa"/>
              <w:end w:w="110" w:type="dxa"/>
            </w:tcMar>
            <w:vAlign w:val="top"/>
            <w:shd w:fill="F2F5F4"/>
          </w:tcPr>
          <w:p>
            <w:pPr>
              <w:spacing w:after="0"/>
            </w:pPr>
            <w:r>
              <w:rPr>
                <w:sz w:val="17"/>
              </w:rPr>
              <w:t>Sécurité</w:t>
            </w:r>
          </w:p>
        </w:tc>
        <w:tc>
          <w:tcPr>
            <w:tcW w:type="dxa" w:w="3402"/>
            <w:tcMar>
              <w:top w:w="90" w:type="dxa"/>
              <w:start w:w="110" w:type="dxa"/>
              <w:bottom w:w="90" w:type="dxa"/>
              <w:end w:w="110" w:type="dxa"/>
            </w:tcMar>
            <w:vAlign w:val="top"/>
            <w:shd w:fill="F2F5F4"/>
          </w:tcPr>
          <w:p>
            <w:pPr>
              <w:spacing w:after="0"/>
            </w:pPr>
            <w:r>
              <w:rPr>
                <w:sz w:val="17"/>
              </w:rPr>
              <w:t>JWT, cookie httpOnly, bcrypt, rôles et RLS</w:t>
            </w:r>
          </w:p>
        </w:tc>
        <w:tc>
          <w:tcPr>
            <w:tcW w:type="dxa" w:w="4252"/>
            <w:tcMar>
              <w:top w:w="90" w:type="dxa"/>
              <w:start w:w="110" w:type="dxa"/>
              <w:bottom w:w="90" w:type="dxa"/>
              <w:end w:w="110" w:type="dxa"/>
            </w:tcMar>
            <w:vAlign w:val="top"/>
            <w:shd w:fill="F2F5F4"/>
          </w:tcPr>
          <w:p>
            <w:pPr>
              <w:spacing w:after="0"/>
            </w:pPr>
            <w:r>
              <w:rPr>
                <w:sz w:val="17"/>
              </w:rPr>
              <w:t>MFA, révocation de sessions, contrôle fin et audit immuable</w:t>
            </w:r>
          </w:p>
        </w:tc>
      </w:tr>
      <w:tr>
        <w:tc>
          <w:tcPr>
            <w:tcW w:type="dxa" w:w="1701"/>
            <w:tcMar>
              <w:top w:w="90" w:type="dxa"/>
              <w:start w:w="110" w:type="dxa"/>
              <w:bottom w:w="90" w:type="dxa"/>
              <w:end w:w="110" w:type="dxa"/>
            </w:tcMar>
            <w:vAlign w:val="top"/>
          </w:tcPr>
          <w:p>
            <w:pPr>
              <w:spacing w:after="0"/>
            </w:pPr>
            <w:r>
              <w:rPr>
                <w:sz w:val="17"/>
              </w:rPr>
              <w:t>Scalabilité</w:t>
            </w:r>
          </w:p>
        </w:tc>
        <w:tc>
          <w:tcPr>
            <w:tcW w:type="dxa" w:w="3402"/>
            <w:tcMar>
              <w:top w:w="90" w:type="dxa"/>
              <w:start w:w="110" w:type="dxa"/>
              <w:bottom w:w="90" w:type="dxa"/>
              <w:end w:w="110" w:type="dxa"/>
            </w:tcMar>
            <w:vAlign w:val="top"/>
          </w:tcPr>
          <w:p>
            <w:pPr>
              <w:spacing w:after="0"/>
            </w:pPr>
            <w:r>
              <w:rPr>
                <w:sz w:val="17"/>
              </w:rPr>
              <w:t>Pagination et index présents</w:t>
            </w:r>
          </w:p>
        </w:tc>
        <w:tc>
          <w:tcPr>
            <w:tcW w:type="dxa" w:w="4252"/>
            <w:tcMar>
              <w:top w:w="90" w:type="dxa"/>
              <w:start w:w="110" w:type="dxa"/>
              <w:bottom w:w="90" w:type="dxa"/>
              <w:end w:w="110" w:type="dxa"/>
            </w:tcMar>
            <w:vAlign w:val="top"/>
          </w:tcPr>
          <w:p>
            <w:pPr>
              <w:spacing w:after="0"/>
            </w:pPr>
            <w:r>
              <w:rPr>
                <w:sz w:val="17"/>
              </w:rPr>
              <w:t>Pool maîtrisé, cache, files de travaux et tests de charge</w:t>
            </w:r>
          </w:p>
        </w:tc>
      </w:tr>
      <w:tr>
        <w:tc>
          <w:tcPr>
            <w:tcW w:type="dxa" w:w="1701"/>
            <w:tcMar>
              <w:top w:w="90" w:type="dxa"/>
              <w:start w:w="110" w:type="dxa"/>
              <w:bottom w:w="90" w:type="dxa"/>
              <w:end w:w="110" w:type="dxa"/>
            </w:tcMar>
            <w:vAlign w:val="top"/>
            <w:shd w:fill="F2F5F4"/>
          </w:tcPr>
          <w:p>
            <w:pPr>
              <w:spacing w:after="0"/>
            </w:pPr>
            <w:r>
              <w:rPr>
                <w:sz w:val="17"/>
              </w:rPr>
              <w:t>Exploitation</w:t>
            </w:r>
          </w:p>
        </w:tc>
        <w:tc>
          <w:tcPr>
            <w:tcW w:type="dxa" w:w="3402"/>
            <w:tcMar>
              <w:top w:w="90" w:type="dxa"/>
              <w:start w:w="110" w:type="dxa"/>
              <w:bottom w:w="90" w:type="dxa"/>
              <w:end w:w="110" w:type="dxa"/>
            </w:tcMar>
            <w:vAlign w:val="top"/>
            <w:shd w:fill="F2F5F4"/>
          </w:tcPr>
          <w:p>
            <w:pPr>
              <w:spacing w:after="0"/>
            </w:pPr>
            <w:r>
              <w:rPr>
                <w:sz w:val="17"/>
              </w:rPr>
              <w:t>Vercel + Neon + Blob</w:t>
            </w:r>
          </w:p>
        </w:tc>
        <w:tc>
          <w:tcPr>
            <w:tcW w:type="dxa" w:w="4252"/>
            <w:tcMar>
              <w:top w:w="90" w:type="dxa"/>
              <w:start w:w="110" w:type="dxa"/>
              <w:bottom w:w="90" w:type="dxa"/>
              <w:end w:w="110" w:type="dxa"/>
            </w:tcMar>
            <w:vAlign w:val="top"/>
            <w:shd w:fill="F2F5F4"/>
          </w:tcPr>
          <w:p>
            <w:pPr>
              <w:spacing w:after="0"/>
            </w:pPr>
            <w:r>
              <w:rPr>
                <w:sz w:val="17"/>
              </w:rPr>
              <w:t>Supervision, alertes, sauvegarde vérifiée et procédure d’incident</w:t>
            </w:r>
          </w:p>
        </w:tc>
      </w:tr>
      <w:tr>
        <w:tc>
          <w:tcPr>
            <w:tcW w:type="dxa" w:w="1701"/>
            <w:tcMar>
              <w:top w:w="90" w:type="dxa"/>
              <w:start w:w="110" w:type="dxa"/>
              <w:bottom w:w="90" w:type="dxa"/>
              <w:end w:w="110" w:type="dxa"/>
            </w:tcMar>
            <w:vAlign w:val="top"/>
          </w:tcPr>
          <w:p>
            <w:pPr>
              <w:spacing w:after="0"/>
            </w:pPr>
            <w:r>
              <w:rPr>
                <w:sz w:val="17"/>
              </w:rPr>
              <w:t>Qualité</w:t>
            </w:r>
          </w:p>
        </w:tc>
        <w:tc>
          <w:tcPr>
            <w:tcW w:type="dxa" w:w="3402"/>
            <w:tcMar>
              <w:top w:w="90" w:type="dxa"/>
              <w:start w:w="110" w:type="dxa"/>
              <w:bottom w:w="90" w:type="dxa"/>
              <w:end w:w="110" w:type="dxa"/>
            </w:tcMar>
            <w:vAlign w:val="top"/>
          </w:tcPr>
          <w:p>
            <w:pPr>
              <w:spacing w:after="0"/>
            </w:pPr>
            <w:r>
              <w:rPr>
                <w:sz w:val="17"/>
              </w:rPr>
              <w:t>Tests unitaires et quelques intégrations</w:t>
            </w:r>
          </w:p>
        </w:tc>
        <w:tc>
          <w:tcPr>
            <w:tcW w:type="dxa" w:w="4252"/>
            <w:tcMar>
              <w:top w:w="90" w:type="dxa"/>
              <w:start w:w="110" w:type="dxa"/>
              <w:bottom w:w="90" w:type="dxa"/>
              <w:end w:w="110" w:type="dxa"/>
            </w:tcMar>
            <w:vAlign w:val="top"/>
          </w:tcPr>
          <w:p>
            <w:pPr>
              <w:spacing w:after="0"/>
            </w:pPr>
            <w:r>
              <w:rPr>
                <w:sz w:val="17"/>
              </w:rPr>
              <w:t>CI complète, tests E2E et déploiement contrôlé</w:t>
            </w:r>
          </w:p>
        </w:tc>
      </w:tr>
    </w:tbl>
    <w:p>
      <w:pPr>
        <w:spacing w:after="0"/>
      </w:pPr>
    </w:p>
    <w:tbl>
      <w:tblPr>
        <w:tblW w:type="auto" w:w="0"/>
        <w:jc w:val="center"/>
        <w:tblLook w:firstColumn="1" w:firstRow="1" w:lastColumn="0" w:lastRow="0" w:noHBand="0" w:noVBand="1" w:val="04A0"/>
        <w:tblBorders>
          <w:top w:val="single" w:sz="8" w:color="B58200"/>
          <w:left w:val="single" w:sz="8" w:color="B58200"/>
          <w:bottom w:val="single" w:sz="8" w:color="B58200"/>
          <w:right w:val="single" w:sz="8" w:color="B58200"/>
          <w:insideH w:val="single" w:sz="8" w:color="B58200"/>
          <w:insideV w:val="single" w:sz="8" w:color="B58200"/>
        </w:tblBorders>
      </w:tblPr>
      <w:tblGrid>
        <w:gridCol w:w="9972"/>
      </w:tblGrid>
      <w:tr>
        <w:tc>
          <w:tcPr>
            <w:tcW w:type="dxa" w:w="9972"/>
            <w:shd w:fill="FFF4D6"/>
            <w:tcMar>
              <w:top w:w="140" w:type="dxa"/>
              <w:start w:w="160" w:type="dxa"/>
              <w:bottom w:w="140" w:type="dxa"/>
              <w:end w:w="160" w:type="dxa"/>
            </w:tcMar>
          </w:tcPr>
          <w:p>
            <w:r>
              <w:rPr>
                <w:b/>
                <w:color w:val="B58200"/>
              </w:rPr>
              <w:t>PRIORITÉ IMMÉDIATE</w:t>
            </w:r>
            <w:r>
              <w:br/>
              <w:t>Faire tourner les secrets déjà partagés dans des conversations ou captures, vérifier le stockage Blob privé, définir une stratégie de sauvegarde Neon et contrôler les données historiques après le passage au calcul automatique de la date de fin.</w:t>
            </w:r>
          </w:p>
        </w:tc>
      </w:tr>
    </w:tbl>
    <w:p>
      <w:pPr>
        <w:spacing w:after="0"/>
      </w:pPr>
    </w:p>
    <w:p>
      <w:pPr>
        <w:pStyle w:val="Heading1"/>
        <w:keepNext/>
      </w:pPr>
      <w:r>
        <w:t>2. Périmètre fonctionnel</w:t>
      </w:r>
    </w:p>
    <w:p>
      <w:pPr>
        <w:pStyle w:val="Heading2"/>
        <w:keepNext/>
      </w:pPr>
      <w:r>
        <w:t>2.1 Fonctionnalités disponibles</w:t>
      </w:r>
    </w:p>
    <w:p>
      <w:pPr>
        <w:pStyle w:val="ListBullet"/>
      </w:pPr>
      <w:r>
        <w:t>Connexion sécurisée par e-mail et mot de passe, avec session en cookie httpOnly.</w:t>
      </w:r>
    </w:p>
    <w:p>
      <w:pPr>
        <w:pStyle w:val="ListBullet"/>
      </w:pPr>
      <w:r>
        <w:t>Tableau de bord : contrats, primes, échéances en retard, échéances sous 30 jours, répartition par compagnie et branche, encaissements sur 12 mois.</w:t>
      </w:r>
    </w:p>
    <w:p>
      <w:pPr>
        <w:pStyle w:val="ListBullet"/>
      </w:pPr>
      <w:r>
        <w:t>Frise et liste des échéances des 120 prochains jours ; un clic ouvre le contrat concerné.</w:t>
      </w:r>
    </w:p>
    <w:p>
      <w:pPr>
        <w:pStyle w:val="ListBullet"/>
      </w:pPr>
      <w:r>
        <w:t>Gestion des clients personnes physiques ou morales, avec date de naissance pour les personnes physiques.</w:t>
      </w:r>
    </w:p>
    <w:p>
      <w:pPr>
        <w:pStyle w:val="ListBullet"/>
      </w:pPr>
      <w:r>
        <w:t>Création, consultation, modification, recherche, tri, archivage, restauration et suppression définitive des contrats et clients selon les règles de dépendance.</w:t>
      </w:r>
    </w:p>
    <w:p>
      <w:pPr>
        <w:pStyle w:val="ListBullet"/>
      </w:pPr>
      <w:r>
        <w:t>Gestion du souscripteur, du payeur et d’une société de leasing saisie en texte libre.</w:t>
      </w:r>
    </w:p>
    <w:p>
      <w:pPr>
        <w:pStyle w:val="ListBullet"/>
      </w:pPr>
      <w:r>
        <w:t>Référentiel des compagnies et produits, classés par branche d’assurance.</w:t>
      </w:r>
    </w:p>
    <w:p>
      <w:pPr>
        <w:pStyle w:val="ListBullet"/>
      </w:pPr>
      <w:r>
        <w:t>Échéances filtrables par fenêtre, urgence, type, compagnie et recherche.</w:t>
      </w:r>
    </w:p>
    <w:p>
      <w:pPr>
        <w:pStyle w:val="ListBullet"/>
      </w:pPr>
      <w:r>
        <w:t>Encaissement total ou partiel et recalcul automatique du statut de l’échéance.</w:t>
      </w:r>
    </w:p>
    <w:p>
      <w:pPr>
        <w:pStyle w:val="ListBullet"/>
      </w:pPr>
      <w:r>
        <w:t>Relances manuelles par appel, SMS, WhatsApp, e-mail ou type automatique.</w:t>
      </w:r>
    </w:p>
    <w:p>
      <w:pPr>
        <w:pStyle w:val="ListBullet"/>
      </w:pPr>
      <w:r>
        <w:t>Pièces jointes PDF, JPG et PNG rattachées aux contrats.</w:t>
      </w:r>
    </w:p>
    <w:p>
      <w:pPr>
        <w:pStyle w:val="ListBullet"/>
      </w:pPr>
      <w:r>
        <w:t>Export CSV du portefeuille, compatible avec Excel en français.</w:t>
      </w:r>
    </w:p>
    <w:p>
      <w:pPr>
        <w:pStyle w:val="ListBullet"/>
      </w:pPr>
      <w:r>
        <w:t>Journal des activités indiquant l’administrateur, l’action, la date et les champs modifiés.</w:t>
      </w:r>
    </w:p>
    <w:p>
      <w:pPr>
        <w:pStyle w:val="ListBullet"/>
      </w:pPr>
      <w:r>
        <w:t>Corbeille avec restauration et suppression définitive réservées aux administrateurs.</w:t>
      </w:r>
    </w:p>
    <w:p>
      <w:pPr>
        <w:pStyle w:val="ListBullet"/>
      </w:pPr>
      <w:r>
        <w:t>Import initial depuis un fichier Excel avec rapport des corrections et anomalies.</w:t>
      </w:r>
    </w:p>
    <w:p>
      <w:pPr>
        <w:pStyle w:val="Heading2"/>
        <w:keepNext/>
      </w:pPr>
      <w:r>
        <w:t>2.2 Hors périmètre ou incomplet aujourd’hui</w:t>
      </w:r>
    </w:p>
    <w:p>
      <w:pPr>
        <w:pStyle w:val="ListBullet"/>
      </w:pPr>
      <w:r>
        <w:t>Aucune interface autonome de gestion des utilisateurs, des rôles ou des mots de passe.</w:t>
      </w:r>
    </w:p>
    <w:p>
      <w:pPr>
        <w:pStyle w:val="ListBullet"/>
      </w:pPr>
      <w:r>
        <w:t>Aucun parcours « mot de passe oublié », MFA ou fermeture immédiate de toutes les sessions.</w:t>
      </w:r>
    </w:p>
    <w:p>
      <w:pPr>
        <w:pStyle w:val="ListBullet"/>
      </w:pPr>
      <w:r>
        <w:t>Le rôle comptable et le rôle super-administrateur sont proposés dans ce document mais ne sont pas encore implémentés.</w:t>
      </w:r>
    </w:p>
    <w:p>
      <w:pPr>
        <w:pStyle w:val="ListBullet"/>
      </w:pPr>
      <w:r>
        <w:t>Le script npm de relances automatiques référence un fichier absent ; l’automatisation des relances n’est donc pas opérationnelle.</w:t>
      </w:r>
    </w:p>
    <w:p>
      <w:pPr>
        <w:pStyle w:val="ListBullet"/>
      </w:pPr>
      <w:r>
        <w:t>La date de fin reste stockée techniquement mais elle est calculée automatiquement à partir de la date d’effet et de la durée.</w:t>
      </w:r>
    </w:p>
    <w:p>
      <w:pPr>
        <w:pStyle w:val="ListBullet"/>
      </w:pPr>
      <w:r>
        <w:t>Les sauvegardes fournies ciblent Docker local ; la production Neon/Blob exige une procédure cloud distincte.</w:t>
      </w:r>
    </w:p>
    <w:p>
      <w:pPr>
        <w:pStyle w:val="ListBullet"/>
      </w:pPr>
      <w:r>
        <w:t>Les pièces jointes envoyées par le serveur Vercel sont limitées à 4 Mo.</w:t>
      </w:r>
    </w:p>
    <w:p>
      <w:pPr>
        <w:pStyle w:val="ListBullet"/>
      </w:pPr>
      <w:r>
        <w:t>Les champs historiques de commission restent présents dans le schéma même s’ils ne font plus partie du parcours métier principal ; une décision de migration est nécessaire.</w:t>
      </w:r>
    </w:p>
    <w:p>
      <w:pPr>
        <w:pStyle w:val="Heading1"/>
        <w:keepNext/>
      </w:pPr>
      <w:r>
        <w:t>3. Utilisateurs et droits</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1417"/>
            <w:shd w:fill="073B34"/>
            <w:tcMar>
              <w:top w:w="90" w:type="dxa"/>
              <w:start w:w="110" w:type="dxa"/>
              <w:bottom w:w="90" w:type="dxa"/>
              <w:end w:w="110" w:type="dxa"/>
            </w:tcMar>
            <w:vAlign w:val="center"/>
          </w:tcPr>
          <w:p>
            <w:r>
              <w:rPr>
                <w:b/>
                <w:color w:val="FFFFFF"/>
                <w:sz w:val="18"/>
              </w:rPr>
              <w:t>Rôle</w:t>
            </w:r>
          </w:p>
        </w:tc>
        <w:tc>
          <w:tcPr>
            <w:tcW w:type="dxa" w:w="4536"/>
            <w:shd w:fill="073B34"/>
            <w:tcMar>
              <w:top w:w="90" w:type="dxa"/>
              <w:start w:w="110" w:type="dxa"/>
              <w:bottom w:w="90" w:type="dxa"/>
              <w:end w:w="110" w:type="dxa"/>
            </w:tcMar>
            <w:vAlign w:val="center"/>
          </w:tcPr>
          <w:p>
            <w:r>
              <w:rPr>
                <w:b/>
                <w:color w:val="FFFFFF"/>
                <w:sz w:val="18"/>
              </w:rPr>
              <w:t>Droits actuels</w:t>
            </w:r>
          </w:p>
        </w:tc>
        <w:tc>
          <w:tcPr>
            <w:tcW w:type="dxa" w:w="3402"/>
            <w:shd w:fill="073B34"/>
            <w:tcMar>
              <w:top w:w="90" w:type="dxa"/>
              <w:start w:w="110" w:type="dxa"/>
              <w:bottom w:w="90" w:type="dxa"/>
              <w:end w:w="110" w:type="dxa"/>
            </w:tcMar>
            <w:vAlign w:val="center"/>
          </w:tcPr>
          <w:p>
            <w:r>
              <w:rPr>
                <w:b/>
                <w:color w:val="FFFFFF"/>
                <w:sz w:val="18"/>
              </w:rPr>
              <w:t>Restrictions</w:t>
            </w:r>
          </w:p>
        </w:tc>
      </w:tr>
      <w:tr>
        <w:tc>
          <w:tcPr>
            <w:tcW w:type="dxa" w:w="1417"/>
            <w:tcMar>
              <w:top w:w="90" w:type="dxa"/>
              <w:start w:w="110" w:type="dxa"/>
              <w:bottom w:w="90" w:type="dxa"/>
              <w:end w:w="110" w:type="dxa"/>
            </w:tcMar>
            <w:vAlign w:val="top"/>
          </w:tcPr>
          <w:p>
            <w:pPr>
              <w:spacing w:after="0"/>
            </w:pPr>
            <w:r>
              <w:rPr>
                <w:sz w:val="17"/>
              </w:rPr>
              <w:t>admin</w:t>
            </w:r>
          </w:p>
        </w:tc>
        <w:tc>
          <w:tcPr>
            <w:tcW w:type="dxa" w:w="4536"/>
            <w:tcMar>
              <w:top w:w="90" w:type="dxa"/>
              <w:start w:w="110" w:type="dxa"/>
              <w:bottom w:w="90" w:type="dxa"/>
              <w:end w:w="110" w:type="dxa"/>
            </w:tcMar>
            <w:vAlign w:val="top"/>
          </w:tcPr>
          <w:p>
            <w:pPr>
              <w:spacing w:after="0"/>
            </w:pPr>
            <w:r>
              <w:rPr>
                <w:sz w:val="17"/>
              </w:rPr>
              <w:t>Lecture et écriture ; journal ; corbeille ; restauration ; suppression définitive</w:t>
            </w:r>
          </w:p>
        </w:tc>
        <w:tc>
          <w:tcPr>
            <w:tcW w:type="dxa" w:w="3402"/>
            <w:tcMar>
              <w:top w:w="90" w:type="dxa"/>
              <w:start w:w="110" w:type="dxa"/>
              <w:bottom w:w="90" w:type="dxa"/>
              <w:end w:w="110" w:type="dxa"/>
            </w:tcMar>
            <w:vAlign w:val="top"/>
          </w:tcPr>
          <w:p>
            <w:pPr>
              <w:spacing w:after="0"/>
            </w:pPr>
            <w:r>
              <w:rPr>
                <w:sz w:val="17"/>
              </w:rPr>
              <w:t>Ne doit pas disposer du mot de passe de la base de migration</w:t>
            </w:r>
          </w:p>
        </w:tc>
      </w:tr>
      <w:tr>
        <w:tc>
          <w:tcPr>
            <w:tcW w:type="dxa" w:w="1417"/>
            <w:tcMar>
              <w:top w:w="90" w:type="dxa"/>
              <w:start w:w="110" w:type="dxa"/>
              <w:bottom w:w="90" w:type="dxa"/>
              <w:end w:w="110" w:type="dxa"/>
            </w:tcMar>
            <w:vAlign w:val="top"/>
            <w:shd w:fill="F2F5F4"/>
          </w:tcPr>
          <w:p>
            <w:pPr>
              <w:spacing w:after="0"/>
            </w:pPr>
            <w:r>
              <w:rPr>
                <w:sz w:val="17"/>
              </w:rPr>
              <w:t>agent</w:t>
            </w:r>
          </w:p>
        </w:tc>
        <w:tc>
          <w:tcPr>
            <w:tcW w:type="dxa" w:w="4536"/>
            <w:tcMar>
              <w:top w:w="90" w:type="dxa"/>
              <w:start w:w="110" w:type="dxa"/>
              <w:bottom w:w="90" w:type="dxa"/>
              <w:end w:w="110" w:type="dxa"/>
            </w:tcMar>
            <w:vAlign w:val="top"/>
            <w:shd w:fill="F2F5F4"/>
          </w:tcPr>
          <w:p>
            <w:pPr>
              <w:spacing w:after="0"/>
            </w:pPr>
            <w:r>
              <w:rPr>
                <w:sz w:val="17"/>
              </w:rPr>
              <w:t>Lecture ; ajout et modification ; archivage ; paiements ; relances ; pièces jointes</w:t>
            </w:r>
          </w:p>
        </w:tc>
        <w:tc>
          <w:tcPr>
            <w:tcW w:type="dxa" w:w="3402"/>
            <w:tcMar>
              <w:top w:w="90" w:type="dxa"/>
              <w:start w:w="110" w:type="dxa"/>
              <w:bottom w:w="90" w:type="dxa"/>
              <w:end w:w="110" w:type="dxa"/>
            </w:tcMar>
            <w:vAlign w:val="top"/>
            <w:shd w:fill="F2F5F4"/>
          </w:tcPr>
          <w:p>
            <w:pPr>
              <w:spacing w:after="0"/>
            </w:pPr>
            <w:r>
              <w:rPr>
                <w:sz w:val="17"/>
              </w:rPr>
              <w:t>Pas de journal global, restauration ni suppression définitive</w:t>
            </w:r>
          </w:p>
        </w:tc>
      </w:tr>
      <w:tr>
        <w:tc>
          <w:tcPr>
            <w:tcW w:type="dxa" w:w="1417"/>
            <w:tcMar>
              <w:top w:w="90" w:type="dxa"/>
              <w:start w:w="110" w:type="dxa"/>
              <w:bottom w:w="90" w:type="dxa"/>
              <w:end w:w="110" w:type="dxa"/>
            </w:tcMar>
            <w:vAlign w:val="top"/>
          </w:tcPr>
          <w:p>
            <w:pPr>
              <w:spacing w:after="0"/>
            </w:pPr>
            <w:r>
              <w:rPr>
                <w:sz w:val="17"/>
              </w:rPr>
              <w:t>lecture</w:t>
            </w:r>
          </w:p>
        </w:tc>
        <w:tc>
          <w:tcPr>
            <w:tcW w:type="dxa" w:w="4536"/>
            <w:tcMar>
              <w:top w:w="90" w:type="dxa"/>
              <w:start w:w="110" w:type="dxa"/>
              <w:bottom w:w="90" w:type="dxa"/>
              <w:end w:w="110" w:type="dxa"/>
            </w:tcMar>
            <w:vAlign w:val="top"/>
          </w:tcPr>
          <w:p>
            <w:pPr>
              <w:spacing w:after="0"/>
            </w:pPr>
            <w:r>
              <w:rPr>
                <w:sz w:val="17"/>
              </w:rPr>
              <w:t>Consultation des données de son organisation</w:t>
            </w:r>
          </w:p>
        </w:tc>
        <w:tc>
          <w:tcPr>
            <w:tcW w:type="dxa" w:w="3402"/>
            <w:tcMar>
              <w:top w:w="90" w:type="dxa"/>
              <w:start w:w="110" w:type="dxa"/>
              <w:bottom w:w="90" w:type="dxa"/>
              <w:end w:w="110" w:type="dxa"/>
            </w:tcMar>
            <w:vAlign w:val="top"/>
          </w:tcPr>
          <w:p>
            <w:pPr>
              <w:spacing w:after="0"/>
            </w:pPr>
            <w:r>
              <w:rPr>
                <w:sz w:val="17"/>
              </w:rPr>
              <w:t>Aucune écriture</w:t>
            </w:r>
          </w:p>
        </w:tc>
      </w:tr>
    </w:tbl>
    <w:p>
      <w:pPr>
        <w:spacing w:after="0"/>
      </w:pPr>
    </w:p>
    <w:p>
      <w:pPr>
        <w:pStyle w:val="Heading2"/>
        <w:keepNext/>
      </w:pPr>
      <w:r>
        <w:t>3.1 Proposition cible</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4986"/>
        <w:gridCol w:w="4986"/>
      </w:tblGrid>
      <w:tr>
        <w:trPr>
          <w:tblHeader/>
        </w:trPr>
        <w:tc>
          <w:tcPr>
            <w:tcW w:type="dxa" w:w="1984"/>
            <w:shd w:fill="073B34"/>
            <w:tcMar>
              <w:top w:w="90" w:type="dxa"/>
              <w:start w:w="110" w:type="dxa"/>
              <w:bottom w:w="90" w:type="dxa"/>
              <w:end w:w="110" w:type="dxa"/>
            </w:tcMar>
            <w:vAlign w:val="center"/>
          </w:tcPr>
          <w:p>
            <w:r>
              <w:rPr>
                <w:b/>
                <w:color w:val="FFFFFF"/>
                <w:sz w:val="18"/>
              </w:rPr>
              <w:t>Rôle cible</w:t>
            </w:r>
          </w:p>
        </w:tc>
        <w:tc>
          <w:tcPr>
            <w:tcW w:type="dxa" w:w="7371"/>
            <w:shd w:fill="073B34"/>
            <w:tcMar>
              <w:top w:w="90" w:type="dxa"/>
              <w:start w:w="110" w:type="dxa"/>
              <w:bottom w:w="90" w:type="dxa"/>
              <w:end w:w="110" w:type="dxa"/>
            </w:tcMar>
            <w:vAlign w:val="center"/>
          </w:tcPr>
          <w:p>
            <w:r>
              <w:rPr>
                <w:b/>
                <w:color w:val="FFFFFF"/>
                <w:sz w:val="18"/>
              </w:rPr>
              <w:t>Responsabilité recommandée</w:t>
            </w:r>
          </w:p>
        </w:tc>
      </w:tr>
      <w:tr>
        <w:tc>
          <w:tcPr>
            <w:tcW w:type="dxa" w:w="1984"/>
            <w:tcMar>
              <w:top w:w="90" w:type="dxa"/>
              <w:start w:w="110" w:type="dxa"/>
              <w:bottom w:w="90" w:type="dxa"/>
              <w:end w:w="110" w:type="dxa"/>
            </w:tcMar>
            <w:vAlign w:val="top"/>
          </w:tcPr>
          <w:p>
            <w:pPr>
              <w:spacing w:after="0"/>
            </w:pPr>
            <w:r>
              <w:rPr>
                <w:sz w:val="17"/>
              </w:rPr>
              <w:t>super_admin</w:t>
            </w:r>
          </w:p>
        </w:tc>
        <w:tc>
          <w:tcPr>
            <w:tcW w:type="dxa" w:w="7371"/>
            <w:tcMar>
              <w:top w:w="90" w:type="dxa"/>
              <w:start w:w="110" w:type="dxa"/>
              <w:bottom w:w="90" w:type="dxa"/>
              <w:end w:w="110" w:type="dxa"/>
            </w:tcMar>
            <w:vAlign w:val="top"/>
          </w:tcPr>
          <w:p>
            <w:pPr>
              <w:spacing w:after="0"/>
            </w:pPr>
            <w:r>
              <w:rPr>
                <w:sz w:val="17"/>
              </w:rPr>
              <w:t>Administration technique des organisations et comptes ; aucun usage métier quotidien ; MFA obligatoire.</w:t>
            </w:r>
          </w:p>
        </w:tc>
      </w:tr>
      <w:tr>
        <w:tc>
          <w:tcPr>
            <w:tcW w:type="dxa" w:w="1984"/>
            <w:tcMar>
              <w:top w:w="90" w:type="dxa"/>
              <w:start w:w="110" w:type="dxa"/>
              <w:bottom w:w="90" w:type="dxa"/>
              <w:end w:w="110" w:type="dxa"/>
            </w:tcMar>
            <w:vAlign w:val="top"/>
            <w:shd w:fill="F2F5F4"/>
          </w:tcPr>
          <w:p>
            <w:pPr>
              <w:spacing w:after="0"/>
            </w:pPr>
            <w:r>
              <w:rPr>
                <w:sz w:val="17"/>
              </w:rPr>
              <w:t>admin_metier</w:t>
            </w:r>
          </w:p>
        </w:tc>
        <w:tc>
          <w:tcPr>
            <w:tcW w:type="dxa" w:w="7371"/>
            <w:tcMar>
              <w:top w:w="90" w:type="dxa"/>
              <w:start w:w="110" w:type="dxa"/>
              <w:bottom w:w="90" w:type="dxa"/>
              <w:end w:w="110" w:type="dxa"/>
            </w:tcMar>
            <w:vAlign w:val="top"/>
            <w:shd w:fill="F2F5F4"/>
          </w:tcPr>
          <w:p>
            <w:pPr>
              <w:spacing w:after="0"/>
            </w:pPr>
            <w:r>
              <w:rPr>
                <w:sz w:val="17"/>
              </w:rPr>
              <w:t>Gestion complète du portefeuille de son organisation, sauf configuration technique globale.</w:t>
            </w:r>
          </w:p>
        </w:tc>
      </w:tr>
      <w:tr>
        <w:tc>
          <w:tcPr>
            <w:tcW w:type="dxa" w:w="1984"/>
            <w:tcMar>
              <w:top w:w="90" w:type="dxa"/>
              <w:start w:w="110" w:type="dxa"/>
              <w:bottom w:w="90" w:type="dxa"/>
              <w:end w:w="110" w:type="dxa"/>
            </w:tcMar>
            <w:vAlign w:val="top"/>
          </w:tcPr>
          <w:p>
            <w:pPr>
              <w:spacing w:after="0"/>
            </w:pPr>
            <w:r>
              <w:rPr>
                <w:sz w:val="17"/>
              </w:rPr>
              <w:t>comptable</w:t>
            </w:r>
          </w:p>
        </w:tc>
        <w:tc>
          <w:tcPr>
            <w:tcW w:type="dxa" w:w="7371"/>
            <w:tcMar>
              <w:top w:w="90" w:type="dxa"/>
              <w:start w:w="110" w:type="dxa"/>
              <w:bottom w:w="90" w:type="dxa"/>
              <w:end w:w="110" w:type="dxa"/>
            </w:tcMar>
            <w:vAlign w:val="top"/>
          </w:tcPr>
          <w:p>
            <w:pPr>
              <w:spacing w:after="0"/>
            </w:pPr>
            <w:r>
              <w:rPr>
                <w:sz w:val="17"/>
              </w:rPr>
              <w:t>Lecture clients/contrats, saisie et correction contrôlée des encaissements, exports et rapprochements ; pas de suppression de référentiel.</w:t>
            </w:r>
          </w:p>
        </w:tc>
      </w:tr>
      <w:tr>
        <w:tc>
          <w:tcPr>
            <w:tcW w:type="dxa" w:w="1984"/>
            <w:tcMar>
              <w:top w:w="90" w:type="dxa"/>
              <w:start w:w="110" w:type="dxa"/>
              <w:bottom w:w="90" w:type="dxa"/>
              <w:end w:w="110" w:type="dxa"/>
            </w:tcMar>
            <w:vAlign w:val="top"/>
            <w:shd w:fill="F2F5F4"/>
          </w:tcPr>
          <w:p>
            <w:pPr>
              <w:spacing w:after="0"/>
            </w:pPr>
            <w:r>
              <w:rPr>
                <w:sz w:val="17"/>
              </w:rPr>
              <w:t>agent</w:t>
            </w:r>
          </w:p>
        </w:tc>
        <w:tc>
          <w:tcPr>
            <w:tcW w:type="dxa" w:w="7371"/>
            <w:tcMar>
              <w:top w:w="90" w:type="dxa"/>
              <w:start w:w="110" w:type="dxa"/>
              <w:bottom w:w="90" w:type="dxa"/>
              <w:end w:w="110" w:type="dxa"/>
            </w:tcMar>
            <w:vAlign w:val="top"/>
            <w:shd w:fill="F2F5F4"/>
          </w:tcPr>
          <w:p>
            <w:pPr>
              <w:spacing w:after="0"/>
            </w:pPr>
            <w:r>
              <w:rPr>
                <w:sz w:val="17"/>
              </w:rPr>
              <w:t>Gestion commerciale et suivi des échéances sans suppression définitive.</w:t>
            </w:r>
          </w:p>
        </w:tc>
      </w:tr>
      <w:tr>
        <w:tc>
          <w:tcPr>
            <w:tcW w:type="dxa" w:w="1984"/>
            <w:tcMar>
              <w:top w:w="90" w:type="dxa"/>
              <w:start w:w="110" w:type="dxa"/>
              <w:bottom w:w="90" w:type="dxa"/>
              <w:end w:w="110" w:type="dxa"/>
            </w:tcMar>
            <w:vAlign w:val="top"/>
          </w:tcPr>
          <w:p>
            <w:pPr>
              <w:spacing w:after="0"/>
            </w:pPr>
            <w:r>
              <w:rPr>
                <w:sz w:val="17"/>
              </w:rPr>
              <w:t>lecture</w:t>
            </w:r>
          </w:p>
        </w:tc>
        <w:tc>
          <w:tcPr>
            <w:tcW w:type="dxa" w:w="7371"/>
            <w:tcMar>
              <w:top w:w="90" w:type="dxa"/>
              <w:start w:w="110" w:type="dxa"/>
              <w:bottom w:w="90" w:type="dxa"/>
              <w:end w:w="110" w:type="dxa"/>
            </w:tcMar>
            <w:vAlign w:val="top"/>
          </w:tcPr>
          <w:p>
            <w:pPr>
              <w:spacing w:after="0"/>
            </w:pPr>
            <w:r>
              <w:rPr>
                <w:sz w:val="17"/>
              </w:rPr>
              <w:t>Consultation et export selon autorisation.</w:t>
            </w:r>
          </w:p>
        </w:tc>
      </w:tr>
    </w:tbl>
    <w:p>
      <w:pPr>
        <w:spacing w:after="0"/>
      </w:pPr>
    </w:p>
    <w:tbl>
      <w:tblPr>
        <w:tblW w:type="auto" w:w="0"/>
        <w:jc w:val="center"/>
        <w:tblLook w:firstColumn="1" w:firstRow="1" w:lastColumn="0" w:lastRow="0" w:noHBand="0" w:noVBand="1" w:val="04A0"/>
        <w:tblBorders>
          <w:top w:val="single" w:sz="8" w:color="0F6B5B"/>
          <w:left w:val="single" w:sz="8" w:color="0F6B5B"/>
          <w:bottom w:val="single" w:sz="8" w:color="0F6B5B"/>
          <w:right w:val="single" w:sz="8" w:color="0F6B5B"/>
          <w:insideH w:val="single" w:sz="8" w:color="0F6B5B"/>
          <w:insideV w:val="single" w:sz="8" w:color="0F6B5B"/>
        </w:tblBorders>
      </w:tblPr>
      <w:tblGrid>
        <w:gridCol w:w="9972"/>
      </w:tblGrid>
      <w:tr>
        <w:tc>
          <w:tcPr>
            <w:tcW w:type="dxa" w:w="9972"/>
            <w:shd w:fill="DDECE7"/>
            <w:tcMar>
              <w:top w:w="140" w:type="dxa"/>
              <w:start w:w="160" w:type="dxa"/>
              <w:bottom w:w="140" w:type="dxa"/>
              <w:end w:w="160" w:type="dxa"/>
            </w:tcMar>
          </w:tcPr>
          <w:p>
            <w:r>
              <w:rPr>
                <w:b/>
                <w:color w:val="0F6B5B"/>
              </w:rPr>
              <w:t>PRINCIPE DU MOINDRE PRIVILÈGE</w:t>
            </w:r>
            <w:r>
              <w:br/>
              <w:t>Un compte nominatif par personne, jamais de compte partagé. Le super-administrateur est réservé aux opérations exceptionnelles ; les activités quotidiennes utilisent un rôle moins puissant.</w:t>
            </w:r>
          </w:p>
        </w:tc>
      </w:tr>
    </w:tbl>
    <w:p>
      <w:pPr>
        <w:spacing w:after="0"/>
      </w:pPr>
    </w:p>
    <w:p>
      <w:pPr>
        <w:pStyle w:val="Heading1"/>
        <w:keepNext/>
      </w:pPr>
      <w:r>
        <w:t>4. Règles métier</w:t>
      </w:r>
    </w:p>
    <w:p>
      <w:pPr>
        <w:pStyle w:val="Heading2"/>
        <w:keepNext/>
      </w:pPr>
      <w:r>
        <w:t>4.1 Client, souscripteur, assuré, payeur et leasing</w:t>
      </w:r>
    </w:p>
    <w:p>
      <w:r>
        <w:t>Le client principal est la personne rattachée au contrat. Par défaut, le souscripteur est le client principal et le payeur est le souscripteur. Lorsque le souscripteur diffère de l’assuré, il faut sélectionner la fiche correspondante. La société de leasing est un champ texte libre : par exemple, un véhicule peut être assuré au nom de Walid, avec CIL comme société de leasing.</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4986"/>
        <w:gridCol w:w="4986"/>
      </w:tblGrid>
      <w:tr>
        <w:trPr>
          <w:tblHeader/>
        </w:trPr>
        <w:tc>
          <w:tcPr>
            <w:tcW w:type="dxa" w:w="3118"/>
            <w:shd w:fill="073B34"/>
            <w:tcMar>
              <w:top w:w="90" w:type="dxa"/>
              <w:start w:w="110" w:type="dxa"/>
              <w:bottom w:w="90" w:type="dxa"/>
              <w:end w:w="110" w:type="dxa"/>
            </w:tcMar>
            <w:vAlign w:val="center"/>
          </w:tcPr>
          <w:p>
            <w:r>
              <w:rPr>
                <w:b/>
                <w:color w:val="FFFFFF"/>
                <w:sz w:val="18"/>
              </w:rPr>
              <w:t>Situation</w:t>
            </w:r>
          </w:p>
        </w:tc>
        <w:tc>
          <w:tcPr>
            <w:tcW w:type="dxa" w:w="6237"/>
            <w:shd w:fill="073B34"/>
            <w:tcMar>
              <w:top w:w="90" w:type="dxa"/>
              <w:start w:w="110" w:type="dxa"/>
              <w:bottom w:w="90" w:type="dxa"/>
              <w:end w:w="110" w:type="dxa"/>
            </w:tcMar>
            <w:vAlign w:val="center"/>
          </w:tcPr>
          <w:p>
            <w:r>
              <w:rPr>
                <w:b/>
                <w:color w:val="FFFFFF"/>
                <w:sz w:val="18"/>
              </w:rPr>
              <w:t>Saisie recommandée</w:t>
            </w:r>
          </w:p>
        </w:tc>
      </w:tr>
      <w:tr>
        <w:tc>
          <w:tcPr>
            <w:tcW w:type="dxa" w:w="3118"/>
            <w:tcMar>
              <w:top w:w="90" w:type="dxa"/>
              <w:start w:w="110" w:type="dxa"/>
              <w:bottom w:w="90" w:type="dxa"/>
              <w:end w:w="110" w:type="dxa"/>
            </w:tcMar>
            <w:vAlign w:val="top"/>
          </w:tcPr>
          <w:p>
            <w:pPr>
              <w:spacing w:after="0"/>
            </w:pPr>
            <w:r>
              <w:rPr>
                <w:sz w:val="17"/>
              </w:rPr>
              <w:t>Particulier payant son contrat</w:t>
            </w:r>
          </w:p>
        </w:tc>
        <w:tc>
          <w:tcPr>
            <w:tcW w:type="dxa" w:w="6237"/>
            <w:tcMar>
              <w:top w:w="90" w:type="dxa"/>
              <w:start w:w="110" w:type="dxa"/>
              <w:bottom w:w="90" w:type="dxa"/>
              <w:end w:w="110" w:type="dxa"/>
            </w:tcMar>
            <w:vAlign w:val="top"/>
          </w:tcPr>
          <w:p>
            <w:pPr>
              <w:spacing w:after="0"/>
            </w:pPr>
            <w:r>
              <w:rPr>
                <w:sz w:val="17"/>
              </w:rPr>
              <w:t>Client = souscripteur = payeur ; société de leasing vide.</w:t>
            </w:r>
          </w:p>
        </w:tc>
      </w:tr>
      <w:tr>
        <w:tc>
          <w:tcPr>
            <w:tcW w:type="dxa" w:w="3118"/>
            <w:tcMar>
              <w:top w:w="90" w:type="dxa"/>
              <w:start w:w="110" w:type="dxa"/>
              <w:bottom w:w="90" w:type="dxa"/>
              <w:end w:w="110" w:type="dxa"/>
            </w:tcMar>
            <w:vAlign w:val="top"/>
            <w:shd w:fill="F2F5F4"/>
          </w:tcPr>
          <w:p>
            <w:pPr>
              <w:spacing w:after="0"/>
            </w:pPr>
            <w:r>
              <w:rPr>
                <w:sz w:val="17"/>
              </w:rPr>
              <w:t>Véhicule financé par leasing</w:t>
            </w:r>
          </w:p>
        </w:tc>
        <w:tc>
          <w:tcPr>
            <w:tcW w:type="dxa" w:w="6237"/>
            <w:tcMar>
              <w:top w:w="90" w:type="dxa"/>
              <w:start w:w="110" w:type="dxa"/>
              <w:bottom w:w="90" w:type="dxa"/>
              <w:end w:w="110" w:type="dxa"/>
            </w:tcMar>
            <w:vAlign w:val="top"/>
            <w:shd w:fill="F2F5F4"/>
          </w:tcPr>
          <w:p>
            <w:pPr>
              <w:spacing w:after="0"/>
            </w:pPr>
            <w:r>
              <w:rPr>
                <w:sz w:val="17"/>
              </w:rPr>
              <w:t>Client/assuré = personne couverte ; souscripteur selon le contrat ; société de leasing = raison sociale saisie librement.</w:t>
            </w:r>
          </w:p>
        </w:tc>
      </w:tr>
      <w:tr>
        <w:tc>
          <w:tcPr>
            <w:tcW w:type="dxa" w:w="3118"/>
            <w:tcMar>
              <w:top w:w="90" w:type="dxa"/>
              <w:start w:w="110" w:type="dxa"/>
              <w:bottom w:w="90" w:type="dxa"/>
              <w:end w:w="110" w:type="dxa"/>
            </w:tcMar>
            <w:vAlign w:val="top"/>
          </w:tcPr>
          <w:p>
            <w:pPr>
              <w:spacing w:after="0"/>
            </w:pPr>
            <w:r>
              <w:rPr>
                <w:sz w:val="17"/>
              </w:rPr>
              <w:t>Entreprise payant pour une personne</w:t>
            </w:r>
          </w:p>
        </w:tc>
        <w:tc>
          <w:tcPr>
            <w:tcW w:type="dxa" w:w="6237"/>
            <w:tcMar>
              <w:top w:w="90" w:type="dxa"/>
              <w:start w:w="110" w:type="dxa"/>
              <w:bottom w:w="90" w:type="dxa"/>
              <w:end w:w="110" w:type="dxa"/>
            </w:tcMar>
            <w:vAlign w:val="top"/>
          </w:tcPr>
          <w:p>
            <w:pPr>
              <w:spacing w:after="0"/>
            </w:pPr>
            <w:r>
              <w:rPr>
                <w:sz w:val="17"/>
              </w:rPr>
              <w:t>Client/assuré et souscripteur selon le document ; payeur = fiche entreprise.</w:t>
            </w:r>
          </w:p>
        </w:tc>
      </w:tr>
    </w:tbl>
    <w:p>
      <w:pPr>
        <w:spacing w:after="0"/>
      </w:pPr>
    </w:p>
    <w:p>
      <w:pPr>
        <w:pStyle w:val="Heading2"/>
        <w:keepNext/>
      </w:pPr>
      <w:r>
        <w:t>4.2 Durée, dates et fréquence de paiement</w:t>
      </w:r>
    </w:p>
    <w:p>
      <w:r>
        <w:t>La durée métier possède deux valeurs : Durée ferme et Renouvelable par tacite reconduction (RTR). Une durée ferme impose une prime unique et ne génère aucune échéance. Un contrat RTR autorise uniquement une fréquence trimestrielle, semestrielle ou annuelle.</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2268"/>
            <w:shd w:fill="073B34"/>
            <w:tcMar>
              <w:top w:w="90" w:type="dxa"/>
              <w:start w:w="110" w:type="dxa"/>
              <w:bottom w:w="90" w:type="dxa"/>
              <w:end w:w="110" w:type="dxa"/>
            </w:tcMar>
            <w:vAlign w:val="center"/>
          </w:tcPr>
          <w:p>
            <w:r>
              <w:rPr>
                <w:b/>
                <w:color w:val="FFFFFF"/>
                <w:sz w:val="18"/>
              </w:rPr>
              <w:t>Fractionnement</w:t>
            </w:r>
          </w:p>
        </w:tc>
        <w:tc>
          <w:tcPr>
            <w:tcW w:type="dxa" w:w="3402"/>
            <w:shd w:fill="073B34"/>
            <w:tcMar>
              <w:top w:w="90" w:type="dxa"/>
              <w:start w:w="110" w:type="dxa"/>
              <w:bottom w:w="90" w:type="dxa"/>
              <w:end w:w="110" w:type="dxa"/>
            </w:tcMar>
            <w:vAlign w:val="center"/>
          </w:tcPr>
          <w:p>
            <w:r>
              <w:rPr>
                <w:b/>
                <w:color w:val="FFFFFF"/>
                <w:sz w:val="18"/>
              </w:rPr>
              <w:t>Calcul actuel</w:t>
            </w:r>
          </w:p>
        </w:tc>
        <w:tc>
          <w:tcPr>
            <w:tcW w:type="dxa" w:w="3685"/>
            <w:shd w:fill="073B34"/>
            <w:tcMar>
              <w:top w:w="90" w:type="dxa"/>
              <w:start w:w="110" w:type="dxa"/>
              <w:bottom w:w="90" w:type="dxa"/>
              <w:end w:w="110" w:type="dxa"/>
            </w:tcMar>
            <w:vAlign w:val="center"/>
          </w:tcPr>
          <w:p>
            <w:r>
              <w:rPr>
                <w:b/>
                <w:color w:val="FFFFFF"/>
                <w:sz w:val="18"/>
              </w:rPr>
              <w:t>Exemple pour effet au 10/01/2027</w:t>
            </w:r>
          </w:p>
        </w:tc>
      </w:tr>
      <w:tr>
        <w:tc>
          <w:tcPr>
            <w:tcW w:type="dxa" w:w="2268"/>
            <w:tcMar>
              <w:top w:w="90" w:type="dxa"/>
              <w:start w:w="110" w:type="dxa"/>
              <w:bottom w:w="90" w:type="dxa"/>
              <w:end w:w="110" w:type="dxa"/>
            </w:tcMar>
            <w:vAlign w:val="top"/>
          </w:tcPr>
          <w:p>
            <w:pPr>
              <w:spacing w:after="0"/>
            </w:pPr>
            <w:r>
              <w:rPr>
                <w:sz w:val="17"/>
              </w:rPr>
              <w:t>Trimestriel</w:t>
            </w:r>
          </w:p>
        </w:tc>
        <w:tc>
          <w:tcPr>
            <w:tcW w:type="dxa" w:w="3402"/>
            <w:tcMar>
              <w:top w:w="90" w:type="dxa"/>
              <w:start w:w="110" w:type="dxa"/>
              <w:bottom w:w="90" w:type="dxa"/>
              <w:end w:w="110" w:type="dxa"/>
            </w:tcMar>
            <w:vAlign w:val="top"/>
          </w:tcPr>
          <w:p>
            <w:pPr>
              <w:spacing w:after="0"/>
            </w:pPr>
            <w:r>
              <w:rPr>
                <w:sz w:val="17"/>
              </w:rPr>
              <w:t>Date d’effet + 3 mois</w:t>
            </w:r>
          </w:p>
        </w:tc>
        <w:tc>
          <w:tcPr>
            <w:tcW w:type="dxa" w:w="3685"/>
            <w:tcMar>
              <w:top w:w="90" w:type="dxa"/>
              <w:start w:w="110" w:type="dxa"/>
              <w:bottom w:w="90" w:type="dxa"/>
              <w:end w:w="110" w:type="dxa"/>
            </w:tcMar>
            <w:vAlign w:val="top"/>
          </w:tcPr>
          <w:p>
            <w:pPr>
              <w:spacing w:after="0"/>
            </w:pPr>
            <w:r>
              <w:rPr>
                <w:sz w:val="17"/>
              </w:rPr>
              <w:t>10/04/2027</w:t>
            </w:r>
          </w:p>
        </w:tc>
      </w:tr>
      <w:tr>
        <w:tc>
          <w:tcPr>
            <w:tcW w:type="dxa" w:w="2268"/>
            <w:tcMar>
              <w:top w:w="90" w:type="dxa"/>
              <w:start w:w="110" w:type="dxa"/>
              <w:bottom w:w="90" w:type="dxa"/>
              <w:end w:w="110" w:type="dxa"/>
            </w:tcMar>
            <w:vAlign w:val="top"/>
            <w:shd w:fill="F2F5F4"/>
          </w:tcPr>
          <w:p>
            <w:pPr>
              <w:spacing w:after="0"/>
            </w:pPr>
            <w:r>
              <w:rPr>
                <w:sz w:val="17"/>
              </w:rPr>
              <w:t>Semestriel</w:t>
            </w:r>
          </w:p>
        </w:tc>
        <w:tc>
          <w:tcPr>
            <w:tcW w:type="dxa" w:w="3402"/>
            <w:tcMar>
              <w:top w:w="90" w:type="dxa"/>
              <w:start w:w="110" w:type="dxa"/>
              <w:bottom w:w="90" w:type="dxa"/>
              <w:end w:w="110" w:type="dxa"/>
            </w:tcMar>
            <w:vAlign w:val="top"/>
            <w:shd w:fill="F2F5F4"/>
          </w:tcPr>
          <w:p>
            <w:pPr>
              <w:spacing w:after="0"/>
            </w:pPr>
            <w:r>
              <w:rPr>
                <w:sz w:val="17"/>
              </w:rPr>
              <w:t>Date d’effet + 6 mois</w:t>
            </w:r>
          </w:p>
        </w:tc>
        <w:tc>
          <w:tcPr>
            <w:tcW w:type="dxa" w:w="3685"/>
            <w:tcMar>
              <w:top w:w="90" w:type="dxa"/>
              <w:start w:w="110" w:type="dxa"/>
              <w:bottom w:w="90" w:type="dxa"/>
              <w:end w:w="110" w:type="dxa"/>
            </w:tcMar>
            <w:vAlign w:val="top"/>
            <w:shd w:fill="F2F5F4"/>
          </w:tcPr>
          <w:p>
            <w:pPr>
              <w:spacing w:after="0"/>
            </w:pPr>
            <w:r>
              <w:rPr>
                <w:sz w:val="17"/>
              </w:rPr>
              <w:t>10/07/2027</w:t>
            </w:r>
          </w:p>
        </w:tc>
      </w:tr>
      <w:tr>
        <w:tc>
          <w:tcPr>
            <w:tcW w:type="dxa" w:w="2268"/>
            <w:tcMar>
              <w:top w:w="90" w:type="dxa"/>
              <w:start w:w="110" w:type="dxa"/>
              <w:bottom w:w="90" w:type="dxa"/>
              <w:end w:w="110" w:type="dxa"/>
            </w:tcMar>
            <w:vAlign w:val="top"/>
          </w:tcPr>
          <w:p>
            <w:pPr>
              <w:spacing w:after="0"/>
            </w:pPr>
            <w:r>
              <w:rPr>
                <w:sz w:val="17"/>
              </w:rPr>
              <w:t>Annuel</w:t>
            </w:r>
          </w:p>
        </w:tc>
        <w:tc>
          <w:tcPr>
            <w:tcW w:type="dxa" w:w="3402"/>
            <w:tcMar>
              <w:top w:w="90" w:type="dxa"/>
              <w:start w:w="110" w:type="dxa"/>
              <w:bottom w:w="90" w:type="dxa"/>
              <w:end w:w="110" w:type="dxa"/>
            </w:tcMar>
            <w:vAlign w:val="top"/>
          </w:tcPr>
          <w:p>
            <w:pPr>
              <w:spacing w:after="0"/>
            </w:pPr>
            <w:r>
              <w:rPr>
                <w:sz w:val="17"/>
              </w:rPr>
              <w:t>Date d’effet + 12 mois</w:t>
            </w:r>
          </w:p>
        </w:tc>
        <w:tc>
          <w:tcPr>
            <w:tcW w:type="dxa" w:w="3685"/>
            <w:tcMar>
              <w:top w:w="90" w:type="dxa"/>
              <w:start w:w="110" w:type="dxa"/>
              <w:bottom w:w="90" w:type="dxa"/>
              <w:end w:w="110" w:type="dxa"/>
            </w:tcMar>
            <w:vAlign w:val="top"/>
          </w:tcPr>
          <w:p>
            <w:pPr>
              <w:spacing w:after="0"/>
            </w:pPr>
            <w:r>
              <w:rPr>
                <w:sz w:val="17"/>
              </w:rPr>
              <w:t>10/01/2028</w:t>
            </w:r>
          </w:p>
        </w:tc>
      </w:tr>
      <w:tr>
        <w:tc>
          <w:tcPr>
            <w:tcW w:type="dxa" w:w="2268"/>
            <w:tcMar>
              <w:top w:w="90" w:type="dxa"/>
              <w:start w:w="110" w:type="dxa"/>
              <w:bottom w:w="90" w:type="dxa"/>
              <w:end w:w="110" w:type="dxa"/>
            </w:tcMar>
            <w:vAlign w:val="top"/>
            <w:shd w:fill="F2F5F4"/>
          </w:tcPr>
          <w:p>
            <w:pPr>
              <w:spacing w:after="0"/>
            </w:pPr>
            <w:r>
              <w:rPr>
                <w:sz w:val="17"/>
              </w:rPr>
              <w:t>Prime unique</w:t>
            </w:r>
          </w:p>
        </w:tc>
        <w:tc>
          <w:tcPr>
            <w:tcW w:type="dxa" w:w="3402"/>
            <w:tcMar>
              <w:top w:w="90" w:type="dxa"/>
              <w:start w:w="110" w:type="dxa"/>
              <w:bottom w:w="90" w:type="dxa"/>
              <w:end w:w="110" w:type="dxa"/>
            </w:tcMar>
            <w:vAlign w:val="top"/>
            <w:shd w:fill="F2F5F4"/>
          </w:tcPr>
          <w:p>
            <w:pPr>
              <w:spacing w:after="0"/>
            </w:pPr>
            <w:r>
              <w:rPr>
                <w:sz w:val="17"/>
              </w:rPr>
              <w:t>Aucune échéance de terme générée</w:t>
            </w:r>
          </w:p>
        </w:tc>
        <w:tc>
          <w:tcPr>
            <w:tcW w:type="dxa" w:w="3685"/>
            <w:tcMar>
              <w:top w:w="90" w:type="dxa"/>
              <w:start w:w="110" w:type="dxa"/>
              <w:bottom w:w="90" w:type="dxa"/>
              <w:end w:w="110" w:type="dxa"/>
            </w:tcMar>
            <w:vAlign w:val="top"/>
            <w:shd w:fill="F2F5F4"/>
          </w:tcPr>
          <w:p>
            <w:pPr>
              <w:spacing w:after="0"/>
            </w:pPr>
            <w:r>
              <w:rPr>
                <w:sz w:val="17"/>
              </w:rPr>
              <w:t>Aucune échéance</w:t>
            </w:r>
          </w:p>
        </w:tc>
      </w:tr>
    </w:tbl>
    <w:p>
      <w:pPr>
        <w:spacing w:after="0"/>
      </w:pPr>
    </w:p>
    <w:p>
      <w:r>
        <w:t>Pour un contrat RTR, la date d’échéance métier est calculée automatiquement à partir de la date d’effet et de la fréquence. Un encaissement total clôture le terme courant et crée le terme suivant ; un encaissement partiel conserve le terme courant. Les dates restent ancrées sur la date d’effet pour éviter une dérive en fin de mois. Les échéanciers personnalisés ne sont jamais prolongés automatiquement.</w:t>
      </w:r>
    </w:p>
    <w:tbl>
      <w:tblPr>
        <w:tblW w:type="auto" w:w="0"/>
        <w:jc w:val="center"/>
        <w:tblLook w:firstColumn="1" w:firstRow="1" w:lastColumn="0" w:lastRow="0" w:noHBand="0" w:noVBand="1" w:val="04A0"/>
        <w:tblBorders>
          <w:top w:val="single" w:sz="8" w:color="0F6B5B"/>
          <w:left w:val="single" w:sz="8" w:color="0F6B5B"/>
          <w:bottom w:val="single" w:sz="8" w:color="0F6B5B"/>
          <w:right w:val="single" w:sz="8" w:color="0F6B5B"/>
          <w:insideH w:val="single" w:sz="8" w:color="0F6B5B"/>
          <w:insideV w:val="single" w:sz="8" w:color="0F6B5B"/>
        </w:tblBorders>
      </w:tblPr>
      <w:tblGrid>
        <w:gridCol w:w="9972"/>
      </w:tblGrid>
      <w:tr>
        <w:tc>
          <w:tcPr>
            <w:tcW w:type="dxa" w:w="9972"/>
            <w:shd w:fill="DDECE7"/>
            <w:tcMar>
              <w:top w:w="140" w:type="dxa"/>
              <w:start w:w="160" w:type="dxa"/>
              <w:bottom w:w="140" w:type="dxa"/>
              <w:end w:w="160" w:type="dxa"/>
            </w:tcMar>
          </w:tcPr>
          <w:p>
            <w:r>
              <w:rPr>
                <w:b/>
                <w:color w:val="0F6B5B"/>
              </w:rPr>
              <w:t>RÈGLE AUTOMATIQUE</w:t>
            </w:r>
            <w:r>
              <w:br/>
              <w:t>L’utilisateur choisit Durée ferme ou RTR. Pour une durée ferme, la date de fin est obligatoire et doit être postérieure à la date d’effet. Pour un contrat RTR, la date de fin reste une donnée technique non modifiable.</w:t>
            </w:r>
          </w:p>
        </w:tc>
      </w:tr>
    </w:tbl>
    <w:p>
      <w:pPr>
        <w:spacing w:after="0"/>
      </w:pPr>
    </w:p>
    <w:p>
      <w:pPr>
        <w:pStyle w:val="Heading2"/>
        <w:keepNext/>
      </w:pPr>
      <w:r>
        <w:t>4.3 Niveaux et statuts d’échéance</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4986"/>
        <w:gridCol w:w="4986"/>
      </w:tblGrid>
      <w:tr>
        <w:trPr>
          <w:tblHeader/>
        </w:trPr>
        <w:tc>
          <w:tcPr>
            <w:tcW w:type="dxa" w:w="2268"/>
            <w:shd w:fill="073B34"/>
            <w:tcMar>
              <w:top w:w="90" w:type="dxa"/>
              <w:start w:w="110" w:type="dxa"/>
              <w:bottom w:w="90" w:type="dxa"/>
              <w:end w:w="110" w:type="dxa"/>
            </w:tcMar>
            <w:vAlign w:val="center"/>
          </w:tcPr>
          <w:p>
            <w:r>
              <w:rPr>
                <w:b/>
                <w:color w:val="FFFFFF"/>
                <w:sz w:val="18"/>
              </w:rPr>
              <w:t>État</w:t>
            </w:r>
          </w:p>
        </w:tc>
        <w:tc>
          <w:tcPr>
            <w:tcW w:type="dxa" w:w="7087"/>
            <w:shd w:fill="073B34"/>
            <w:tcMar>
              <w:top w:w="90" w:type="dxa"/>
              <w:start w:w="110" w:type="dxa"/>
              <w:bottom w:w="90" w:type="dxa"/>
              <w:end w:w="110" w:type="dxa"/>
            </w:tcMar>
            <w:vAlign w:val="center"/>
          </w:tcPr>
          <w:p>
            <w:r>
              <w:rPr>
                <w:b/>
                <w:color w:val="FFFFFF"/>
                <w:sz w:val="18"/>
              </w:rPr>
              <w:t>Définition</w:t>
            </w:r>
          </w:p>
        </w:tc>
      </w:tr>
      <w:tr>
        <w:tc>
          <w:tcPr>
            <w:tcW w:type="dxa" w:w="2268"/>
            <w:tcMar>
              <w:top w:w="90" w:type="dxa"/>
              <w:start w:w="110" w:type="dxa"/>
              <w:bottom w:w="90" w:type="dxa"/>
              <w:end w:w="110" w:type="dxa"/>
            </w:tcMar>
            <w:vAlign w:val="top"/>
          </w:tcPr>
          <w:p>
            <w:pPr>
              <w:spacing w:after="0"/>
            </w:pPr>
            <w:r>
              <w:rPr>
                <w:sz w:val="17"/>
              </w:rPr>
              <w:t>À venir</w:t>
            </w:r>
          </w:p>
        </w:tc>
        <w:tc>
          <w:tcPr>
            <w:tcW w:type="dxa" w:w="7087"/>
            <w:tcMar>
              <w:top w:w="90" w:type="dxa"/>
              <w:start w:w="110" w:type="dxa"/>
              <w:bottom w:w="90" w:type="dxa"/>
              <w:end w:w="110" w:type="dxa"/>
            </w:tcMar>
            <w:vAlign w:val="top"/>
          </w:tcPr>
          <w:p>
            <w:pPr>
              <w:spacing w:after="0"/>
            </w:pPr>
            <w:r>
              <w:rPr>
                <w:sz w:val="17"/>
              </w:rPr>
              <w:t>Aucun paiement et date d’échéance non dépassée.</w:t>
            </w:r>
          </w:p>
        </w:tc>
      </w:tr>
      <w:tr>
        <w:tc>
          <w:tcPr>
            <w:tcW w:type="dxa" w:w="2268"/>
            <w:tcMar>
              <w:top w:w="90" w:type="dxa"/>
              <w:start w:w="110" w:type="dxa"/>
              <w:bottom w:w="90" w:type="dxa"/>
              <w:end w:w="110" w:type="dxa"/>
            </w:tcMar>
            <w:vAlign w:val="top"/>
            <w:shd w:fill="F2F5F4"/>
          </w:tcPr>
          <w:p>
            <w:pPr>
              <w:spacing w:after="0"/>
            </w:pPr>
            <w:r>
              <w:rPr>
                <w:sz w:val="17"/>
              </w:rPr>
              <w:t>Partielle</w:t>
            </w:r>
          </w:p>
        </w:tc>
        <w:tc>
          <w:tcPr>
            <w:tcW w:type="dxa" w:w="7087"/>
            <w:tcMar>
              <w:top w:w="90" w:type="dxa"/>
              <w:start w:w="110" w:type="dxa"/>
              <w:bottom w:w="90" w:type="dxa"/>
              <w:end w:w="110" w:type="dxa"/>
            </w:tcMar>
            <w:vAlign w:val="top"/>
            <w:shd w:fill="F2F5F4"/>
          </w:tcPr>
          <w:p>
            <w:pPr>
              <w:spacing w:after="0"/>
            </w:pPr>
            <w:r>
              <w:rPr>
                <w:sz w:val="17"/>
              </w:rPr>
              <w:t>Un montant positif a été encaissé, mais le total reste inférieur à la prime.</w:t>
            </w:r>
          </w:p>
        </w:tc>
      </w:tr>
      <w:tr>
        <w:tc>
          <w:tcPr>
            <w:tcW w:type="dxa" w:w="2268"/>
            <w:tcMar>
              <w:top w:w="90" w:type="dxa"/>
              <w:start w:w="110" w:type="dxa"/>
              <w:bottom w:w="90" w:type="dxa"/>
              <w:end w:w="110" w:type="dxa"/>
            </w:tcMar>
            <w:vAlign w:val="top"/>
          </w:tcPr>
          <w:p>
            <w:pPr>
              <w:spacing w:after="0"/>
            </w:pPr>
            <w:r>
              <w:rPr>
                <w:sz w:val="17"/>
              </w:rPr>
              <w:t>Payée</w:t>
            </w:r>
          </w:p>
        </w:tc>
        <w:tc>
          <w:tcPr>
            <w:tcW w:type="dxa" w:w="7087"/>
            <w:tcMar>
              <w:top w:w="90" w:type="dxa"/>
              <w:start w:w="110" w:type="dxa"/>
              <w:bottom w:w="90" w:type="dxa"/>
              <w:end w:w="110" w:type="dxa"/>
            </w:tcMar>
            <w:vAlign w:val="top"/>
          </w:tcPr>
          <w:p>
            <w:pPr>
              <w:spacing w:after="0"/>
            </w:pPr>
            <w:r>
              <w:rPr>
                <w:sz w:val="17"/>
              </w:rPr>
              <w:t>Somme des paiements actifs supérieure ou égale au montant de l’échéance.</w:t>
            </w:r>
          </w:p>
        </w:tc>
      </w:tr>
      <w:tr>
        <w:tc>
          <w:tcPr>
            <w:tcW w:type="dxa" w:w="2268"/>
            <w:tcMar>
              <w:top w:w="90" w:type="dxa"/>
              <w:start w:w="110" w:type="dxa"/>
              <w:bottom w:w="90" w:type="dxa"/>
              <w:end w:w="110" w:type="dxa"/>
            </w:tcMar>
            <w:vAlign w:val="top"/>
            <w:shd w:fill="F2F5F4"/>
          </w:tcPr>
          <w:p>
            <w:pPr>
              <w:spacing w:after="0"/>
            </w:pPr>
            <w:r>
              <w:rPr>
                <w:sz w:val="17"/>
              </w:rPr>
              <w:t>Impayée</w:t>
            </w:r>
          </w:p>
        </w:tc>
        <w:tc>
          <w:tcPr>
            <w:tcW w:type="dxa" w:w="7087"/>
            <w:tcMar>
              <w:top w:w="90" w:type="dxa"/>
              <w:start w:w="110" w:type="dxa"/>
              <w:bottom w:w="90" w:type="dxa"/>
              <w:end w:w="110" w:type="dxa"/>
            </w:tcMar>
            <w:vAlign w:val="top"/>
            <w:shd w:fill="F2F5F4"/>
          </w:tcPr>
          <w:p>
            <w:pPr>
              <w:spacing w:after="0"/>
            </w:pPr>
            <w:r>
              <w:rPr>
                <w:sz w:val="17"/>
              </w:rPr>
              <w:t>Aucun paiement suffisant et date d’échéance strictement antérieure à aujourd’hui.</w:t>
            </w:r>
          </w:p>
        </w:tc>
      </w:tr>
      <w:tr>
        <w:tc>
          <w:tcPr>
            <w:tcW w:type="dxa" w:w="2268"/>
            <w:tcMar>
              <w:top w:w="90" w:type="dxa"/>
              <w:start w:w="110" w:type="dxa"/>
              <w:bottom w:w="90" w:type="dxa"/>
              <w:end w:w="110" w:type="dxa"/>
            </w:tcMar>
            <w:vAlign w:val="top"/>
          </w:tcPr>
          <w:p>
            <w:pPr>
              <w:spacing w:after="0"/>
            </w:pPr>
            <w:r>
              <w:rPr>
                <w:sz w:val="17"/>
              </w:rPr>
              <w:t>En retard</w:t>
            </w:r>
          </w:p>
        </w:tc>
        <w:tc>
          <w:tcPr>
            <w:tcW w:type="dxa" w:w="7087"/>
            <w:tcMar>
              <w:top w:w="90" w:type="dxa"/>
              <w:start w:w="110" w:type="dxa"/>
              <w:bottom w:w="90" w:type="dxa"/>
              <w:end w:w="110" w:type="dxa"/>
            </w:tcMar>
            <w:vAlign w:val="top"/>
          </w:tcPr>
          <w:p>
            <w:pPr>
              <w:spacing w:after="0"/>
            </w:pPr>
            <w:r>
              <w:rPr>
                <w:sz w:val="17"/>
              </w:rPr>
              <w:t>Niveau d’affichage pour une échéance non payée dont la date est passée.</w:t>
            </w:r>
          </w:p>
        </w:tc>
      </w:tr>
      <w:tr>
        <w:tc>
          <w:tcPr>
            <w:tcW w:type="dxa" w:w="2268"/>
            <w:tcMar>
              <w:top w:w="90" w:type="dxa"/>
              <w:start w:w="110" w:type="dxa"/>
              <w:bottom w:w="90" w:type="dxa"/>
              <w:end w:w="110" w:type="dxa"/>
            </w:tcMar>
            <w:vAlign w:val="top"/>
            <w:shd w:fill="F2F5F4"/>
          </w:tcPr>
          <w:p>
            <w:pPr>
              <w:spacing w:after="0"/>
            </w:pPr>
            <w:r>
              <w:rPr>
                <w:sz w:val="17"/>
              </w:rPr>
              <w:t>Urgente</w:t>
            </w:r>
          </w:p>
        </w:tc>
        <w:tc>
          <w:tcPr>
            <w:tcW w:type="dxa" w:w="7087"/>
            <w:tcMar>
              <w:top w:w="90" w:type="dxa"/>
              <w:start w:w="110" w:type="dxa"/>
              <w:bottom w:w="90" w:type="dxa"/>
              <w:end w:w="110" w:type="dxa"/>
            </w:tcMar>
            <w:vAlign w:val="top"/>
            <w:shd w:fill="F2F5F4"/>
          </w:tcPr>
          <w:p>
            <w:pPr>
              <w:spacing w:after="0"/>
            </w:pPr>
            <w:r>
              <w:rPr>
                <w:sz w:val="17"/>
              </w:rPr>
              <w:t>Échéance non payée dans 15 jours ou moins.</w:t>
            </w:r>
          </w:p>
        </w:tc>
      </w:tr>
      <w:tr>
        <w:tc>
          <w:tcPr>
            <w:tcW w:type="dxa" w:w="2268"/>
            <w:tcMar>
              <w:top w:w="90" w:type="dxa"/>
              <w:start w:w="110" w:type="dxa"/>
              <w:bottom w:w="90" w:type="dxa"/>
              <w:end w:w="110" w:type="dxa"/>
            </w:tcMar>
            <w:vAlign w:val="top"/>
          </w:tcPr>
          <w:p>
            <w:pPr>
              <w:spacing w:after="0"/>
            </w:pPr>
            <w:r>
              <w:rPr>
                <w:sz w:val="17"/>
              </w:rPr>
              <w:t>À préparer</w:t>
            </w:r>
          </w:p>
        </w:tc>
        <w:tc>
          <w:tcPr>
            <w:tcW w:type="dxa" w:w="7087"/>
            <w:tcMar>
              <w:top w:w="90" w:type="dxa"/>
              <w:start w:w="110" w:type="dxa"/>
              <w:bottom w:w="90" w:type="dxa"/>
              <w:end w:w="110" w:type="dxa"/>
            </w:tcMar>
            <w:vAlign w:val="top"/>
          </w:tcPr>
          <w:p>
            <w:pPr>
              <w:spacing w:after="0"/>
            </w:pPr>
            <w:r>
              <w:rPr>
                <w:sz w:val="17"/>
              </w:rPr>
              <w:t>Échéance non payée dans 45 jours ou moins, hors urgence/retard.</w:t>
            </w:r>
          </w:p>
        </w:tc>
      </w:tr>
      <w:tr>
        <w:tc>
          <w:tcPr>
            <w:tcW w:type="dxa" w:w="2268"/>
            <w:tcMar>
              <w:top w:w="90" w:type="dxa"/>
              <w:start w:w="110" w:type="dxa"/>
              <w:bottom w:w="90" w:type="dxa"/>
              <w:end w:w="110" w:type="dxa"/>
            </w:tcMar>
            <w:vAlign w:val="top"/>
            <w:shd w:fill="F2F5F4"/>
          </w:tcPr>
          <w:p>
            <w:pPr>
              <w:spacing w:after="0"/>
            </w:pPr>
            <w:r>
              <w:rPr>
                <w:sz w:val="17"/>
              </w:rPr>
              <w:t>À jour</w:t>
            </w:r>
          </w:p>
        </w:tc>
        <w:tc>
          <w:tcPr>
            <w:tcW w:type="dxa" w:w="7087"/>
            <w:tcMar>
              <w:top w:w="90" w:type="dxa"/>
              <w:start w:w="110" w:type="dxa"/>
              <w:bottom w:w="90" w:type="dxa"/>
              <w:end w:w="110" w:type="dxa"/>
            </w:tcMar>
            <w:vAlign w:val="top"/>
            <w:shd w:fill="F2F5F4"/>
          </w:tcPr>
          <w:p>
            <w:pPr>
              <w:spacing w:after="0"/>
            </w:pPr>
            <w:r>
              <w:rPr>
                <w:sz w:val="17"/>
              </w:rPr>
              <w:t>Échéance plus éloignée.</w:t>
            </w:r>
          </w:p>
        </w:tc>
      </w:tr>
    </w:tbl>
    <w:p>
      <w:pPr>
        <w:spacing w:after="0"/>
      </w:pPr>
    </w:p>
    <w:p>
      <w:pPr>
        <w:pStyle w:val="Heading2"/>
        <w:keepNext/>
      </w:pPr>
      <w:r>
        <w:t>4.4 Tableau de bord</w:t>
      </w:r>
    </w:p>
    <w:p>
      <w:pPr>
        <w:pStyle w:val="ListBullet"/>
      </w:pPr>
      <w:r>
        <w:t>Total contrats et contrats en cours : uniquement les contrats et clients non archivés.</w:t>
      </w:r>
    </w:p>
    <w:p>
      <w:pPr>
        <w:pStyle w:val="ListBullet"/>
      </w:pPr>
      <w:r>
        <w:t>Primes émises : somme des primes des contrats en cours.</w:t>
      </w:r>
    </w:p>
    <w:p>
      <w:pPr>
        <w:pStyle w:val="ListBullet"/>
      </w:pPr>
      <w:r>
        <w:t>En retard et sous 30 jours : échéances de terme non payées.</w:t>
      </w:r>
    </w:p>
    <w:p>
      <w:pPr>
        <w:pStyle w:val="ListBullet"/>
      </w:pPr>
      <w:r>
        <w:t>Frise et liste 120 jours : échéances de terme comprises entre aujourd’hui et aujourd’hui + 120 jours, dates incluses.</w:t>
      </w:r>
    </w:p>
    <w:p>
      <w:pPr>
        <w:pStyle w:val="ListBullet"/>
      </w:pPr>
      <w:r>
        <w:t>Encaissements 12 mois : paiements actifs depuis le premier jour du mois situé onze mois avant le mois courant jusqu’à aujourd’hui ; les contrats, clients et échéances archivés sont exclus.</w:t>
      </w:r>
    </w:p>
    <w:p>
      <w:pPr>
        <w:pStyle w:val="ListBullet"/>
      </w:pPr>
      <w:r>
        <w:t>Un clic sur une échéance proche ouvre directement la fiche du contrat.</w:t>
      </w:r>
    </w:p>
    <w:p>
      <w:pPr>
        <w:pStyle w:val="Heading2"/>
        <w:keepNext/>
      </w:pPr>
      <w:r>
        <w:t>4.5 Archivage et suppression</w:t>
      </w:r>
    </w:p>
    <w:p>
      <w:r>
        <w:t>L’archivage est une suppression logique : la ligne reste en base avec supprime_le et supprime_par mais disparaît des vues actives et des indicateurs. La restauration est réservée à l’administrateur. La suppression définitive efface les dépendances d’un contrat (relances, paiements, pièces jointes et échéances), puis le contrat. Un client ne peut pas être supprimé définitivement tant qu’un contrat le référence.</w:t>
      </w:r>
    </w:p>
    <w:tbl>
      <w:tblPr>
        <w:tblW w:type="auto" w:w="0"/>
        <w:jc w:val="center"/>
        <w:tblLook w:firstColumn="1" w:firstRow="1" w:lastColumn="0" w:lastRow="0" w:noHBand="0" w:noVBand="1" w:val="04A0"/>
        <w:tblBorders>
          <w:top w:val="single" w:sz="8" w:color="A61B29"/>
          <w:left w:val="single" w:sz="8" w:color="A61B29"/>
          <w:bottom w:val="single" w:sz="8" w:color="A61B29"/>
          <w:right w:val="single" w:sz="8" w:color="A61B29"/>
          <w:insideH w:val="single" w:sz="8" w:color="A61B29"/>
          <w:insideV w:val="single" w:sz="8" w:color="A61B29"/>
        </w:tblBorders>
      </w:tblPr>
      <w:tblGrid>
        <w:gridCol w:w="9972"/>
      </w:tblGrid>
      <w:tr>
        <w:tc>
          <w:tcPr>
            <w:tcW w:type="dxa" w:w="9972"/>
            <w:shd w:fill="F7E9E9"/>
            <w:tcMar>
              <w:top w:w="140" w:type="dxa"/>
              <w:start w:w="160" w:type="dxa"/>
              <w:bottom w:w="140" w:type="dxa"/>
              <w:end w:w="160" w:type="dxa"/>
            </w:tcMar>
          </w:tcPr>
          <w:p>
            <w:r>
              <w:rPr>
                <w:b/>
                <w:color w:val="A61B29"/>
              </w:rPr>
              <w:t>ATTENTION</w:t>
            </w:r>
            <w:r>
              <w:br/>
              <w:t>La suppression définitive est irréversible hors sauvegarde. La procédure cible doit imposer une confirmation renforcée, une durée minimale en corbeille et, pour les données sensibles, une validation par un second administrateur.</w:t>
            </w:r>
          </w:p>
        </w:tc>
      </w:tr>
    </w:tbl>
    <w:p>
      <w:pPr>
        <w:spacing w:after="0"/>
      </w:pPr>
    </w:p>
    <w:p>
      <w:pPr>
        <w:pStyle w:val="Heading1"/>
        <w:keepNext/>
      </w:pPr>
      <w:r>
        <w:t>5. Architecture technique</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1701"/>
            <w:shd w:fill="073B34"/>
            <w:tcMar>
              <w:top w:w="90" w:type="dxa"/>
              <w:start w:w="110" w:type="dxa"/>
              <w:bottom w:w="90" w:type="dxa"/>
              <w:end w:w="110" w:type="dxa"/>
            </w:tcMar>
            <w:vAlign w:val="center"/>
          </w:tcPr>
          <w:p>
            <w:r>
              <w:rPr>
                <w:b/>
                <w:color w:val="FFFFFF"/>
                <w:sz w:val="18"/>
              </w:rPr>
              <w:t>Couche</w:t>
            </w:r>
          </w:p>
        </w:tc>
        <w:tc>
          <w:tcPr>
            <w:tcW w:type="dxa" w:w="2551"/>
            <w:shd w:fill="073B34"/>
            <w:tcMar>
              <w:top w:w="90" w:type="dxa"/>
              <w:start w:w="110" w:type="dxa"/>
              <w:bottom w:w="90" w:type="dxa"/>
              <w:end w:w="110" w:type="dxa"/>
            </w:tcMar>
            <w:vAlign w:val="center"/>
          </w:tcPr>
          <w:p>
            <w:r>
              <w:rPr>
                <w:b/>
                <w:color w:val="FFFFFF"/>
                <w:sz w:val="18"/>
              </w:rPr>
              <w:t>Technologie</w:t>
            </w:r>
          </w:p>
        </w:tc>
        <w:tc>
          <w:tcPr>
            <w:tcW w:type="dxa" w:w="5103"/>
            <w:shd w:fill="073B34"/>
            <w:tcMar>
              <w:top w:w="90" w:type="dxa"/>
              <w:start w:w="110" w:type="dxa"/>
              <w:bottom w:w="90" w:type="dxa"/>
              <w:end w:w="110" w:type="dxa"/>
            </w:tcMar>
            <w:vAlign w:val="center"/>
          </w:tcPr>
          <w:p>
            <w:r>
              <w:rPr>
                <w:b/>
                <w:color w:val="FFFFFF"/>
                <w:sz w:val="18"/>
              </w:rPr>
              <w:t>Responsabilité</w:t>
            </w:r>
          </w:p>
        </w:tc>
      </w:tr>
      <w:tr>
        <w:tc>
          <w:tcPr>
            <w:tcW w:type="dxa" w:w="1701"/>
            <w:tcMar>
              <w:top w:w="90" w:type="dxa"/>
              <w:start w:w="110" w:type="dxa"/>
              <w:bottom w:w="90" w:type="dxa"/>
              <w:end w:w="110" w:type="dxa"/>
            </w:tcMar>
            <w:vAlign w:val="top"/>
          </w:tcPr>
          <w:p>
            <w:pPr>
              <w:spacing w:after="0"/>
            </w:pPr>
            <w:r>
              <w:rPr>
                <w:sz w:val="17"/>
              </w:rPr>
              <w:t>Navigateur</w:t>
            </w:r>
          </w:p>
        </w:tc>
        <w:tc>
          <w:tcPr>
            <w:tcW w:type="dxa" w:w="2551"/>
            <w:tcMar>
              <w:top w:w="90" w:type="dxa"/>
              <w:start w:w="110" w:type="dxa"/>
              <w:bottom w:w="90" w:type="dxa"/>
              <w:end w:w="110" w:type="dxa"/>
            </w:tcMar>
            <w:vAlign w:val="top"/>
          </w:tcPr>
          <w:p>
            <w:pPr>
              <w:spacing w:after="0"/>
            </w:pPr>
            <w:r>
              <w:rPr>
                <w:sz w:val="17"/>
              </w:rPr>
              <w:t>HTML, CSS, JavaScript natif</w:t>
            </w:r>
          </w:p>
        </w:tc>
        <w:tc>
          <w:tcPr>
            <w:tcW w:type="dxa" w:w="5103"/>
            <w:tcMar>
              <w:top w:w="90" w:type="dxa"/>
              <w:start w:w="110" w:type="dxa"/>
              <w:bottom w:w="90" w:type="dxa"/>
              <w:end w:w="110" w:type="dxa"/>
            </w:tcMar>
            <w:vAlign w:val="top"/>
          </w:tcPr>
          <w:p>
            <w:pPr>
              <w:spacing w:after="0"/>
            </w:pPr>
            <w:r>
              <w:rPr>
                <w:sz w:val="17"/>
              </w:rPr>
              <w:t>Interface responsive, formulaires, tableaux, navigation SPA et appels API.</w:t>
            </w:r>
          </w:p>
        </w:tc>
      </w:tr>
      <w:tr>
        <w:tc>
          <w:tcPr>
            <w:tcW w:type="dxa" w:w="1701"/>
            <w:tcMar>
              <w:top w:w="90" w:type="dxa"/>
              <w:start w:w="110" w:type="dxa"/>
              <w:bottom w:w="90" w:type="dxa"/>
              <w:end w:w="110" w:type="dxa"/>
            </w:tcMar>
            <w:vAlign w:val="top"/>
            <w:shd w:fill="F2F5F4"/>
          </w:tcPr>
          <w:p>
            <w:pPr>
              <w:spacing w:after="0"/>
            </w:pPr>
            <w:r>
              <w:rPr>
                <w:sz w:val="17"/>
              </w:rPr>
              <w:t>Application</w:t>
            </w:r>
          </w:p>
        </w:tc>
        <w:tc>
          <w:tcPr>
            <w:tcW w:type="dxa" w:w="2551"/>
            <w:tcMar>
              <w:top w:w="90" w:type="dxa"/>
              <w:start w:w="110" w:type="dxa"/>
              <w:bottom w:w="90" w:type="dxa"/>
              <w:end w:w="110" w:type="dxa"/>
            </w:tcMar>
            <w:vAlign w:val="top"/>
            <w:shd w:fill="F2F5F4"/>
          </w:tcPr>
          <w:p>
            <w:pPr>
              <w:spacing w:after="0"/>
            </w:pPr>
            <w:r>
              <w:rPr>
                <w:sz w:val="17"/>
              </w:rPr>
              <w:t>Node.js 20+, Express 4</w:t>
            </w:r>
          </w:p>
        </w:tc>
        <w:tc>
          <w:tcPr>
            <w:tcW w:type="dxa" w:w="5103"/>
            <w:tcMar>
              <w:top w:w="90" w:type="dxa"/>
              <w:start w:w="110" w:type="dxa"/>
              <w:bottom w:w="90" w:type="dxa"/>
              <w:end w:w="110" w:type="dxa"/>
            </w:tcMar>
            <w:vAlign w:val="top"/>
            <w:shd w:fill="F2F5F4"/>
          </w:tcPr>
          <w:p>
            <w:pPr>
              <w:spacing w:after="0"/>
            </w:pPr>
            <w:r>
              <w:rPr>
                <w:sz w:val="17"/>
              </w:rPr>
              <w:t>Authentification, autorisations, validations, règles métier et API REST.</w:t>
            </w:r>
          </w:p>
        </w:tc>
      </w:tr>
      <w:tr>
        <w:tc>
          <w:tcPr>
            <w:tcW w:type="dxa" w:w="1701"/>
            <w:tcMar>
              <w:top w:w="90" w:type="dxa"/>
              <w:start w:w="110" w:type="dxa"/>
              <w:bottom w:w="90" w:type="dxa"/>
              <w:end w:w="110" w:type="dxa"/>
            </w:tcMar>
            <w:vAlign w:val="top"/>
          </w:tcPr>
          <w:p>
            <w:pPr>
              <w:spacing w:after="0"/>
            </w:pPr>
            <w:r>
              <w:rPr>
                <w:sz w:val="17"/>
              </w:rPr>
              <w:t>Données</w:t>
            </w:r>
          </w:p>
        </w:tc>
        <w:tc>
          <w:tcPr>
            <w:tcW w:type="dxa" w:w="2551"/>
            <w:tcMar>
              <w:top w:w="90" w:type="dxa"/>
              <w:start w:w="110" w:type="dxa"/>
              <w:bottom w:w="90" w:type="dxa"/>
              <w:end w:w="110" w:type="dxa"/>
            </w:tcMar>
            <w:vAlign w:val="top"/>
          </w:tcPr>
          <w:p>
            <w:pPr>
              <w:spacing w:after="0"/>
            </w:pPr>
            <w:r>
              <w:rPr>
                <w:sz w:val="17"/>
              </w:rPr>
              <w:t>PostgreSQL / Neon</w:t>
            </w:r>
          </w:p>
        </w:tc>
        <w:tc>
          <w:tcPr>
            <w:tcW w:type="dxa" w:w="5103"/>
            <w:tcMar>
              <w:top w:w="90" w:type="dxa"/>
              <w:start w:w="110" w:type="dxa"/>
              <w:bottom w:w="90" w:type="dxa"/>
              <w:end w:w="110" w:type="dxa"/>
            </w:tcMar>
            <w:vAlign w:val="top"/>
          </w:tcPr>
          <w:p>
            <w:pPr>
              <w:spacing w:after="0"/>
            </w:pPr>
            <w:r>
              <w:rPr>
                <w:sz w:val="17"/>
              </w:rPr>
              <w:t>Persistance, contraintes, vues, fonctions, triggers, RLS et audit.</w:t>
            </w:r>
          </w:p>
        </w:tc>
      </w:tr>
      <w:tr>
        <w:tc>
          <w:tcPr>
            <w:tcW w:type="dxa" w:w="1701"/>
            <w:tcMar>
              <w:top w:w="90" w:type="dxa"/>
              <w:start w:w="110" w:type="dxa"/>
              <w:bottom w:w="90" w:type="dxa"/>
              <w:end w:w="110" w:type="dxa"/>
            </w:tcMar>
            <w:vAlign w:val="top"/>
            <w:shd w:fill="F2F5F4"/>
          </w:tcPr>
          <w:p>
            <w:pPr>
              <w:spacing w:after="0"/>
            </w:pPr>
            <w:r>
              <w:rPr>
                <w:sz w:val="17"/>
              </w:rPr>
              <w:t>Documents</w:t>
            </w:r>
          </w:p>
        </w:tc>
        <w:tc>
          <w:tcPr>
            <w:tcW w:type="dxa" w:w="2551"/>
            <w:tcMar>
              <w:top w:w="90" w:type="dxa"/>
              <w:start w:w="110" w:type="dxa"/>
              <w:bottom w:w="90" w:type="dxa"/>
              <w:end w:w="110" w:type="dxa"/>
            </w:tcMar>
            <w:vAlign w:val="top"/>
            <w:shd w:fill="F2F5F4"/>
          </w:tcPr>
          <w:p>
            <w:pPr>
              <w:spacing w:after="0"/>
            </w:pPr>
            <w:r>
              <w:rPr>
                <w:sz w:val="17"/>
              </w:rPr>
              <w:t>Vercel Blob privé / S3 / local</w:t>
            </w:r>
          </w:p>
        </w:tc>
        <w:tc>
          <w:tcPr>
            <w:tcW w:type="dxa" w:w="5103"/>
            <w:tcMar>
              <w:top w:w="90" w:type="dxa"/>
              <w:start w:w="110" w:type="dxa"/>
              <w:bottom w:w="90" w:type="dxa"/>
              <w:end w:w="110" w:type="dxa"/>
            </w:tcMar>
            <w:vAlign w:val="top"/>
            <w:shd w:fill="F2F5F4"/>
          </w:tcPr>
          <w:p>
            <w:pPr>
              <w:spacing w:after="0"/>
            </w:pPr>
            <w:r>
              <w:rPr>
                <w:sz w:val="17"/>
              </w:rPr>
              <w:t>Stockage des PDF et images ; les métadonnées restent en PostgreSQL.</w:t>
            </w:r>
          </w:p>
        </w:tc>
      </w:tr>
      <w:tr>
        <w:tc>
          <w:tcPr>
            <w:tcW w:type="dxa" w:w="1701"/>
            <w:tcMar>
              <w:top w:w="90" w:type="dxa"/>
              <w:start w:w="110" w:type="dxa"/>
              <w:bottom w:w="90" w:type="dxa"/>
              <w:end w:w="110" w:type="dxa"/>
            </w:tcMar>
            <w:vAlign w:val="top"/>
          </w:tcPr>
          <w:p>
            <w:pPr>
              <w:spacing w:after="0"/>
            </w:pPr>
            <w:r>
              <w:rPr>
                <w:sz w:val="17"/>
              </w:rPr>
              <w:t>Hébergement</w:t>
            </w:r>
          </w:p>
        </w:tc>
        <w:tc>
          <w:tcPr>
            <w:tcW w:type="dxa" w:w="2551"/>
            <w:tcMar>
              <w:top w:w="90" w:type="dxa"/>
              <w:start w:w="110" w:type="dxa"/>
              <w:bottom w:w="90" w:type="dxa"/>
              <w:end w:w="110" w:type="dxa"/>
            </w:tcMar>
            <w:vAlign w:val="top"/>
          </w:tcPr>
          <w:p>
            <w:pPr>
              <w:spacing w:after="0"/>
            </w:pPr>
            <w:r>
              <w:rPr>
                <w:sz w:val="17"/>
              </w:rPr>
              <w:t>Vercel</w:t>
            </w:r>
          </w:p>
        </w:tc>
        <w:tc>
          <w:tcPr>
            <w:tcW w:type="dxa" w:w="5103"/>
            <w:tcMar>
              <w:top w:w="90" w:type="dxa"/>
              <w:start w:w="110" w:type="dxa"/>
              <w:bottom w:w="90" w:type="dxa"/>
              <w:end w:w="110" w:type="dxa"/>
            </w:tcMar>
            <w:vAlign w:val="top"/>
          </w:tcPr>
          <w:p>
            <w:pPr>
              <w:spacing w:after="0"/>
            </w:pPr>
            <w:r>
              <w:rPr>
                <w:sz w:val="17"/>
              </w:rPr>
              <w:t>Build et exécution de l’application, variables sécurisées et déploiement depuis GitHub.</w:t>
            </w:r>
          </w:p>
        </w:tc>
      </w:tr>
      <w:tr>
        <w:tc>
          <w:tcPr>
            <w:tcW w:type="dxa" w:w="1701"/>
            <w:tcMar>
              <w:top w:w="90" w:type="dxa"/>
              <w:start w:w="110" w:type="dxa"/>
              <w:bottom w:w="90" w:type="dxa"/>
              <w:end w:w="110" w:type="dxa"/>
            </w:tcMar>
            <w:vAlign w:val="top"/>
            <w:shd w:fill="F2F5F4"/>
          </w:tcPr>
          <w:p>
            <w:pPr>
              <w:spacing w:after="0"/>
            </w:pPr>
            <w:r>
              <w:rPr>
                <w:sz w:val="17"/>
              </w:rPr>
              <w:t>Développement local</w:t>
            </w:r>
          </w:p>
        </w:tc>
        <w:tc>
          <w:tcPr>
            <w:tcW w:type="dxa" w:w="2551"/>
            <w:tcMar>
              <w:top w:w="90" w:type="dxa"/>
              <w:start w:w="110" w:type="dxa"/>
              <w:bottom w:w="90" w:type="dxa"/>
              <w:end w:w="110" w:type="dxa"/>
            </w:tcMar>
            <w:vAlign w:val="top"/>
            <w:shd w:fill="F2F5F4"/>
          </w:tcPr>
          <w:p>
            <w:pPr>
              <w:spacing w:after="0"/>
            </w:pPr>
            <w:r>
              <w:rPr>
                <w:sz w:val="17"/>
              </w:rPr>
              <w:t>Docker Compose</w:t>
            </w:r>
          </w:p>
        </w:tc>
        <w:tc>
          <w:tcPr>
            <w:tcW w:type="dxa" w:w="5103"/>
            <w:tcMar>
              <w:top w:w="90" w:type="dxa"/>
              <w:start w:w="110" w:type="dxa"/>
              <w:bottom w:w="90" w:type="dxa"/>
              <w:end w:w="110" w:type="dxa"/>
            </w:tcMar>
            <w:vAlign w:val="top"/>
            <w:shd w:fill="F2F5F4"/>
          </w:tcPr>
          <w:p>
            <w:pPr>
              <w:spacing w:after="0"/>
            </w:pPr>
            <w:r>
              <w:rPr>
                <w:sz w:val="17"/>
              </w:rPr>
              <w:t>PostgreSQL local et application reproductible.</w:t>
            </w:r>
          </w:p>
        </w:tc>
      </w:tr>
    </w:tbl>
    <w:p>
      <w:pPr>
        <w:spacing w:after="0"/>
      </w:pPr>
    </w:p>
    <w:p>
      <w:pPr>
        <w:pStyle w:val="Heading2"/>
        <w:keepNext/>
      </w:pPr>
      <w:r>
        <w:t>5.1 Flux principal</w:t>
      </w:r>
    </w:p>
    <w:tbl>
      <w:tblPr>
        <w:tblW w:type="auto" w:w="0"/>
        <w:tblLook w:firstColumn="1" w:firstRow="1" w:lastColumn="0" w:lastRow="0" w:noHBand="0" w:noVBand="1" w:val="04A0"/>
      </w:tblPr>
      <w:tblGrid>
        <w:gridCol w:w="9972"/>
      </w:tblGrid>
      <w:tr>
        <w:tc>
          <w:tcPr>
            <w:tcW w:type="dxa" w:w="9972"/>
            <w:shd w:fill="17211F"/>
            <w:tcMar>
              <w:top w:w="110" w:type="dxa"/>
              <w:start w:w="140" w:type="dxa"/>
              <w:bottom w:w="110" w:type="dxa"/>
              <w:end w:w="140" w:type="dxa"/>
            </w:tcMar>
          </w:tcPr>
          <w:p>
            <w:pPr>
              <w:spacing w:after="0"/>
            </w:pPr>
            <w:r>
              <w:rPr>
                <w:rFonts w:ascii="Consolas" w:hAnsi="Consolas" w:eastAsia="Consolas"/>
                <w:color w:val="EBF4F1"/>
                <w:sz w:val="16"/>
              </w:rPr>
              <w:t>Navigateur authentifié</w:t>
              <w:br/>
              <w:t xml:space="preserve">        │ HTTPS + cookie httpOnly</w:t>
              <w:br/>
              <w:t xml:space="preserve">        ▼</w:t>
              <w:br/>
              <w:t>Vercel / Express API</w:t>
              <w:br/>
              <w:t xml:space="preserve">        ├──► Neon PostgreSQL pooler</w:t>
              <w:br/>
              <w:t xml:space="preserve">        │      données + RLS + audit</w:t>
              <w:br/>
              <w:t xml:space="preserve">        └──► Vercel Blob privé</w:t>
              <w:br/>
              <w:t xml:space="preserve">               PDF / JPG / PNG</w:t>
            </w:r>
          </w:p>
        </w:tc>
      </w:tr>
    </w:tbl>
    <w:p>
      <w:pPr>
        <w:spacing w:after="0"/>
      </w:pPr>
    </w:p>
    <w:p>
      <w:r>
        <w:t>Chaque requête authentifiée récupère organisationId dans le JWT. AsyncLocalStorage transporte ce contexte jusqu’à la couche SQL, qui positionne app.organisation_id dans la transaction. Les politiques RLS PostgreSQL filtrent ensuite les lignes de l’organisation courante.</w:t>
      </w:r>
    </w:p>
    <w:p>
      <w:pPr>
        <w:pStyle w:val="Heading2"/>
        <w:keepNext/>
      </w:pPr>
      <w:r>
        <w:t>5.2 Modèle de données</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2268"/>
            <w:shd w:fill="073B34"/>
            <w:tcMar>
              <w:top w:w="90" w:type="dxa"/>
              <w:start w:w="110" w:type="dxa"/>
              <w:bottom w:w="90" w:type="dxa"/>
              <w:end w:w="110" w:type="dxa"/>
            </w:tcMar>
            <w:vAlign w:val="center"/>
          </w:tcPr>
          <w:p>
            <w:r>
              <w:rPr>
                <w:b/>
                <w:color w:val="FFFFFF"/>
                <w:sz w:val="18"/>
              </w:rPr>
              <w:t>Table</w:t>
            </w:r>
          </w:p>
        </w:tc>
        <w:tc>
          <w:tcPr>
            <w:tcW w:type="dxa" w:w="3402"/>
            <w:shd w:fill="073B34"/>
            <w:tcMar>
              <w:top w:w="90" w:type="dxa"/>
              <w:start w:w="110" w:type="dxa"/>
              <w:bottom w:w="90" w:type="dxa"/>
              <w:end w:w="110" w:type="dxa"/>
            </w:tcMar>
            <w:vAlign w:val="center"/>
          </w:tcPr>
          <w:p>
            <w:r>
              <w:rPr>
                <w:b/>
                <w:color w:val="FFFFFF"/>
                <w:sz w:val="18"/>
              </w:rPr>
              <w:t>Contenu</w:t>
            </w:r>
          </w:p>
        </w:tc>
        <w:tc>
          <w:tcPr>
            <w:tcW w:type="dxa" w:w="3685"/>
            <w:shd w:fill="073B34"/>
            <w:tcMar>
              <w:top w:w="90" w:type="dxa"/>
              <w:start w:w="110" w:type="dxa"/>
              <w:bottom w:w="90" w:type="dxa"/>
              <w:end w:w="110" w:type="dxa"/>
            </w:tcMar>
            <w:vAlign w:val="center"/>
          </w:tcPr>
          <w:p>
            <w:r>
              <w:rPr>
                <w:b/>
                <w:color w:val="FFFFFF"/>
                <w:sz w:val="18"/>
              </w:rPr>
              <w:t>Relations majeures</w:t>
            </w:r>
          </w:p>
        </w:tc>
      </w:tr>
      <w:tr>
        <w:tc>
          <w:tcPr>
            <w:tcW w:type="dxa" w:w="2268"/>
            <w:tcMar>
              <w:top w:w="90" w:type="dxa"/>
              <w:start w:w="110" w:type="dxa"/>
              <w:bottom w:w="90" w:type="dxa"/>
              <w:end w:w="110" w:type="dxa"/>
            </w:tcMar>
            <w:vAlign w:val="top"/>
          </w:tcPr>
          <w:p>
            <w:pPr>
              <w:spacing w:after="0"/>
            </w:pPr>
            <w:r>
              <w:rPr>
                <w:sz w:val="17"/>
              </w:rPr>
              <w:t>organisations</w:t>
            </w:r>
          </w:p>
        </w:tc>
        <w:tc>
          <w:tcPr>
            <w:tcW w:type="dxa" w:w="3402"/>
            <w:tcMar>
              <w:top w:w="90" w:type="dxa"/>
              <w:start w:w="110" w:type="dxa"/>
              <w:bottom w:w="90" w:type="dxa"/>
              <w:end w:w="110" w:type="dxa"/>
            </w:tcMar>
            <w:vAlign w:val="top"/>
          </w:tcPr>
          <w:p>
            <w:pPr>
              <w:spacing w:after="0"/>
            </w:pPr>
            <w:r>
              <w:rPr>
                <w:sz w:val="17"/>
              </w:rPr>
              <w:t>Cabinets isolés</w:t>
            </w:r>
          </w:p>
        </w:tc>
        <w:tc>
          <w:tcPr>
            <w:tcW w:type="dxa" w:w="3685"/>
            <w:tcMar>
              <w:top w:w="90" w:type="dxa"/>
              <w:start w:w="110" w:type="dxa"/>
              <w:bottom w:w="90" w:type="dxa"/>
              <w:end w:w="110" w:type="dxa"/>
            </w:tcMar>
            <w:vAlign w:val="top"/>
          </w:tcPr>
          <w:p>
            <w:pPr>
              <w:spacing w:after="0"/>
            </w:pPr>
            <w:r>
              <w:rPr>
                <w:sz w:val="17"/>
              </w:rPr>
              <w:t>Parent logique de toutes les données métier.</w:t>
            </w:r>
          </w:p>
        </w:tc>
      </w:tr>
      <w:tr>
        <w:tc>
          <w:tcPr>
            <w:tcW w:type="dxa" w:w="2268"/>
            <w:tcMar>
              <w:top w:w="90" w:type="dxa"/>
              <w:start w:w="110" w:type="dxa"/>
              <w:bottom w:w="90" w:type="dxa"/>
              <w:end w:w="110" w:type="dxa"/>
            </w:tcMar>
            <w:vAlign w:val="top"/>
            <w:shd w:fill="F2F5F4"/>
          </w:tcPr>
          <w:p>
            <w:pPr>
              <w:spacing w:after="0"/>
            </w:pPr>
            <w:r>
              <w:rPr>
                <w:sz w:val="17"/>
              </w:rPr>
              <w:t>utilisateurs</w:t>
            </w:r>
          </w:p>
        </w:tc>
        <w:tc>
          <w:tcPr>
            <w:tcW w:type="dxa" w:w="3402"/>
            <w:tcMar>
              <w:top w:w="90" w:type="dxa"/>
              <w:start w:w="110" w:type="dxa"/>
              <w:bottom w:w="90" w:type="dxa"/>
              <w:end w:w="110" w:type="dxa"/>
            </w:tcMar>
            <w:vAlign w:val="top"/>
            <w:shd w:fill="F2F5F4"/>
          </w:tcPr>
          <w:p>
            <w:pPr>
              <w:spacing w:after="0"/>
            </w:pPr>
            <w:r>
              <w:rPr>
                <w:sz w:val="17"/>
              </w:rPr>
              <w:t>Comptes, rôles, hachages</w:t>
            </w:r>
          </w:p>
        </w:tc>
        <w:tc>
          <w:tcPr>
            <w:tcW w:type="dxa" w:w="3685"/>
            <w:tcMar>
              <w:top w:w="90" w:type="dxa"/>
              <w:start w:w="110" w:type="dxa"/>
              <w:bottom w:w="90" w:type="dxa"/>
              <w:end w:w="110" w:type="dxa"/>
            </w:tcMar>
            <w:vAlign w:val="top"/>
            <w:shd w:fill="F2F5F4"/>
          </w:tcPr>
          <w:p>
            <w:pPr>
              <w:spacing w:after="0"/>
            </w:pPr>
            <w:r>
              <w:rPr>
                <w:sz w:val="17"/>
              </w:rPr>
              <w:t>Rattachés à une organisation.</w:t>
            </w:r>
          </w:p>
        </w:tc>
      </w:tr>
      <w:tr>
        <w:tc>
          <w:tcPr>
            <w:tcW w:type="dxa" w:w="2268"/>
            <w:tcMar>
              <w:top w:w="90" w:type="dxa"/>
              <w:start w:w="110" w:type="dxa"/>
              <w:bottom w:w="90" w:type="dxa"/>
              <w:end w:w="110" w:type="dxa"/>
            </w:tcMar>
            <w:vAlign w:val="top"/>
          </w:tcPr>
          <w:p>
            <w:pPr>
              <w:spacing w:after="0"/>
            </w:pPr>
            <w:r>
              <w:rPr>
                <w:sz w:val="17"/>
              </w:rPr>
              <w:t>clients</w:t>
            </w:r>
          </w:p>
        </w:tc>
        <w:tc>
          <w:tcPr>
            <w:tcW w:type="dxa" w:w="3402"/>
            <w:tcMar>
              <w:top w:w="90" w:type="dxa"/>
              <w:start w:w="110" w:type="dxa"/>
              <w:bottom w:w="90" w:type="dxa"/>
              <w:end w:w="110" w:type="dxa"/>
            </w:tcMar>
            <w:vAlign w:val="top"/>
          </w:tcPr>
          <w:p>
            <w:pPr>
              <w:spacing w:after="0"/>
            </w:pPr>
            <w:r>
              <w:rPr>
                <w:sz w:val="17"/>
              </w:rPr>
              <w:t>Personnes physiques/morales</w:t>
            </w:r>
          </w:p>
        </w:tc>
        <w:tc>
          <w:tcPr>
            <w:tcW w:type="dxa" w:w="3685"/>
            <w:tcMar>
              <w:top w:w="90" w:type="dxa"/>
              <w:start w:w="110" w:type="dxa"/>
              <w:bottom w:w="90" w:type="dxa"/>
              <w:end w:w="110" w:type="dxa"/>
            </w:tcMar>
            <w:vAlign w:val="top"/>
          </w:tcPr>
          <w:p>
            <w:pPr>
              <w:spacing w:after="0"/>
            </w:pPr>
            <w:r>
              <w:rPr>
                <w:sz w:val="17"/>
              </w:rPr>
              <w:t>Client, souscripteur, leasing historique ou payeur d’un contrat.</w:t>
            </w:r>
          </w:p>
        </w:tc>
      </w:tr>
      <w:tr>
        <w:tc>
          <w:tcPr>
            <w:tcW w:type="dxa" w:w="2268"/>
            <w:tcMar>
              <w:top w:w="90" w:type="dxa"/>
              <w:start w:w="110" w:type="dxa"/>
              <w:bottom w:w="90" w:type="dxa"/>
              <w:end w:w="110" w:type="dxa"/>
            </w:tcMar>
            <w:vAlign w:val="top"/>
            <w:shd w:fill="F2F5F4"/>
          </w:tcPr>
          <w:p>
            <w:pPr>
              <w:spacing w:after="0"/>
            </w:pPr>
            <w:r>
              <w:rPr>
                <w:sz w:val="17"/>
              </w:rPr>
              <w:t>compagnies</w:t>
            </w:r>
          </w:p>
        </w:tc>
        <w:tc>
          <w:tcPr>
            <w:tcW w:type="dxa" w:w="3402"/>
            <w:tcMar>
              <w:top w:w="90" w:type="dxa"/>
              <w:start w:w="110" w:type="dxa"/>
              <w:bottom w:w="90" w:type="dxa"/>
              <w:end w:w="110" w:type="dxa"/>
            </w:tcMar>
            <w:vAlign w:val="top"/>
            <w:shd w:fill="F2F5F4"/>
          </w:tcPr>
          <w:p>
            <w:pPr>
              <w:spacing w:after="0"/>
            </w:pPr>
            <w:r>
              <w:rPr>
                <w:sz w:val="17"/>
              </w:rPr>
              <w:t>Compagnies d’assurance</w:t>
            </w:r>
          </w:p>
        </w:tc>
        <w:tc>
          <w:tcPr>
            <w:tcW w:type="dxa" w:w="3685"/>
            <w:tcMar>
              <w:top w:w="90" w:type="dxa"/>
              <w:start w:w="110" w:type="dxa"/>
              <w:bottom w:w="90" w:type="dxa"/>
              <w:end w:w="110" w:type="dxa"/>
            </w:tcMar>
            <w:vAlign w:val="top"/>
            <w:shd w:fill="F2F5F4"/>
          </w:tcPr>
          <w:p>
            <w:pPr>
              <w:spacing w:after="0"/>
            </w:pPr>
            <w:r>
              <w:rPr>
                <w:sz w:val="17"/>
              </w:rPr>
              <w:t>Référencées par les contrats.</w:t>
            </w:r>
          </w:p>
        </w:tc>
      </w:tr>
      <w:tr>
        <w:tc>
          <w:tcPr>
            <w:tcW w:type="dxa" w:w="2268"/>
            <w:tcMar>
              <w:top w:w="90" w:type="dxa"/>
              <w:start w:w="110" w:type="dxa"/>
              <w:bottom w:w="90" w:type="dxa"/>
              <w:end w:w="110" w:type="dxa"/>
            </w:tcMar>
            <w:vAlign w:val="top"/>
          </w:tcPr>
          <w:p>
            <w:pPr>
              <w:spacing w:after="0"/>
            </w:pPr>
            <w:r>
              <w:rPr>
                <w:sz w:val="17"/>
              </w:rPr>
              <w:t>produits</w:t>
            </w:r>
          </w:p>
        </w:tc>
        <w:tc>
          <w:tcPr>
            <w:tcW w:type="dxa" w:w="3402"/>
            <w:tcMar>
              <w:top w:w="90" w:type="dxa"/>
              <w:start w:w="110" w:type="dxa"/>
              <w:bottom w:w="90" w:type="dxa"/>
              <w:end w:w="110" w:type="dxa"/>
            </w:tcMar>
            <w:vAlign w:val="top"/>
          </w:tcPr>
          <w:p>
            <w:pPr>
              <w:spacing w:after="0"/>
            </w:pPr>
            <w:r>
              <w:rPr>
                <w:sz w:val="17"/>
              </w:rPr>
              <w:t>Produits et branches</w:t>
            </w:r>
          </w:p>
        </w:tc>
        <w:tc>
          <w:tcPr>
            <w:tcW w:type="dxa" w:w="3685"/>
            <w:tcMar>
              <w:top w:w="90" w:type="dxa"/>
              <w:start w:w="110" w:type="dxa"/>
              <w:bottom w:w="90" w:type="dxa"/>
              <w:end w:w="110" w:type="dxa"/>
            </w:tcMar>
            <w:vAlign w:val="top"/>
          </w:tcPr>
          <w:p>
            <w:pPr>
              <w:spacing w:after="0"/>
            </w:pPr>
            <w:r>
              <w:rPr>
                <w:sz w:val="17"/>
              </w:rPr>
              <w:t>Référencés par les contrats.</w:t>
            </w:r>
          </w:p>
        </w:tc>
      </w:tr>
      <w:tr>
        <w:tc>
          <w:tcPr>
            <w:tcW w:type="dxa" w:w="2268"/>
            <w:tcMar>
              <w:top w:w="90" w:type="dxa"/>
              <w:start w:w="110" w:type="dxa"/>
              <w:bottom w:w="90" w:type="dxa"/>
              <w:end w:w="110" w:type="dxa"/>
            </w:tcMar>
            <w:vAlign w:val="top"/>
            <w:shd w:fill="F2F5F4"/>
          </w:tcPr>
          <w:p>
            <w:pPr>
              <w:spacing w:after="0"/>
            </w:pPr>
            <w:r>
              <w:rPr>
                <w:sz w:val="17"/>
              </w:rPr>
              <w:t>contrats</w:t>
            </w:r>
          </w:p>
        </w:tc>
        <w:tc>
          <w:tcPr>
            <w:tcW w:type="dxa" w:w="3402"/>
            <w:tcMar>
              <w:top w:w="90" w:type="dxa"/>
              <w:start w:w="110" w:type="dxa"/>
              <w:bottom w:w="90" w:type="dxa"/>
              <w:end w:w="110" w:type="dxa"/>
            </w:tcMar>
            <w:vAlign w:val="top"/>
            <w:shd w:fill="F2F5F4"/>
          </w:tcPr>
          <w:p>
            <w:pPr>
              <w:spacing w:after="0"/>
            </w:pPr>
            <w:r>
              <w:rPr>
                <w:sz w:val="17"/>
              </w:rPr>
              <w:t>Police, dates, fréquence, prime, acteurs</w:t>
            </w:r>
          </w:p>
        </w:tc>
        <w:tc>
          <w:tcPr>
            <w:tcW w:type="dxa" w:w="3685"/>
            <w:tcMar>
              <w:top w:w="90" w:type="dxa"/>
              <w:start w:w="110" w:type="dxa"/>
              <w:bottom w:w="90" w:type="dxa"/>
              <w:end w:w="110" w:type="dxa"/>
            </w:tcMar>
            <w:vAlign w:val="top"/>
            <w:shd w:fill="F2F5F4"/>
          </w:tcPr>
          <w:p>
            <w:pPr>
              <w:spacing w:after="0"/>
            </w:pPr>
            <w:r>
              <w:rPr>
                <w:sz w:val="17"/>
              </w:rPr>
              <w:t>Parent des échéances et pièces jointes.</w:t>
            </w:r>
          </w:p>
        </w:tc>
      </w:tr>
      <w:tr>
        <w:tc>
          <w:tcPr>
            <w:tcW w:type="dxa" w:w="2268"/>
            <w:tcMar>
              <w:top w:w="90" w:type="dxa"/>
              <w:start w:w="110" w:type="dxa"/>
              <w:bottom w:w="90" w:type="dxa"/>
              <w:end w:w="110" w:type="dxa"/>
            </w:tcMar>
            <w:vAlign w:val="top"/>
          </w:tcPr>
          <w:p>
            <w:pPr>
              <w:spacing w:after="0"/>
            </w:pPr>
            <w:r>
              <w:rPr>
                <w:sz w:val="17"/>
              </w:rPr>
              <w:t>echeances</w:t>
            </w:r>
          </w:p>
        </w:tc>
        <w:tc>
          <w:tcPr>
            <w:tcW w:type="dxa" w:w="3402"/>
            <w:tcMar>
              <w:top w:w="90" w:type="dxa"/>
              <w:start w:w="110" w:type="dxa"/>
              <w:bottom w:w="90" w:type="dxa"/>
              <w:end w:w="110" w:type="dxa"/>
            </w:tcMar>
            <w:vAlign w:val="top"/>
          </w:tcPr>
          <w:p>
            <w:pPr>
              <w:spacing w:after="0"/>
            </w:pPr>
            <w:r>
              <w:rPr>
                <w:sz w:val="17"/>
              </w:rPr>
              <w:t>Terme ou renouvellement, date, montant, statut</w:t>
            </w:r>
          </w:p>
        </w:tc>
        <w:tc>
          <w:tcPr>
            <w:tcW w:type="dxa" w:w="3685"/>
            <w:tcMar>
              <w:top w:w="90" w:type="dxa"/>
              <w:start w:w="110" w:type="dxa"/>
              <w:bottom w:w="90" w:type="dxa"/>
              <w:end w:w="110" w:type="dxa"/>
            </w:tcMar>
            <w:vAlign w:val="top"/>
          </w:tcPr>
          <w:p>
            <w:pPr>
              <w:spacing w:after="0"/>
            </w:pPr>
            <w:r>
              <w:rPr>
                <w:sz w:val="17"/>
              </w:rPr>
              <w:t>Parent des paiements et relances.</w:t>
            </w:r>
          </w:p>
        </w:tc>
      </w:tr>
      <w:tr>
        <w:tc>
          <w:tcPr>
            <w:tcW w:type="dxa" w:w="2268"/>
            <w:tcMar>
              <w:top w:w="90" w:type="dxa"/>
              <w:start w:w="110" w:type="dxa"/>
              <w:bottom w:w="90" w:type="dxa"/>
              <w:end w:w="110" w:type="dxa"/>
            </w:tcMar>
            <w:vAlign w:val="top"/>
            <w:shd w:fill="F2F5F4"/>
          </w:tcPr>
          <w:p>
            <w:pPr>
              <w:spacing w:after="0"/>
            </w:pPr>
            <w:r>
              <w:rPr>
                <w:sz w:val="17"/>
              </w:rPr>
              <w:t>paiements</w:t>
            </w:r>
          </w:p>
        </w:tc>
        <w:tc>
          <w:tcPr>
            <w:tcW w:type="dxa" w:w="3402"/>
            <w:tcMar>
              <w:top w:w="90" w:type="dxa"/>
              <w:start w:w="110" w:type="dxa"/>
              <w:bottom w:w="90" w:type="dxa"/>
              <w:end w:w="110" w:type="dxa"/>
            </w:tcMar>
            <w:vAlign w:val="top"/>
            <w:shd w:fill="F2F5F4"/>
          </w:tcPr>
          <w:p>
            <w:pPr>
              <w:spacing w:after="0"/>
            </w:pPr>
            <w:r>
              <w:rPr>
                <w:sz w:val="17"/>
              </w:rPr>
              <w:t>Encaissements</w:t>
            </w:r>
          </w:p>
        </w:tc>
        <w:tc>
          <w:tcPr>
            <w:tcW w:type="dxa" w:w="3685"/>
            <w:tcMar>
              <w:top w:w="90" w:type="dxa"/>
              <w:start w:w="110" w:type="dxa"/>
              <w:bottom w:w="90" w:type="dxa"/>
              <w:end w:w="110" w:type="dxa"/>
            </w:tcMar>
            <w:vAlign w:val="top"/>
            <w:shd w:fill="F2F5F4"/>
          </w:tcPr>
          <w:p>
            <w:pPr>
              <w:spacing w:after="0"/>
            </w:pPr>
            <w:r>
              <w:rPr>
                <w:sz w:val="17"/>
              </w:rPr>
              <w:t>Rattachés à une échéance.</w:t>
            </w:r>
          </w:p>
        </w:tc>
      </w:tr>
      <w:tr>
        <w:tc>
          <w:tcPr>
            <w:tcW w:type="dxa" w:w="2268"/>
            <w:tcMar>
              <w:top w:w="90" w:type="dxa"/>
              <w:start w:w="110" w:type="dxa"/>
              <w:bottom w:w="90" w:type="dxa"/>
              <w:end w:w="110" w:type="dxa"/>
            </w:tcMar>
            <w:vAlign w:val="top"/>
          </w:tcPr>
          <w:p>
            <w:pPr>
              <w:spacing w:after="0"/>
            </w:pPr>
            <w:r>
              <w:rPr>
                <w:sz w:val="17"/>
              </w:rPr>
              <w:t>relances</w:t>
            </w:r>
          </w:p>
        </w:tc>
        <w:tc>
          <w:tcPr>
            <w:tcW w:type="dxa" w:w="3402"/>
            <w:tcMar>
              <w:top w:w="90" w:type="dxa"/>
              <w:start w:w="110" w:type="dxa"/>
              <w:bottom w:w="90" w:type="dxa"/>
              <w:end w:w="110" w:type="dxa"/>
            </w:tcMar>
            <w:vAlign w:val="top"/>
          </w:tcPr>
          <w:p>
            <w:pPr>
              <w:spacing w:after="0"/>
            </w:pPr>
            <w:r>
              <w:rPr>
                <w:sz w:val="17"/>
              </w:rPr>
              <w:t>Actions de suivi</w:t>
            </w:r>
          </w:p>
        </w:tc>
        <w:tc>
          <w:tcPr>
            <w:tcW w:type="dxa" w:w="3685"/>
            <w:tcMar>
              <w:top w:w="90" w:type="dxa"/>
              <w:start w:w="110" w:type="dxa"/>
              <w:bottom w:w="90" w:type="dxa"/>
              <w:end w:w="110" w:type="dxa"/>
            </w:tcMar>
            <w:vAlign w:val="top"/>
          </w:tcPr>
          <w:p>
            <w:pPr>
              <w:spacing w:after="0"/>
            </w:pPr>
            <w:r>
              <w:rPr>
                <w:sz w:val="17"/>
              </w:rPr>
              <w:t>Rattachées à une échéance.</w:t>
            </w:r>
          </w:p>
        </w:tc>
      </w:tr>
      <w:tr>
        <w:tc>
          <w:tcPr>
            <w:tcW w:type="dxa" w:w="2268"/>
            <w:tcMar>
              <w:top w:w="90" w:type="dxa"/>
              <w:start w:w="110" w:type="dxa"/>
              <w:bottom w:w="90" w:type="dxa"/>
              <w:end w:w="110" w:type="dxa"/>
            </w:tcMar>
            <w:vAlign w:val="top"/>
            <w:shd w:fill="F2F5F4"/>
          </w:tcPr>
          <w:p>
            <w:pPr>
              <w:spacing w:after="0"/>
            </w:pPr>
            <w:r>
              <w:rPr>
                <w:sz w:val="17"/>
              </w:rPr>
              <w:t>pieces_jointes_contrats</w:t>
            </w:r>
          </w:p>
        </w:tc>
        <w:tc>
          <w:tcPr>
            <w:tcW w:type="dxa" w:w="3402"/>
            <w:tcMar>
              <w:top w:w="90" w:type="dxa"/>
              <w:start w:w="110" w:type="dxa"/>
              <w:bottom w:w="90" w:type="dxa"/>
              <w:end w:w="110" w:type="dxa"/>
            </w:tcMar>
            <w:vAlign w:val="top"/>
            <w:shd w:fill="F2F5F4"/>
          </w:tcPr>
          <w:p>
            <w:pPr>
              <w:spacing w:after="0"/>
            </w:pPr>
            <w:r>
              <w:rPr>
                <w:sz w:val="17"/>
              </w:rPr>
              <w:t>Métadonnées de fichiers</w:t>
            </w:r>
          </w:p>
        </w:tc>
        <w:tc>
          <w:tcPr>
            <w:tcW w:type="dxa" w:w="3685"/>
            <w:tcMar>
              <w:top w:w="90" w:type="dxa"/>
              <w:start w:w="110" w:type="dxa"/>
              <w:bottom w:w="90" w:type="dxa"/>
              <w:end w:w="110" w:type="dxa"/>
            </w:tcMar>
            <w:vAlign w:val="top"/>
            <w:shd w:fill="F2F5F4"/>
          </w:tcPr>
          <w:p>
            <w:pPr>
              <w:spacing w:after="0"/>
            </w:pPr>
            <w:r>
              <w:rPr>
                <w:sz w:val="17"/>
              </w:rPr>
              <w:t>Pointe vers l’objet Blob/S3 par nom_stockage.</w:t>
            </w:r>
          </w:p>
        </w:tc>
      </w:tr>
      <w:tr>
        <w:tc>
          <w:tcPr>
            <w:tcW w:type="dxa" w:w="2268"/>
            <w:tcMar>
              <w:top w:w="90" w:type="dxa"/>
              <w:start w:w="110" w:type="dxa"/>
              <w:bottom w:w="90" w:type="dxa"/>
              <w:end w:w="110" w:type="dxa"/>
            </w:tcMar>
            <w:vAlign w:val="top"/>
          </w:tcPr>
          <w:p>
            <w:pPr>
              <w:spacing w:after="0"/>
            </w:pPr>
            <w:r>
              <w:rPr>
                <w:sz w:val="17"/>
              </w:rPr>
              <w:t>journal_audit</w:t>
            </w:r>
          </w:p>
        </w:tc>
        <w:tc>
          <w:tcPr>
            <w:tcW w:type="dxa" w:w="3402"/>
            <w:tcMar>
              <w:top w:w="90" w:type="dxa"/>
              <w:start w:w="110" w:type="dxa"/>
              <w:bottom w:w="90" w:type="dxa"/>
              <w:end w:w="110" w:type="dxa"/>
            </w:tcMar>
            <w:vAlign w:val="top"/>
          </w:tcPr>
          <w:p>
            <w:pPr>
              <w:spacing w:after="0"/>
            </w:pPr>
            <w:r>
              <w:rPr>
                <w:sz w:val="17"/>
              </w:rPr>
              <w:t>Avant/après, auteur, action, date</w:t>
            </w:r>
          </w:p>
        </w:tc>
        <w:tc>
          <w:tcPr>
            <w:tcW w:type="dxa" w:w="3685"/>
            <w:tcMar>
              <w:top w:w="90" w:type="dxa"/>
              <w:start w:w="110" w:type="dxa"/>
              <w:bottom w:w="90" w:type="dxa"/>
              <w:end w:w="110" w:type="dxa"/>
            </w:tcMar>
            <w:vAlign w:val="top"/>
          </w:tcPr>
          <w:p>
            <w:pPr>
              <w:spacing w:after="0"/>
            </w:pPr>
            <w:r>
              <w:rPr>
                <w:sz w:val="17"/>
              </w:rPr>
              <w:t>Traçabilité transversale par organisation.</w:t>
            </w:r>
          </w:p>
        </w:tc>
      </w:tr>
    </w:tbl>
    <w:p>
      <w:pPr>
        <w:spacing w:after="0"/>
      </w:pPr>
    </w:p>
    <w:p>
      <w:pPr>
        <w:pStyle w:val="Heading2"/>
        <w:keepNext/>
      </w:pPr>
      <w:r>
        <w:t>5.3 Index et pagination déjà présents</w:t>
      </w:r>
    </w:p>
    <w:p>
      <w:pPr>
        <w:pStyle w:val="ListBullet"/>
      </w:pPr>
      <w:r>
        <w:t>Recherche trigramme sur le nom du client.</w:t>
      </w:r>
    </w:p>
    <w:p>
      <w:pPr>
        <w:pStyle w:val="ListBullet"/>
      </w:pPr>
      <w:r>
        <w:t>Index par organisation et nom de client.</w:t>
      </w:r>
    </w:p>
    <w:p>
      <w:pPr>
        <w:pStyle w:val="ListBullet"/>
      </w:pPr>
      <w:r>
        <w:t>Index contrats par organisation/statut/date d’effet et par numéro de contrat.</w:t>
      </w:r>
    </w:p>
    <w:p>
      <w:pPr>
        <w:pStyle w:val="ListBullet"/>
      </w:pPr>
      <w:r>
        <w:t>Index échéances par organisation/date/statut.</w:t>
      </w:r>
    </w:p>
    <w:p>
      <w:pPr>
        <w:pStyle w:val="ListBullet"/>
      </w:pPr>
      <w:r>
        <w:t>Index paiements par organisation/date et par échéance.</w:t>
      </w:r>
    </w:p>
    <w:p>
      <w:pPr>
        <w:pStyle w:val="ListBullet"/>
      </w:pPr>
      <w:r>
        <w:t>Index pièces jointes par contrat/date d’ajout.</w:t>
      </w:r>
    </w:p>
    <w:p>
      <w:pPr>
        <w:pStyle w:val="ListBullet"/>
      </w:pPr>
      <w:r>
        <w:t>Pagination serveur sur clients, contrats, échéances et journal, limitée à 100 lignes par page.</w:t>
      </w:r>
    </w:p>
    <w:p>
      <w:pPr>
        <w:pStyle w:val="Heading1"/>
        <w:keepNext/>
      </w:pPr>
      <w:r>
        <w:t>6. Installation locale</w:t>
      </w:r>
    </w:p>
    <w:p>
      <w:pPr>
        <w:pStyle w:val="Heading2"/>
        <w:keepNext/>
      </w:pPr>
      <w:r>
        <w:t>6.1 Prérequis</w:t>
      </w:r>
    </w:p>
    <w:p>
      <w:pPr>
        <w:pStyle w:val="ListBullet"/>
      </w:pPr>
      <w:r>
        <w:t>Git.</w:t>
      </w:r>
    </w:p>
    <w:p>
      <w:pPr>
        <w:pStyle w:val="ListBullet"/>
      </w:pPr>
      <w:r>
        <w:t>Node.js 20 ou supérieur et npm.</w:t>
      </w:r>
    </w:p>
    <w:p>
      <w:pPr>
        <w:pStyle w:val="ListBullet"/>
      </w:pPr>
      <w:r>
        <w:t>Docker Desktop pour PostgreSQL local recommandé.</w:t>
      </w:r>
    </w:p>
    <w:p>
      <w:pPr>
        <w:pStyle w:val="ListBullet"/>
      </w:pPr>
      <w:r>
        <w:t>Python et openpyxl uniquement pour régénérer un import Excel.</w:t>
      </w:r>
    </w:p>
    <w:p>
      <w:pPr>
        <w:pStyle w:val="Heading2"/>
        <w:keepNext/>
      </w:pPr>
      <w:r>
        <w:t>6.2 Installation avec Docker</w:t>
      </w:r>
    </w:p>
    <w:tbl>
      <w:tblPr>
        <w:tblW w:type="auto" w:w="0"/>
        <w:tblLook w:firstColumn="1" w:firstRow="1" w:lastColumn="0" w:lastRow="0" w:noHBand="0" w:noVBand="1" w:val="04A0"/>
      </w:tblPr>
      <w:tblGrid>
        <w:gridCol w:w="9972"/>
      </w:tblGrid>
      <w:tr>
        <w:tc>
          <w:tcPr>
            <w:tcW w:type="dxa" w:w="9972"/>
            <w:shd w:fill="17211F"/>
            <w:tcMar>
              <w:top w:w="110" w:type="dxa"/>
              <w:start w:w="140" w:type="dxa"/>
              <w:bottom w:w="110" w:type="dxa"/>
              <w:end w:w="140" w:type="dxa"/>
            </w:tcMar>
          </w:tcPr>
          <w:p>
            <w:pPr>
              <w:spacing w:after="0"/>
            </w:pPr>
            <w:r>
              <w:rPr>
                <w:rFonts w:ascii="Consolas" w:hAnsi="Consolas" w:eastAsia="Consolas"/>
                <w:color w:val="EBF4F1"/>
                <w:sz w:val="16"/>
              </w:rPr>
              <w:t>git clone https://github.com/ferjaouiamine/courtier-portefeuille.git</w:t>
              <w:br/>
              <w:t>cd courtier-portefeuille</w:t>
              <w:br/>
              <w:t>npm ci</w:t>
              <w:br/>
              <w:t>Copy-Item .env.example .env</w:t>
              <w:br/>
              <w:t>docker compose up -d db</w:t>
            </w:r>
          </w:p>
        </w:tc>
      </w:tr>
    </w:tbl>
    <w:p>
      <w:pPr>
        <w:spacing w:after="0"/>
      </w:pPr>
    </w:p>
    <w:p>
      <w:r>
        <w:t>Dans .env, DATABASE_URL doit utiliser le rôle applicatif courtier_app. MIGRATION_DATABASE_URL doit utiliser le propriétaire local PostgreSQL pour appliquer le schéma. Utiliser des mots de passe distincts.</w:t>
      </w:r>
    </w:p>
    <w:tbl>
      <w:tblPr>
        <w:tblW w:type="auto" w:w="0"/>
        <w:tblLook w:firstColumn="1" w:firstRow="1" w:lastColumn="0" w:lastRow="0" w:noHBand="0" w:noVBand="1" w:val="04A0"/>
      </w:tblPr>
      <w:tblGrid>
        <w:gridCol w:w="9972"/>
      </w:tblGrid>
      <w:tr>
        <w:tc>
          <w:tcPr>
            <w:tcW w:type="dxa" w:w="9972"/>
            <w:shd w:fill="17211F"/>
            <w:tcMar>
              <w:top w:w="110" w:type="dxa"/>
              <w:start w:w="140" w:type="dxa"/>
              <w:bottom w:w="110" w:type="dxa"/>
              <w:end w:w="140" w:type="dxa"/>
            </w:tcMar>
          </w:tcPr>
          <w:p>
            <w:pPr>
              <w:spacing w:after="0"/>
            </w:pPr>
            <w:r>
              <w:rPr>
                <w:rFonts w:ascii="Consolas" w:hAnsi="Consolas" w:eastAsia="Consolas"/>
                <w:color w:val="EBF4F1"/>
                <w:sz w:val="16"/>
              </w:rPr>
              <w:t>npm run migrate</w:t>
              <w:br/>
              <w:t>npm run creer-admin -- "Administrateur Local" admin.local@exemple.tn "MOT_DE_PASSE_SOLIDE"</w:t>
              <w:br/>
              <w:t>npm run dev</w:t>
            </w:r>
          </w:p>
        </w:tc>
      </w:tr>
    </w:tbl>
    <w:p>
      <w:pPr>
        <w:spacing w:after="0"/>
      </w:pPr>
    </w:p>
    <w:p>
      <w:r>
        <w:t>Ouvrir http://localhost:3000 puis vérifier http://localhost:3000/api/sante.</w:t>
      </w:r>
    </w:p>
    <w:p>
      <w:pPr>
        <w:pStyle w:val="Heading2"/>
        <w:keepNext/>
      </w:pPr>
      <w:r>
        <w:t>6.3 Commandes utiles Windows</w:t>
      </w:r>
    </w:p>
    <w:tbl>
      <w:tblPr>
        <w:tblW w:type="auto" w:w="0"/>
        <w:tblLook w:firstColumn="1" w:firstRow="1" w:lastColumn="0" w:lastRow="0" w:noHBand="0" w:noVBand="1" w:val="04A0"/>
      </w:tblPr>
      <w:tblGrid>
        <w:gridCol w:w="9972"/>
      </w:tblGrid>
      <w:tr>
        <w:tc>
          <w:tcPr>
            <w:tcW w:type="dxa" w:w="9972"/>
            <w:shd w:fill="17211F"/>
            <w:tcMar>
              <w:top w:w="110" w:type="dxa"/>
              <w:start w:w="140" w:type="dxa"/>
              <w:bottom w:w="110" w:type="dxa"/>
              <w:end w:w="140" w:type="dxa"/>
            </w:tcMar>
          </w:tcPr>
          <w:p>
            <w:pPr>
              <w:spacing w:after="0"/>
            </w:pPr>
            <w:r>
              <w:rPr>
                <w:rFonts w:ascii="Consolas" w:hAnsi="Consolas" w:eastAsia="Consolas"/>
                <w:color w:val="EBF4F1"/>
                <w:sz w:val="16"/>
              </w:rPr>
              <w:t># Trouver le PID qui écoute sur le port 3000</w:t>
              <w:br/>
              <w:t>netstat -ano | findstr LISTENING | findstr :3000</w:t>
              <w:br/>
              <w:br/>
              <w:t># Arrêter le processus identifié</w:t>
              <w:br/>
              <w:t>taskkill /PID NUMERO_PID /F</w:t>
              <w:br/>
              <w:br/>
              <w:t># Relancer l'application</w:t>
              <w:br/>
              <w:t>npm run dev</w:t>
            </w:r>
          </w:p>
        </w:tc>
      </w:tr>
    </w:tbl>
    <w:p>
      <w:pPr>
        <w:spacing w:after="0"/>
      </w:pPr>
    </w:p>
    <w:p>
      <w:r>
        <w:t>Une ligne TIME_WAIT avec PID 0 n’est pas un serveur à arrêter. Il faut chercher une ligne LISTENING.</w:t>
      </w:r>
    </w:p>
    <w:p>
      <w:pPr>
        <w:pStyle w:val="Heading1"/>
        <w:keepNext/>
      </w:pPr>
      <w:r>
        <w:t>7. Configuration des environnements</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2494"/>
            <w:shd w:fill="073B34"/>
            <w:tcMar>
              <w:top w:w="90" w:type="dxa"/>
              <w:start w:w="110" w:type="dxa"/>
              <w:bottom w:w="90" w:type="dxa"/>
              <w:end w:w="110" w:type="dxa"/>
            </w:tcMar>
            <w:vAlign w:val="center"/>
          </w:tcPr>
          <w:p>
            <w:r>
              <w:rPr>
                <w:b/>
                <w:color w:val="FFFFFF"/>
                <w:sz w:val="18"/>
              </w:rPr>
              <w:t>Variable</w:t>
            </w:r>
          </w:p>
        </w:tc>
        <w:tc>
          <w:tcPr>
            <w:tcW w:type="dxa" w:w="1474"/>
            <w:shd w:fill="073B34"/>
            <w:tcMar>
              <w:top w:w="90" w:type="dxa"/>
              <w:start w:w="110" w:type="dxa"/>
              <w:bottom w:w="90" w:type="dxa"/>
              <w:end w:w="110" w:type="dxa"/>
            </w:tcMar>
            <w:vAlign w:val="center"/>
          </w:tcPr>
          <w:p>
            <w:r>
              <w:rPr>
                <w:b/>
                <w:color w:val="FFFFFF"/>
                <w:sz w:val="18"/>
              </w:rPr>
              <w:t>Obligatoire</w:t>
            </w:r>
          </w:p>
        </w:tc>
        <w:tc>
          <w:tcPr>
            <w:tcW w:type="dxa" w:w="5386"/>
            <w:shd w:fill="073B34"/>
            <w:tcMar>
              <w:top w:w="90" w:type="dxa"/>
              <w:start w:w="110" w:type="dxa"/>
              <w:bottom w:w="90" w:type="dxa"/>
              <w:end w:w="110" w:type="dxa"/>
            </w:tcMar>
            <w:vAlign w:val="center"/>
          </w:tcPr>
          <w:p>
            <w:r>
              <w:rPr>
                <w:b/>
                <w:color w:val="FFFFFF"/>
                <w:sz w:val="18"/>
              </w:rPr>
              <w:t>Usage et règle</w:t>
            </w:r>
          </w:p>
        </w:tc>
      </w:tr>
      <w:tr>
        <w:tc>
          <w:tcPr>
            <w:tcW w:type="dxa" w:w="2494"/>
            <w:tcMar>
              <w:top w:w="90" w:type="dxa"/>
              <w:start w:w="110" w:type="dxa"/>
              <w:bottom w:w="90" w:type="dxa"/>
              <w:end w:w="110" w:type="dxa"/>
            </w:tcMar>
            <w:vAlign w:val="top"/>
          </w:tcPr>
          <w:p>
            <w:pPr>
              <w:spacing w:after="0"/>
            </w:pPr>
            <w:r>
              <w:rPr>
                <w:sz w:val="17"/>
              </w:rPr>
              <w:t>DATABASE_URL</w:t>
            </w:r>
          </w:p>
        </w:tc>
        <w:tc>
          <w:tcPr>
            <w:tcW w:type="dxa" w:w="1474"/>
            <w:tcMar>
              <w:top w:w="90" w:type="dxa"/>
              <w:start w:w="110" w:type="dxa"/>
              <w:bottom w:w="90" w:type="dxa"/>
              <w:end w:w="110" w:type="dxa"/>
            </w:tcMar>
            <w:vAlign w:val="top"/>
          </w:tcPr>
          <w:p>
            <w:pPr>
              <w:spacing w:after="0"/>
            </w:pPr>
            <w:r>
              <w:rPr>
                <w:sz w:val="17"/>
              </w:rPr>
              <w:t>Oui</w:t>
            </w:r>
          </w:p>
        </w:tc>
        <w:tc>
          <w:tcPr>
            <w:tcW w:type="dxa" w:w="5386"/>
            <w:tcMar>
              <w:top w:w="90" w:type="dxa"/>
              <w:start w:w="110" w:type="dxa"/>
              <w:bottom w:w="90" w:type="dxa"/>
              <w:end w:w="110" w:type="dxa"/>
            </w:tcMar>
            <w:vAlign w:val="top"/>
          </w:tcPr>
          <w:p>
            <w:pPr>
              <w:spacing w:after="0"/>
            </w:pPr>
            <w:r>
              <w:rPr>
                <w:sz w:val="17"/>
              </w:rPr>
              <w:t>URL PostgreSQL du rôle applicatif, sans SUPERUSER ni BYPASSRLS ; utiliser le pooler Neon en production.</w:t>
            </w:r>
          </w:p>
        </w:tc>
      </w:tr>
      <w:tr>
        <w:tc>
          <w:tcPr>
            <w:tcW w:type="dxa" w:w="2494"/>
            <w:tcMar>
              <w:top w:w="90" w:type="dxa"/>
              <w:start w:w="110" w:type="dxa"/>
              <w:bottom w:w="90" w:type="dxa"/>
              <w:end w:w="110" w:type="dxa"/>
            </w:tcMar>
            <w:vAlign w:val="top"/>
            <w:shd w:fill="F2F5F4"/>
          </w:tcPr>
          <w:p>
            <w:pPr>
              <w:spacing w:after="0"/>
            </w:pPr>
            <w:r>
              <w:rPr>
                <w:sz w:val="17"/>
              </w:rPr>
              <w:t>MIGRATION_DATABASE_URL</w:t>
            </w:r>
          </w:p>
        </w:tc>
        <w:tc>
          <w:tcPr>
            <w:tcW w:type="dxa" w:w="1474"/>
            <w:tcMar>
              <w:top w:w="90" w:type="dxa"/>
              <w:start w:w="110" w:type="dxa"/>
              <w:bottom w:w="90" w:type="dxa"/>
              <w:end w:w="110" w:type="dxa"/>
            </w:tcMar>
            <w:vAlign w:val="top"/>
            <w:shd w:fill="F2F5F4"/>
          </w:tcPr>
          <w:p>
            <w:pPr>
              <w:spacing w:after="0"/>
            </w:pPr>
            <w:r>
              <w:rPr>
                <w:sz w:val="17"/>
              </w:rPr>
              <w:t>Migration seulement</w:t>
            </w:r>
          </w:p>
        </w:tc>
        <w:tc>
          <w:tcPr>
            <w:tcW w:type="dxa" w:w="5386"/>
            <w:tcMar>
              <w:top w:w="90" w:type="dxa"/>
              <w:start w:w="110" w:type="dxa"/>
              <w:bottom w:w="90" w:type="dxa"/>
              <w:end w:w="110" w:type="dxa"/>
            </w:tcMar>
            <w:vAlign w:val="top"/>
            <w:shd w:fill="F2F5F4"/>
          </w:tcPr>
          <w:p>
            <w:pPr>
              <w:spacing w:after="0"/>
            </w:pPr>
            <w:r>
              <w:rPr>
                <w:sz w:val="17"/>
              </w:rPr>
              <w:t>Compte propriétaire du schéma ; ne pas l’exposer au serveur web si possible.</w:t>
            </w:r>
          </w:p>
        </w:tc>
      </w:tr>
      <w:tr>
        <w:tc>
          <w:tcPr>
            <w:tcW w:type="dxa" w:w="2494"/>
            <w:tcMar>
              <w:top w:w="90" w:type="dxa"/>
              <w:start w:w="110" w:type="dxa"/>
              <w:bottom w:w="90" w:type="dxa"/>
              <w:end w:w="110" w:type="dxa"/>
            </w:tcMar>
            <w:vAlign w:val="top"/>
          </w:tcPr>
          <w:p>
            <w:pPr>
              <w:spacing w:after="0"/>
            </w:pPr>
            <w:r>
              <w:rPr>
                <w:sz w:val="17"/>
              </w:rPr>
              <w:t>JWT_SECRET</w:t>
            </w:r>
          </w:p>
        </w:tc>
        <w:tc>
          <w:tcPr>
            <w:tcW w:type="dxa" w:w="1474"/>
            <w:tcMar>
              <w:top w:w="90" w:type="dxa"/>
              <w:start w:w="110" w:type="dxa"/>
              <w:bottom w:w="90" w:type="dxa"/>
              <w:end w:w="110" w:type="dxa"/>
            </w:tcMar>
            <w:vAlign w:val="top"/>
          </w:tcPr>
          <w:p>
            <w:pPr>
              <w:spacing w:after="0"/>
            </w:pPr>
            <w:r>
              <w:rPr>
                <w:sz w:val="17"/>
              </w:rPr>
              <w:t>Oui</w:t>
            </w:r>
          </w:p>
        </w:tc>
        <w:tc>
          <w:tcPr>
            <w:tcW w:type="dxa" w:w="5386"/>
            <w:tcMar>
              <w:top w:w="90" w:type="dxa"/>
              <w:start w:w="110" w:type="dxa"/>
              <w:bottom w:w="90" w:type="dxa"/>
              <w:end w:w="110" w:type="dxa"/>
            </w:tcMar>
            <w:vAlign w:val="top"/>
          </w:tcPr>
          <w:p>
            <w:pPr>
              <w:spacing w:after="0"/>
            </w:pPr>
            <w:r>
              <w:rPr>
                <w:sz w:val="17"/>
              </w:rPr>
              <w:t>Secret aléatoire long, différent par environnement ; jamais égal au mot de passe PostgreSQL.</w:t>
            </w:r>
          </w:p>
        </w:tc>
      </w:tr>
      <w:tr>
        <w:tc>
          <w:tcPr>
            <w:tcW w:type="dxa" w:w="2494"/>
            <w:tcMar>
              <w:top w:w="90" w:type="dxa"/>
              <w:start w:w="110" w:type="dxa"/>
              <w:bottom w:w="90" w:type="dxa"/>
              <w:end w:w="110" w:type="dxa"/>
            </w:tcMar>
            <w:vAlign w:val="top"/>
            <w:shd w:fill="F2F5F4"/>
          </w:tcPr>
          <w:p>
            <w:pPr>
              <w:spacing w:after="0"/>
            </w:pPr>
            <w:r>
              <w:rPr>
                <w:sz w:val="17"/>
              </w:rPr>
              <w:t>JWT_DUREE</w:t>
            </w:r>
          </w:p>
        </w:tc>
        <w:tc>
          <w:tcPr>
            <w:tcW w:type="dxa" w:w="1474"/>
            <w:tcMar>
              <w:top w:w="90" w:type="dxa"/>
              <w:start w:w="110" w:type="dxa"/>
              <w:bottom w:w="90" w:type="dxa"/>
              <w:end w:w="110" w:type="dxa"/>
            </w:tcMar>
            <w:vAlign w:val="top"/>
            <w:shd w:fill="F2F5F4"/>
          </w:tcPr>
          <w:p>
            <w:pPr>
              <w:spacing w:after="0"/>
            </w:pPr>
            <w:r>
              <w:rPr>
                <w:sz w:val="17"/>
              </w:rPr>
              <w:t>Non</w:t>
            </w:r>
          </w:p>
        </w:tc>
        <w:tc>
          <w:tcPr>
            <w:tcW w:type="dxa" w:w="5386"/>
            <w:tcMar>
              <w:top w:w="90" w:type="dxa"/>
              <w:start w:w="110" w:type="dxa"/>
              <w:bottom w:w="90" w:type="dxa"/>
              <w:end w:w="110" w:type="dxa"/>
            </w:tcMar>
            <w:vAlign w:val="top"/>
            <w:shd w:fill="F2F5F4"/>
          </w:tcPr>
          <w:p>
            <w:pPr>
              <w:spacing w:after="0"/>
            </w:pPr>
            <w:r>
              <w:rPr>
                <w:sz w:val="17"/>
              </w:rPr>
              <w:t>Durée des sessions, 12h par défaut.</w:t>
            </w:r>
          </w:p>
        </w:tc>
      </w:tr>
      <w:tr>
        <w:tc>
          <w:tcPr>
            <w:tcW w:type="dxa" w:w="2494"/>
            <w:tcMar>
              <w:top w:w="90" w:type="dxa"/>
              <w:start w:w="110" w:type="dxa"/>
              <w:bottom w:w="90" w:type="dxa"/>
              <w:end w:w="110" w:type="dxa"/>
            </w:tcMar>
            <w:vAlign w:val="top"/>
          </w:tcPr>
          <w:p>
            <w:pPr>
              <w:spacing w:after="0"/>
            </w:pPr>
            <w:r>
              <w:rPr>
                <w:sz w:val="17"/>
              </w:rPr>
              <w:t>NODE_ENV</w:t>
            </w:r>
          </w:p>
        </w:tc>
        <w:tc>
          <w:tcPr>
            <w:tcW w:type="dxa" w:w="1474"/>
            <w:tcMar>
              <w:top w:w="90" w:type="dxa"/>
              <w:start w:w="110" w:type="dxa"/>
              <w:bottom w:w="90" w:type="dxa"/>
              <w:end w:w="110" w:type="dxa"/>
            </w:tcMar>
            <w:vAlign w:val="top"/>
          </w:tcPr>
          <w:p>
            <w:pPr>
              <w:spacing w:after="0"/>
            </w:pPr>
            <w:r>
              <w:rPr>
                <w:sz w:val="17"/>
              </w:rPr>
              <w:t>Oui en prod</w:t>
            </w:r>
          </w:p>
        </w:tc>
        <w:tc>
          <w:tcPr>
            <w:tcW w:type="dxa" w:w="5386"/>
            <w:tcMar>
              <w:top w:w="90" w:type="dxa"/>
              <w:start w:w="110" w:type="dxa"/>
              <w:bottom w:w="90" w:type="dxa"/>
              <w:end w:w="110" w:type="dxa"/>
            </w:tcMar>
            <w:vAlign w:val="top"/>
          </w:tcPr>
          <w:p>
            <w:pPr>
              <w:spacing w:after="0"/>
            </w:pPr>
            <w:r>
              <w:rPr>
                <w:sz w:val="17"/>
              </w:rPr>
              <w:t>Valeur production pour activer les cookies Secure.</w:t>
            </w:r>
          </w:p>
        </w:tc>
      </w:tr>
      <w:tr>
        <w:tc>
          <w:tcPr>
            <w:tcW w:type="dxa" w:w="2494"/>
            <w:tcMar>
              <w:top w:w="90" w:type="dxa"/>
              <w:start w:w="110" w:type="dxa"/>
              <w:bottom w:w="90" w:type="dxa"/>
              <w:end w:w="110" w:type="dxa"/>
            </w:tcMar>
            <w:vAlign w:val="top"/>
            <w:shd w:fill="F2F5F4"/>
          </w:tcPr>
          <w:p>
            <w:pPr>
              <w:spacing w:after="0"/>
            </w:pPr>
            <w:r>
              <w:rPr>
                <w:sz w:val="17"/>
              </w:rPr>
              <w:t>PORT</w:t>
            </w:r>
          </w:p>
        </w:tc>
        <w:tc>
          <w:tcPr>
            <w:tcW w:type="dxa" w:w="1474"/>
            <w:tcMar>
              <w:top w:w="90" w:type="dxa"/>
              <w:start w:w="110" w:type="dxa"/>
              <w:bottom w:w="90" w:type="dxa"/>
              <w:end w:w="110" w:type="dxa"/>
            </w:tcMar>
            <w:vAlign w:val="top"/>
            <w:shd w:fill="F2F5F4"/>
          </w:tcPr>
          <w:p>
            <w:pPr>
              <w:spacing w:after="0"/>
            </w:pPr>
            <w:r>
              <w:rPr>
                <w:sz w:val="17"/>
              </w:rPr>
              <w:t>Local</w:t>
            </w:r>
          </w:p>
        </w:tc>
        <w:tc>
          <w:tcPr>
            <w:tcW w:type="dxa" w:w="5386"/>
            <w:tcMar>
              <w:top w:w="90" w:type="dxa"/>
              <w:start w:w="110" w:type="dxa"/>
              <w:bottom w:w="90" w:type="dxa"/>
              <w:end w:w="110" w:type="dxa"/>
            </w:tcMar>
            <w:vAlign w:val="top"/>
            <w:shd w:fill="F2F5F4"/>
          </w:tcPr>
          <w:p>
            <w:pPr>
              <w:spacing w:after="0"/>
            </w:pPr>
            <w:r>
              <w:rPr>
                <w:sz w:val="17"/>
              </w:rPr>
              <w:t>Port local ; Vercel le gère automatiquement.</w:t>
            </w:r>
          </w:p>
        </w:tc>
      </w:tr>
      <w:tr>
        <w:tc>
          <w:tcPr>
            <w:tcW w:type="dxa" w:w="2494"/>
            <w:tcMar>
              <w:top w:w="90" w:type="dxa"/>
              <w:start w:w="110" w:type="dxa"/>
              <w:bottom w:w="90" w:type="dxa"/>
              <w:end w:w="110" w:type="dxa"/>
            </w:tcMar>
            <w:vAlign w:val="top"/>
          </w:tcPr>
          <w:p>
            <w:pPr>
              <w:spacing w:after="0"/>
            </w:pPr>
            <w:r>
              <w:rPr>
                <w:sz w:val="17"/>
              </w:rPr>
              <w:t>STOCKAGE_DRIVER</w:t>
            </w:r>
          </w:p>
        </w:tc>
        <w:tc>
          <w:tcPr>
            <w:tcW w:type="dxa" w:w="1474"/>
            <w:tcMar>
              <w:top w:w="90" w:type="dxa"/>
              <w:start w:w="110" w:type="dxa"/>
              <w:bottom w:w="90" w:type="dxa"/>
              <w:end w:w="110" w:type="dxa"/>
            </w:tcMar>
            <w:vAlign w:val="top"/>
          </w:tcPr>
          <w:p>
            <w:pPr>
              <w:spacing w:after="0"/>
            </w:pPr>
            <w:r>
              <w:rPr>
                <w:sz w:val="17"/>
              </w:rPr>
              <w:t>Oui en prod</w:t>
            </w:r>
          </w:p>
        </w:tc>
        <w:tc>
          <w:tcPr>
            <w:tcW w:type="dxa" w:w="5386"/>
            <w:tcMar>
              <w:top w:w="90" w:type="dxa"/>
              <w:start w:w="110" w:type="dxa"/>
              <w:bottom w:w="90" w:type="dxa"/>
              <w:end w:w="110" w:type="dxa"/>
            </w:tcMar>
            <w:vAlign w:val="top"/>
          </w:tcPr>
          <w:p>
            <w:pPr>
              <w:spacing w:after="0"/>
            </w:pPr>
            <w:r>
              <w:rPr>
                <w:sz w:val="17"/>
              </w:rPr>
              <w:t>local, vercel-blob ou s3.</w:t>
            </w:r>
          </w:p>
        </w:tc>
      </w:tr>
      <w:tr>
        <w:tc>
          <w:tcPr>
            <w:tcW w:type="dxa" w:w="2494"/>
            <w:tcMar>
              <w:top w:w="90" w:type="dxa"/>
              <w:start w:w="110" w:type="dxa"/>
              <w:bottom w:w="90" w:type="dxa"/>
              <w:end w:w="110" w:type="dxa"/>
            </w:tcMar>
            <w:vAlign w:val="top"/>
            <w:shd w:fill="F2F5F4"/>
          </w:tcPr>
          <w:p>
            <w:pPr>
              <w:spacing w:after="0"/>
            </w:pPr>
            <w:r>
              <w:rPr>
                <w:sz w:val="17"/>
              </w:rPr>
              <w:t>BLOB_READ_WRITE_TOKEN</w:t>
            </w:r>
          </w:p>
        </w:tc>
        <w:tc>
          <w:tcPr>
            <w:tcW w:type="dxa" w:w="1474"/>
            <w:tcMar>
              <w:top w:w="90" w:type="dxa"/>
              <w:start w:w="110" w:type="dxa"/>
              <w:bottom w:w="90" w:type="dxa"/>
              <w:end w:w="110" w:type="dxa"/>
            </w:tcMar>
            <w:vAlign w:val="top"/>
            <w:shd w:fill="F2F5F4"/>
          </w:tcPr>
          <w:p>
            <w:pPr>
              <w:spacing w:after="0"/>
            </w:pPr>
            <w:r>
              <w:rPr>
                <w:sz w:val="17"/>
              </w:rPr>
              <w:t>Blob classique</w:t>
            </w:r>
          </w:p>
        </w:tc>
        <w:tc>
          <w:tcPr>
            <w:tcW w:type="dxa" w:w="5386"/>
            <w:tcMar>
              <w:top w:w="90" w:type="dxa"/>
              <w:start w:w="110" w:type="dxa"/>
              <w:bottom w:w="90" w:type="dxa"/>
              <w:end w:w="110" w:type="dxa"/>
            </w:tcMar>
            <w:vAlign w:val="top"/>
            <w:shd w:fill="F2F5F4"/>
          </w:tcPr>
          <w:p>
            <w:pPr>
              <w:spacing w:after="0"/>
            </w:pPr>
            <w:r>
              <w:rPr>
                <w:sz w:val="17"/>
              </w:rPr>
              <w:t>Jeton créé par la connexion Vercel Blob ; secret absolu.</w:t>
            </w:r>
          </w:p>
        </w:tc>
      </w:tr>
      <w:tr>
        <w:tc>
          <w:tcPr>
            <w:tcW w:type="dxa" w:w="2494"/>
            <w:tcMar>
              <w:top w:w="90" w:type="dxa"/>
              <w:start w:w="110" w:type="dxa"/>
              <w:bottom w:w="90" w:type="dxa"/>
              <w:end w:w="110" w:type="dxa"/>
            </w:tcMar>
            <w:vAlign w:val="top"/>
          </w:tcPr>
          <w:p>
            <w:pPr>
              <w:spacing w:after="0"/>
            </w:pPr>
            <w:r>
              <w:rPr>
                <w:sz w:val="17"/>
              </w:rPr>
              <w:t>S3_* / AWS_*</w:t>
            </w:r>
          </w:p>
        </w:tc>
        <w:tc>
          <w:tcPr>
            <w:tcW w:type="dxa" w:w="1474"/>
            <w:tcMar>
              <w:top w:w="90" w:type="dxa"/>
              <w:start w:w="110" w:type="dxa"/>
              <w:bottom w:w="90" w:type="dxa"/>
              <w:end w:w="110" w:type="dxa"/>
            </w:tcMar>
            <w:vAlign w:val="top"/>
          </w:tcPr>
          <w:p>
            <w:pPr>
              <w:spacing w:after="0"/>
            </w:pPr>
            <w:r>
              <w:rPr>
                <w:sz w:val="17"/>
              </w:rPr>
              <w:t>Si S3</w:t>
            </w:r>
          </w:p>
        </w:tc>
        <w:tc>
          <w:tcPr>
            <w:tcW w:type="dxa" w:w="5386"/>
            <w:tcMar>
              <w:top w:w="90" w:type="dxa"/>
              <w:start w:w="110" w:type="dxa"/>
              <w:bottom w:w="90" w:type="dxa"/>
              <w:end w:w="110" w:type="dxa"/>
            </w:tcMar>
            <w:vAlign w:val="top"/>
          </w:tcPr>
          <w:p>
            <w:pPr>
              <w:spacing w:after="0"/>
            </w:pPr>
            <w:r>
              <w:rPr>
                <w:sz w:val="17"/>
              </w:rPr>
              <w:t>Bucket, région, endpoint éventuel et identifiants à privilèges minimaux.</w:t>
            </w:r>
          </w:p>
        </w:tc>
      </w:tr>
      <w:tr>
        <w:tc>
          <w:tcPr>
            <w:tcW w:type="dxa" w:w="2494"/>
            <w:tcMar>
              <w:top w:w="90" w:type="dxa"/>
              <w:start w:w="110" w:type="dxa"/>
              <w:bottom w:w="90" w:type="dxa"/>
              <w:end w:w="110" w:type="dxa"/>
            </w:tcMar>
            <w:vAlign w:val="top"/>
            <w:shd w:fill="F2F5F4"/>
          </w:tcPr>
          <w:p>
            <w:pPr>
              <w:spacing w:after="0"/>
            </w:pPr>
            <w:r>
              <w:rPr>
                <w:sz w:val="17"/>
              </w:rPr>
              <w:t>CONNEXION_*</w:t>
            </w:r>
          </w:p>
        </w:tc>
        <w:tc>
          <w:tcPr>
            <w:tcW w:type="dxa" w:w="1474"/>
            <w:tcMar>
              <w:top w:w="90" w:type="dxa"/>
              <w:start w:w="110" w:type="dxa"/>
              <w:bottom w:w="90" w:type="dxa"/>
              <w:end w:w="110" w:type="dxa"/>
            </w:tcMar>
            <w:vAlign w:val="top"/>
            <w:shd w:fill="F2F5F4"/>
          </w:tcPr>
          <w:p>
            <w:pPr>
              <w:spacing w:after="0"/>
            </w:pPr>
            <w:r>
              <w:rPr>
                <w:sz w:val="17"/>
              </w:rPr>
              <w:t>Non</w:t>
            </w:r>
          </w:p>
        </w:tc>
        <w:tc>
          <w:tcPr>
            <w:tcW w:type="dxa" w:w="5386"/>
            <w:tcMar>
              <w:top w:w="90" w:type="dxa"/>
              <w:start w:w="110" w:type="dxa"/>
              <w:bottom w:w="90" w:type="dxa"/>
              <w:end w:w="110" w:type="dxa"/>
            </w:tcMar>
            <w:vAlign w:val="top"/>
            <w:shd w:fill="F2F5F4"/>
          </w:tcPr>
          <w:p>
            <w:pPr>
              <w:spacing w:after="0"/>
            </w:pPr>
            <w:r>
              <w:rPr>
                <w:sz w:val="17"/>
              </w:rPr>
              <w:t>Seuil et durée du blocage temporaire de connexion.</w:t>
            </w:r>
          </w:p>
        </w:tc>
      </w:tr>
      <w:tr>
        <w:tc>
          <w:tcPr>
            <w:tcW w:type="dxa" w:w="2494"/>
            <w:tcMar>
              <w:top w:w="90" w:type="dxa"/>
              <w:start w:w="110" w:type="dxa"/>
              <w:bottom w:w="90" w:type="dxa"/>
              <w:end w:w="110" w:type="dxa"/>
            </w:tcMar>
            <w:vAlign w:val="top"/>
          </w:tcPr>
          <w:p>
            <w:pPr>
              <w:spacing w:after="0"/>
            </w:pPr>
            <w:r>
              <w:rPr>
                <w:sz w:val="17"/>
              </w:rPr>
              <w:t>SMS_*</w:t>
            </w:r>
          </w:p>
        </w:tc>
        <w:tc>
          <w:tcPr>
            <w:tcW w:type="dxa" w:w="1474"/>
            <w:tcMar>
              <w:top w:w="90" w:type="dxa"/>
              <w:start w:w="110" w:type="dxa"/>
              <w:bottom w:w="90" w:type="dxa"/>
              <w:end w:w="110" w:type="dxa"/>
            </w:tcMar>
            <w:vAlign w:val="top"/>
          </w:tcPr>
          <w:p>
            <w:pPr>
              <w:spacing w:after="0"/>
            </w:pPr>
            <w:r>
              <w:rPr>
                <w:sz w:val="17"/>
              </w:rPr>
              <w:t>Si SMS</w:t>
            </w:r>
          </w:p>
        </w:tc>
        <w:tc>
          <w:tcPr>
            <w:tcW w:type="dxa" w:w="5386"/>
            <w:tcMar>
              <w:top w:w="90" w:type="dxa"/>
              <w:start w:w="110" w:type="dxa"/>
              <w:bottom w:w="90" w:type="dxa"/>
              <w:end w:w="110" w:type="dxa"/>
            </w:tcMar>
            <w:vAlign w:val="top"/>
          </w:tcPr>
          <w:p>
            <w:pPr>
              <w:spacing w:after="0"/>
            </w:pPr>
            <w:r>
              <w:rPr>
                <w:sz w:val="17"/>
              </w:rPr>
              <w:t>Configuration du fournisseur ; automatisation à finaliser.</w:t>
            </w:r>
          </w:p>
        </w:tc>
      </w:tr>
    </w:tbl>
    <w:p>
      <w:pPr>
        <w:spacing w:after="0"/>
      </w:pPr>
    </w:p>
    <w:tbl>
      <w:tblPr>
        <w:tblW w:type="auto" w:w="0"/>
        <w:jc w:val="center"/>
        <w:tblLook w:firstColumn="1" w:firstRow="1" w:lastColumn="0" w:lastRow="0" w:noHBand="0" w:noVBand="1" w:val="04A0"/>
        <w:tblBorders>
          <w:top w:val="single" w:sz="8" w:color="A61B29"/>
          <w:left w:val="single" w:sz="8" w:color="A61B29"/>
          <w:bottom w:val="single" w:sz="8" w:color="A61B29"/>
          <w:right w:val="single" w:sz="8" w:color="A61B29"/>
          <w:insideH w:val="single" w:sz="8" w:color="A61B29"/>
          <w:insideV w:val="single" w:sz="8" w:color="A61B29"/>
        </w:tblBorders>
      </w:tblPr>
      <w:tblGrid>
        <w:gridCol w:w="9972"/>
      </w:tblGrid>
      <w:tr>
        <w:tc>
          <w:tcPr>
            <w:tcW w:type="dxa" w:w="9972"/>
            <w:shd w:fill="F7E9E9"/>
            <w:tcMar>
              <w:top w:w="140" w:type="dxa"/>
              <w:start w:w="160" w:type="dxa"/>
              <w:bottom w:w="140" w:type="dxa"/>
              <w:end w:w="160" w:type="dxa"/>
            </w:tcMar>
          </w:tcPr>
          <w:p>
            <w:r>
              <w:rPr>
                <w:b/>
                <w:color w:val="A61B29"/>
              </w:rPr>
              <w:t>GESTION DES SECRETS</w:t>
            </w:r>
            <w:r>
              <w:br/>
              <w:t>Ne jamais mettre .env dans Git, Word, e-mail ou messagerie. Tout secret visible dans une capture ou une conversation doit être révoqué et remplacé. Générer un JWT_SECRET avec : node -e "console.log(require('crypto').randomBytes(48).toString('base64url'))".</w:t>
            </w:r>
          </w:p>
        </w:tc>
      </w:tr>
    </w:tbl>
    <w:p>
      <w:pPr>
        <w:spacing w:after="0"/>
      </w:pPr>
    </w:p>
    <w:p>
      <w:pPr>
        <w:pStyle w:val="Heading1"/>
        <w:keepNext/>
      </w:pPr>
      <w:r>
        <w:t>8. Déploiement Vercel, Neon et Blob</w:t>
      </w:r>
    </w:p>
    <w:p>
      <w:pPr>
        <w:pStyle w:val="Heading2"/>
        <w:keepNext/>
      </w:pPr>
      <w:r>
        <w:t>8.1 Préparer Neon</w:t>
      </w:r>
    </w:p>
    <w:p>
      <w:pPr>
        <w:pStyle w:val="ListNumber"/>
      </w:pPr>
      <w:r>
        <w:t>Créer ou sélectionner le projet PostgreSQL dans une région européenne proche des utilisateurs et de Vercel.</w:t>
      </w:r>
    </w:p>
    <w:p>
      <w:pPr>
        <w:pStyle w:val="ListNumber"/>
      </w:pPr>
      <w:r>
        <w:t>Conserver un rôle propriétaire réservé aux migrations.</w:t>
      </w:r>
    </w:p>
    <w:p>
      <w:pPr>
        <w:pStyle w:val="ListNumber"/>
      </w:pPr>
      <w:r>
        <w:t>Créer un rôle courtier_app dédié à l’API, sans privilège BYPASSRLS.</w:t>
      </w:r>
    </w:p>
    <w:p>
      <w:pPr>
        <w:pStyle w:val="ListNumber"/>
      </w:pPr>
      <w:r>
        <w:t>Appliquer le schéma avec MIGRATION_DATABASE_URL depuis une machine d’administration contrôlée.</w:t>
      </w:r>
    </w:p>
    <w:p>
      <w:pPr>
        <w:pStyle w:val="ListNumber"/>
      </w:pPr>
      <w:r>
        <w:t>Tester la connexion applicative et vérifier /api/sante.</w:t>
      </w:r>
    </w:p>
    <w:tbl>
      <w:tblPr>
        <w:tblW w:type="auto" w:w="0"/>
        <w:tblLook w:firstColumn="1" w:firstRow="1" w:lastColumn="0" w:lastRow="0" w:noHBand="0" w:noVBand="1" w:val="04A0"/>
      </w:tblPr>
      <w:tblGrid>
        <w:gridCol w:w="9972"/>
      </w:tblGrid>
      <w:tr>
        <w:tc>
          <w:tcPr>
            <w:tcW w:type="dxa" w:w="9972"/>
            <w:shd w:fill="17211F"/>
            <w:tcMar>
              <w:top w:w="110" w:type="dxa"/>
              <w:start w:w="140" w:type="dxa"/>
              <w:bottom w:w="110" w:type="dxa"/>
              <w:end w:w="140" w:type="dxa"/>
            </w:tcMar>
          </w:tcPr>
          <w:p>
            <w:pPr>
              <w:spacing w:after="0"/>
            </w:pPr>
            <w:r>
              <w:rPr>
                <w:rFonts w:ascii="Consolas" w:hAnsi="Consolas" w:eastAsia="Consolas"/>
                <w:color w:val="EBF4F1"/>
                <w:sz w:val="16"/>
              </w:rPr>
              <w:t>$env:MIGRATION_DATABASE_URL="postgresql://ROLE_MIGRATION:SECRET@HOTE/neondb?sslmode=require"</w:t>
              <w:br/>
              <w:t>$env:DATABASE_URL="postgresql://courtier_app:SECRET@HOTE-POOLER/neondb?sslmode=require"</w:t>
              <w:br/>
              <w:t>npm run migrate</w:t>
            </w:r>
          </w:p>
        </w:tc>
      </w:tr>
    </w:tbl>
    <w:p>
      <w:pPr>
        <w:spacing w:after="0"/>
      </w:pPr>
    </w:p>
    <w:p>
      <w:r>
        <w:t>Ces commandes se lancent dans PowerShell, jamais dans l’éditeur SQL Neon. Dans l’éditeur SQL, écrire uniquement du SQL.</w:t>
      </w:r>
    </w:p>
    <w:p>
      <w:pPr>
        <w:pStyle w:val="Heading2"/>
        <w:keepNext/>
      </w:pPr>
      <w:r>
        <w:t>8.2 Configurer Vercel</w:t>
      </w:r>
    </w:p>
    <w:p>
      <w:pPr>
        <w:pStyle w:val="ListNumber"/>
      </w:pPr>
      <w:r>
        <w:t>Importer le dépôt GitHub et conserver la racine du projet.</w:t>
      </w:r>
    </w:p>
    <w:p>
      <w:pPr>
        <w:pStyle w:val="ListNumber"/>
      </w:pPr>
      <w:r>
        <w:t>Définir DATABASE_URL, JWT_SECRET, JWT_DUREE, NODE_ENV=production et STOCKAGE_DRIVER=vercel-blob.</w:t>
      </w:r>
    </w:p>
    <w:p>
      <w:pPr>
        <w:pStyle w:val="ListNumber"/>
      </w:pPr>
      <w:r>
        <w:t>Ne pas définir PORT manuellement.</w:t>
      </w:r>
    </w:p>
    <w:p>
      <w:pPr>
        <w:pStyle w:val="ListNumber"/>
      </w:pPr>
      <w:r>
        <w:t>Limiter MIGRATION_DATABASE_URL aux opérations de migration ; idéalement ne pas la conserver dans les variables d’exécution Vercel.</w:t>
      </w:r>
    </w:p>
    <w:p>
      <w:pPr>
        <w:pStyle w:val="ListNumber"/>
      </w:pPr>
      <w:r>
        <w:t>Déployer puis contrôler /api/sante et la page de connexion.</w:t>
      </w:r>
    </w:p>
    <w:p>
      <w:pPr>
        <w:pStyle w:val="Heading2"/>
        <w:keepNext/>
      </w:pPr>
      <w:r>
        <w:t>8.3 Configurer les contrats PDF</w:t>
      </w:r>
    </w:p>
    <w:p>
      <w:pPr>
        <w:pStyle w:val="ListNumber"/>
      </w:pPr>
      <w:r>
        <w:t>Dans le projet Vercel, ouvrir Storage puis Create Database et Blob.</w:t>
      </w:r>
    </w:p>
    <w:p>
      <w:pPr>
        <w:pStyle w:val="ListNumber"/>
      </w:pPr>
      <w:r>
        <w:t>Choisir une région européenne et l’accès Private.</w:t>
      </w:r>
    </w:p>
    <w:p>
      <w:pPr>
        <w:pStyle w:val="ListNumber"/>
      </w:pPr>
      <w:r>
        <w:t>Utiliser le préfixe de variables BLOB, sans tiret.</w:t>
      </w:r>
    </w:p>
    <w:p>
      <w:pPr>
        <w:pStyle w:val="ListNumber"/>
      </w:pPr>
      <w:r>
        <w:t>Activer l’ajout du jeton lecture/écriture afin d’obtenir BLOB_READ_WRITE_TOKEN.</w:t>
      </w:r>
    </w:p>
    <w:p>
      <w:pPr>
        <w:pStyle w:val="ListNumber"/>
      </w:pPr>
      <w:r>
        <w:t>Vérifier STOCKAGE_DRIVER=vercel-blob pour Production et Preview.</w:t>
      </w:r>
    </w:p>
    <w:p>
      <w:pPr>
        <w:pStyle w:val="ListNumber"/>
      </w:pPr>
      <w:r>
        <w:t>Redéployer, puis tester l’ajout, le téléchargement et la suppression d’un PDF inférieur ou égal à 4 Mo.</w:t>
      </w:r>
    </w:p>
    <w:tbl>
      <w:tblPr>
        <w:tblW w:type="auto" w:w="0"/>
        <w:jc w:val="center"/>
        <w:tblLook w:firstColumn="1" w:firstRow="1" w:lastColumn="0" w:lastRow="0" w:noHBand="0" w:noVBand="1" w:val="04A0"/>
        <w:tblBorders>
          <w:top w:val="single" w:sz="8" w:color="0F6B5B"/>
          <w:left w:val="single" w:sz="8" w:color="0F6B5B"/>
          <w:bottom w:val="single" w:sz="8" w:color="0F6B5B"/>
          <w:right w:val="single" w:sz="8" w:color="0F6B5B"/>
          <w:insideH w:val="single" w:sz="8" w:color="0F6B5B"/>
          <w:insideV w:val="single" w:sz="8" w:color="0F6B5B"/>
        </w:tblBorders>
      </w:tblPr>
      <w:tblGrid>
        <w:gridCol w:w="9972"/>
      </w:tblGrid>
      <w:tr>
        <w:tc>
          <w:tcPr>
            <w:tcW w:type="dxa" w:w="9972"/>
            <w:shd w:fill="DDECE7"/>
            <w:tcMar>
              <w:top w:w="140" w:type="dxa"/>
              <w:start w:w="160" w:type="dxa"/>
              <w:bottom w:w="140" w:type="dxa"/>
              <w:end w:w="160" w:type="dxa"/>
            </w:tcMar>
          </w:tcPr>
          <w:p>
            <w:r>
              <w:rPr>
                <w:b/>
                <w:color w:val="0F6B5B"/>
              </w:rPr>
              <w:t>CONFIDENTIALITÉ DES CONTRATS</w:t>
            </w:r>
            <w:r>
              <w:br/>
              <w:t>Le store doit rester Private. Le téléchargement traverse l’API authentifiée : ne jamais remplacer cette logique par une URL Blob publique pour des contrats clients.</w:t>
            </w:r>
          </w:p>
        </w:tc>
      </w:tr>
    </w:tbl>
    <w:p>
      <w:pPr>
        <w:spacing w:after="0"/>
      </w:pPr>
    </w:p>
    <w:p>
      <w:pPr>
        <w:pStyle w:val="Heading2"/>
        <w:keepNext/>
      </w:pPr>
      <w:r>
        <w:t>8.4 Déploiement standard</w:t>
      </w:r>
    </w:p>
    <w:tbl>
      <w:tblPr>
        <w:tblW w:type="auto" w:w="0"/>
        <w:tblLook w:firstColumn="1" w:firstRow="1" w:lastColumn="0" w:lastRow="0" w:noHBand="0" w:noVBand="1" w:val="04A0"/>
      </w:tblPr>
      <w:tblGrid>
        <w:gridCol w:w="9972"/>
      </w:tblGrid>
      <w:tr>
        <w:tc>
          <w:tcPr>
            <w:tcW w:type="dxa" w:w="9972"/>
            <w:shd w:fill="17211F"/>
            <w:tcMar>
              <w:top w:w="110" w:type="dxa"/>
              <w:start w:w="140" w:type="dxa"/>
              <w:bottom w:w="110" w:type="dxa"/>
              <w:end w:w="140" w:type="dxa"/>
            </w:tcMar>
          </w:tcPr>
          <w:p>
            <w:pPr>
              <w:spacing w:after="0"/>
            </w:pPr>
            <w:r>
              <w:rPr>
                <w:rFonts w:ascii="Consolas" w:hAnsi="Consolas" w:eastAsia="Consolas"/>
                <w:color w:val="EBF4F1"/>
                <w:sz w:val="16"/>
              </w:rPr>
              <w:t>git status</w:t>
              <w:br/>
              <w:t>npm ci</w:t>
              <w:br/>
              <w:t>npm test</w:t>
              <w:br/>
              <w:t>git add &lt;fichiers&gt;</w:t>
              <w:br/>
              <w:t>git commit -m "Description claire"</w:t>
              <w:br/>
              <w:t>git push origin main</w:t>
            </w:r>
          </w:p>
        </w:tc>
      </w:tr>
    </w:tbl>
    <w:p>
      <w:pPr>
        <w:spacing w:after="0"/>
      </w:pPr>
    </w:p>
    <w:p>
      <w:r>
        <w:t>Vercel redéploie automatiquement après le push. Contrôler le déploiement de production, pas seulement une URL de Preview protégée.</w:t>
      </w:r>
    </w:p>
    <w:p>
      <w:pPr>
        <w:pStyle w:val="Heading1"/>
        <w:keepNext/>
      </w:pPr>
      <w:r>
        <w:t>9. Utilisation quotidienne</w:t>
      </w:r>
    </w:p>
    <w:p>
      <w:pPr>
        <w:pStyle w:val="Heading2"/>
        <w:keepNext/>
      </w:pPr>
      <w:r>
        <w:t>9.1 Nouveau client</w:t>
      </w:r>
    </w:p>
    <w:p>
      <w:pPr>
        <w:pStyle w:val="ListNumber"/>
      </w:pPr>
      <w:r>
        <w:t>Rechercher d’abord par nom, CIN/matricule ou téléphone pour éviter un doublon.</w:t>
      </w:r>
    </w:p>
    <w:p>
      <w:pPr>
        <w:pStyle w:val="ListNumber"/>
      </w:pPr>
      <w:r>
        <w:t>Créer la fiche et choisir personne physique ou morale.</w:t>
      </w:r>
    </w:p>
    <w:p>
      <w:pPr>
        <w:pStyle w:val="ListNumber"/>
      </w:pPr>
      <w:r>
        <w:t>Pour une personne physique, renseigner la date de naissance ; une date future est refusée.</w:t>
      </w:r>
    </w:p>
    <w:p>
      <w:pPr>
        <w:pStyle w:val="ListNumber"/>
      </w:pPr>
      <w:r>
        <w:t>Renseigner le CIN/matricule, le téléphone et le code Finasure lorsque disponibles.</w:t>
      </w:r>
    </w:p>
    <w:p>
      <w:pPr>
        <w:pStyle w:val="ListNumber"/>
      </w:pPr>
      <w:r>
        <w:t>Ouvrir la fiche pour contrôler les contrats liés et l’historique.</w:t>
      </w:r>
    </w:p>
    <w:p>
      <w:pPr>
        <w:pStyle w:val="Heading2"/>
        <w:keepNext/>
      </w:pPr>
      <w:r>
        <w:t>9.2 Nouveau contrat</w:t>
      </w:r>
    </w:p>
    <w:p>
      <w:pPr>
        <w:pStyle w:val="ListNumber"/>
      </w:pPr>
      <w:r>
        <w:t>Vérifier le client et créer au préalable les éventuels souscripteur et payeur.</w:t>
      </w:r>
    </w:p>
    <w:p>
      <w:pPr>
        <w:pStyle w:val="ListNumber"/>
      </w:pPr>
      <w:r>
        <w:t>Renseigner numéro, compagnie, produit, prime et date d’effet, puis choisir Durée ferme ou RTR.</w:t>
      </w:r>
    </w:p>
    <w:p>
      <w:pPr>
        <w:pStyle w:val="ListNumber"/>
      </w:pPr>
      <w:r>
        <w:t>Pour une durée ferme, renseigner une date de fin postérieure à la date d’effet ; aucune échéance n’est générée.</w:t>
      </w:r>
    </w:p>
    <w:p>
      <w:pPr>
        <w:pStyle w:val="ListNumber"/>
      </w:pPr>
      <w:r>
        <w:t>Pour un contrat RTR, choisir une fréquence annuelle, semestrielle ou trimestrielle et contrôler la date d’échéance calculée.</w:t>
      </w:r>
    </w:p>
    <w:p>
      <w:pPr>
        <w:pStyle w:val="ListNumber"/>
      </w:pPr>
      <w:r>
        <w:t>Saisir la société de leasing dans le champ texte lorsqu’elle existe.</w:t>
      </w:r>
    </w:p>
    <w:p>
      <w:pPr>
        <w:pStyle w:val="ListNumber"/>
      </w:pPr>
      <w:r>
        <w:t>Enregistrer, ouvrir la fiche et joindre le contrat signé en PDF.</w:t>
      </w:r>
    </w:p>
    <w:p>
      <w:pPr>
        <w:pStyle w:val="ListNumber"/>
      </w:pPr>
      <w:r>
        <w:t>Vérifier que l’échéance apparaît dans l’agenda et, si elle tombe dans les 120 jours, sur le tableau de bord.</w:t>
      </w:r>
    </w:p>
    <w:p>
      <w:pPr>
        <w:pStyle w:val="Heading2"/>
        <w:keepNext/>
      </w:pPr>
      <w:r>
        <w:t>9.3 Encaissement</w:t>
      </w:r>
    </w:p>
    <w:p>
      <w:pPr>
        <w:pStyle w:val="ListNumber"/>
      </w:pPr>
      <w:r>
        <w:t>Ouvrir Échéances et filtrer selon la fenêtre ou le niveau.</w:t>
      </w:r>
    </w:p>
    <w:p>
      <w:pPr>
        <w:pStyle w:val="ListNumber"/>
      </w:pPr>
      <w:r>
        <w:t>Cliquer sur Encaisser, saisir montant, date, mode et référence.</w:t>
      </w:r>
    </w:p>
    <w:p>
      <w:pPr>
        <w:pStyle w:val="ListNumber"/>
      </w:pPr>
      <w:r>
        <w:t>Vérifier le statut recalculé : partielle ou payée.</w:t>
      </w:r>
    </w:p>
    <w:p>
      <w:pPr>
        <w:pStyle w:val="ListNumber"/>
      </w:pPr>
      <w:r>
        <w:t>Après un encaissement total RTR, contrôler la date du prochain terme affichée par l’application.</w:t>
      </w:r>
    </w:p>
    <w:p>
      <w:pPr>
        <w:pStyle w:val="ListNumber"/>
      </w:pPr>
      <w:r>
        <w:t>Ne pas créer de faux paiement pour masquer une échéance en retard.</w:t>
      </w:r>
    </w:p>
    <w:p>
      <w:pPr>
        <w:pStyle w:val="Heading2"/>
        <w:keepNext/>
      </w:pPr>
      <w:r>
        <w:t>9.4 Archivage</w:t>
      </w:r>
    </w:p>
    <w:p>
      <w:pPr>
        <w:pStyle w:val="ListNumber"/>
      </w:pPr>
      <w:r>
        <w:t>Archiver d’abord les contrats concernés avant d’archiver un client qui possède des contrats en cours.</w:t>
      </w:r>
    </w:p>
    <w:p>
      <w:pPr>
        <w:pStyle w:val="ListNumber"/>
      </w:pPr>
      <w:r>
        <w:t>Contrôler le tableau de bord : les contrats, échéances et encaissements archivés doivent disparaître des indicateurs.</w:t>
      </w:r>
    </w:p>
    <w:p>
      <w:pPr>
        <w:pStyle w:val="ListNumber"/>
      </w:pPr>
      <w:r>
        <w:t>Restaurer depuis la corbeille en cas d’erreur.</w:t>
      </w:r>
    </w:p>
    <w:p>
      <w:pPr>
        <w:pStyle w:val="ListNumber"/>
      </w:pPr>
      <w:r>
        <w:t>N’utiliser la suppression définitive qu’après expiration du délai interne de rétention et contrôle de la sauvegarde.</w:t>
      </w:r>
    </w:p>
    <w:p>
      <w:pPr>
        <w:pStyle w:val="Heading1"/>
        <w:keepNext/>
      </w:pPr>
      <w:r>
        <w:t>10. Sécurité actuelle et renforcements</w:t>
      </w:r>
    </w:p>
    <w:p>
      <w:pPr>
        <w:pStyle w:val="Heading2"/>
        <w:keepNext/>
      </w:pPr>
      <w:r>
        <w:t>10.1 Protections présentes</w:t>
      </w:r>
    </w:p>
    <w:p>
      <w:pPr>
        <w:pStyle w:val="ListBullet"/>
      </w:pPr>
      <w:r>
        <w:t>Mots de passe hachés avec bcrypt, facteur de coût 12.</w:t>
      </w:r>
    </w:p>
    <w:p>
      <w:pPr>
        <w:pStyle w:val="ListBullet"/>
      </w:pPr>
      <w:r>
        <w:t>JWT signé, conservé dans un cookie httpOnly, SameSite=Strict et Secure en production.</w:t>
      </w:r>
    </w:p>
    <w:p>
      <w:pPr>
        <w:pStyle w:val="ListBullet"/>
      </w:pPr>
      <w:r>
        <w:t>Limitation générale de l’API et limitation spécifique de la connexion.</w:t>
      </w:r>
    </w:p>
    <w:p>
      <w:pPr>
        <w:pStyle w:val="ListBullet"/>
      </w:pPr>
      <w:r>
        <w:t>Rôles admin, agent et lecture vérifiés côté serveur.</w:t>
      </w:r>
    </w:p>
    <w:p>
      <w:pPr>
        <w:pStyle w:val="ListBullet"/>
      </w:pPr>
      <w:r>
        <w:t>Requêtes SQL paramétrées.</w:t>
      </w:r>
    </w:p>
    <w:p>
      <w:pPr>
        <w:pStyle w:val="ListBullet"/>
      </w:pPr>
      <w:r>
        <w:t>Isolation par organisation via Row-Level Security forcée dans PostgreSQL.</w:t>
      </w:r>
    </w:p>
    <w:p>
      <w:pPr>
        <w:pStyle w:val="ListBullet"/>
      </w:pPr>
      <w:r>
        <w:t>Contrôle des références inter-organisations par triggers.</w:t>
      </w:r>
    </w:p>
    <w:p>
      <w:pPr>
        <w:pStyle w:val="ListBullet"/>
      </w:pPr>
      <w:r>
        <w:t>Journal d’audit avec utilisateur et états avant/après.</w:t>
      </w:r>
    </w:p>
    <w:p>
      <w:pPr>
        <w:pStyle w:val="ListBullet"/>
      </w:pPr>
      <w:r>
        <w:t>Stockage privé des pièces jointes.</w:t>
      </w:r>
    </w:p>
    <w:p>
      <w:pPr>
        <w:pStyle w:val="Heading2"/>
        <w:keepNext/>
      </w:pPr>
      <w:r>
        <w:t>10.2 Risques à corriger</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850"/>
            <w:shd w:fill="073B34"/>
            <w:tcMar>
              <w:top w:w="90" w:type="dxa"/>
              <w:start w:w="110" w:type="dxa"/>
              <w:bottom w:w="90" w:type="dxa"/>
              <w:end w:w="110" w:type="dxa"/>
            </w:tcMar>
            <w:vAlign w:val="center"/>
          </w:tcPr>
          <w:p>
            <w:r>
              <w:rPr>
                <w:b/>
                <w:color w:val="FFFFFF"/>
                <w:sz w:val="18"/>
              </w:rPr>
              <w:t>Priorité</w:t>
            </w:r>
          </w:p>
        </w:tc>
        <w:tc>
          <w:tcPr>
            <w:tcW w:type="dxa" w:w="3118"/>
            <w:shd w:fill="073B34"/>
            <w:tcMar>
              <w:top w:w="90" w:type="dxa"/>
              <w:start w:w="110" w:type="dxa"/>
              <w:bottom w:w="90" w:type="dxa"/>
              <w:end w:w="110" w:type="dxa"/>
            </w:tcMar>
            <w:vAlign w:val="center"/>
          </w:tcPr>
          <w:p>
            <w:r>
              <w:rPr>
                <w:b/>
                <w:color w:val="FFFFFF"/>
                <w:sz w:val="18"/>
              </w:rPr>
              <w:t>Risque</w:t>
            </w:r>
          </w:p>
        </w:tc>
        <w:tc>
          <w:tcPr>
            <w:tcW w:type="dxa" w:w="5386"/>
            <w:shd w:fill="073B34"/>
            <w:tcMar>
              <w:top w:w="90" w:type="dxa"/>
              <w:start w:w="110" w:type="dxa"/>
              <w:bottom w:w="90" w:type="dxa"/>
              <w:end w:w="110" w:type="dxa"/>
            </w:tcMar>
            <w:vAlign w:val="center"/>
          </w:tcPr>
          <w:p>
            <w:r>
              <w:rPr>
                <w:b/>
                <w:color w:val="FFFFFF"/>
                <w:sz w:val="18"/>
              </w:rPr>
              <w:t>Mesure recommandée</w:t>
            </w:r>
          </w:p>
        </w:tc>
      </w:tr>
      <w:tr>
        <w:tc>
          <w:tcPr>
            <w:tcW w:type="dxa" w:w="850"/>
            <w:tcMar>
              <w:top w:w="90" w:type="dxa"/>
              <w:start w:w="110" w:type="dxa"/>
              <w:bottom w:w="90" w:type="dxa"/>
              <w:end w:w="110" w:type="dxa"/>
            </w:tcMar>
            <w:vAlign w:val="top"/>
          </w:tcPr>
          <w:p>
            <w:pPr>
              <w:spacing w:after="0"/>
            </w:pPr>
            <w:r>
              <w:rPr>
                <w:sz w:val="17"/>
              </w:rPr>
              <w:t>P0</w:t>
            </w:r>
          </w:p>
        </w:tc>
        <w:tc>
          <w:tcPr>
            <w:tcW w:type="dxa" w:w="3118"/>
            <w:tcMar>
              <w:top w:w="90" w:type="dxa"/>
              <w:start w:w="110" w:type="dxa"/>
              <w:bottom w:w="90" w:type="dxa"/>
              <w:end w:w="110" w:type="dxa"/>
            </w:tcMar>
            <w:vAlign w:val="top"/>
          </w:tcPr>
          <w:p>
            <w:pPr>
              <w:spacing w:after="0"/>
            </w:pPr>
            <w:r>
              <w:rPr>
                <w:sz w:val="17"/>
              </w:rPr>
              <w:t>Secrets exposés ou réutilisés</w:t>
            </w:r>
          </w:p>
        </w:tc>
        <w:tc>
          <w:tcPr>
            <w:tcW w:type="dxa" w:w="5386"/>
            <w:tcMar>
              <w:top w:w="90" w:type="dxa"/>
              <w:start w:w="110" w:type="dxa"/>
              <w:bottom w:w="90" w:type="dxa"/>
              <w:end w:w="110" w:type="dxa"/>
            </w:tcMar>
            <w:vAlign w:val="top"/>
          </w:tcPr>
          <w:p>
            <w:pPr>
              <w:spacing w:after="0"/>
            </w:pPr>
            <w:r>
              <w:rPr>
                <w:sz w:val="17"/>
              </w:rPr>
              <w:t>Rotation immédiate de la base, du JWT, du Blob et des mots de passe administrateurs.</w:t>
            </w:r>
          </w:p>
        </w:tc>
      </w:tr>
      <w:tr>
        <w:tc>
          <w:tcPr>
            <w:tcW w:type="dxa" w:w="850"/>
            <w:tcMar>
              <w:top w:w="90" w:type="dxa"/>
              <w:start w:w="110" w:type="dxa"/>
              <w:bottom w:w="90" w:type="dxa"/>
              <w:end w:w="110" w:type="dxa"/>
            </w:tcMar>
            <w:vAlign w:val="top"/>
            <w:shd w:fill="F2F5F4"/>
          </w:tcPr>
          <w:p>
            <w:pPr>
              <w:spacing w:after="0"/>
            </w:pPr>
            <w:r>
              <w:rPr>
                <w:sz w:val="17"/>
              </w:rPr>
              <w:t>P0</w:t>
            </w:r>
          </w:p>
        </w:tc>
        <w:tc>
          <w:tcPr>
            <w:tcW w:type="dxa" w:w="3118"/>
            <w:tcMar>
              <w:top w:w="90" w:type="dxa"/>
              <w:start w:w="110" w:type="dxa"/>
              <w:bottom w:w="90" w:type="dxa"/>
              <w:end w:w="110" w:type="dxa"/>
            </w:tcMar>
            <w:vAlign w:val="top"/>
            <w:shd w:fill="F2F5F4"/>
          </w:tcPr>
          <w:p>
            <w:pPr>
              <w:spacing w:after="0"/>
            </w:pPr>
            <w:r>
              <w:rPr>
                <w:sz w:val="17"/>
              </w:rPr>
              <w:t>Pas de restauration cloud testée</w:t>
            </w:r>
          </w:p>
        </w:tc>
        <w:tc>
          <w:tcPr>
            <w:tcW w:type="dxa" w:w="5386"/>
            <w:tcMar>
              <w:top w:w="90" w:type="dxa"/>
              <w:start w:w="110" w:type="dxa"/>
              <w:bottom w:w="90" w:type="dxa"/>
              <w:end w:w="110" w:type="dxa"/>
            </w:tcMar>
            <w:vAlign w:val="top"/>
            <w:shd w:fill="F2F5F4"/>
          </w:tcPr>
          <w:p>
            <w:pPr>
              <w:spacing w:after="0"/>
            </w:pPr>
            <w:r>
              <w:rPr>
                <w:sz w:val="17"/>
              </w:rPr>
              <w:t>Sauvegarde logique externe et exercice de restauration documenté.</w:t>
            </w:r>
          </w:p>
        </w:tc>
      </w:tr>
      <w:tr>
        <w:tc>
          <w:tcPr>
            <w:tcW w:type="dxa" w:w="850"/>
            <w:tcMar>
              <w:top w:w="90" w:type="dxa"/>
              <w:start w:w="110" w:type="dxa"/>
              <w:bottom w:w="90" w:type="dxa"/>
              <w:end w:w="110" w:type="dxa"/>
            </w:tcMar>
            <w:vAlign w:val="top"/>
          </w:tcPr>
          <w:p>
            <w:pPr>
              <w:spacing w:after="0"/>
            </w:pPr>
            <w:r>
              <w:rPr>
                <w:sz w:val="17"/>
              </w:rPr>
              <w:t>P1</w:t>
            </w:r>
          </w:p>
        </w:tc>
        <w:tc>
          <w:tcPr>
            <w:tcW w:type="dxa" w:w="3118"/>
            <w:tcMar>
              <w:top w:w="90" w:type="dxa"/>
              <w:start w:w="110" w:type="dxa"/>
              <w:bottom w:w="90" w:type="dxa"/>
              <w:end w:w="110" w:type="dxa"/>
            </w:tcMar>
            <w:vAlign w:val="top"/>
          </w:tcPr>
          <w:p>
            <w:pPr>
              <w:spacing w:after="0"/>
            </w:pPr>
            <w:r>
              <w:rPr>
                <w:sz w:val="17"/>
              </w:rPr>
              <w:t>Blocage de connexion en mémoire</w:t>
            </w:r>
          </w:p>
        </w:tc>
        <w:tc>
          <w:tcPr>
            <w:tcW w:type="dxa" w:w="5386"/>
            <w:tcMar>
              <w:top w:w="90" w:type="dxa"/>
              <w:start w:w="110" w:type="dxa"/>
              <w:bottom w:w="90" w:type="dxa"/>
              <w:end w:w="110" w:type="dxa"/>
            </w:tcMar>
            <w:vAlign w:val="top"/>
          </w:tcPr>
          <w:p>
            <w:pPr>
              <w:spacing w:after="0"/>
            </w:pPr>
            <w:r>
              <w:rPr>
                <w:sz w:val="17"/>
              </w:rPr>
              <w:t>Stockage distribué Redis/PostgreSQL pour fonctionner sur plusieurs instances serverless.</w:t>
            </w:r>
          </w:p>
        </w:tc>
      </w:tr>
      <w:tr>
        <w:tc>
          <w:tcPr>
            <w:tcW w:type="dxa" w:w="850"/>
            <w:tcMar>
              <w:top w:w="90" w:type="dxa"/>
              <w:start w:w="110" w:type="dxa"/>
              <w:bottom w:w="90" w:type="dxa"/>
              <w:end w:w="110" w:type="dxa"/>
            </w:tcMar>
            <w:vAlign w:val="top"/>
            <w:shd w:fill="F2F5F4"/>
          </w:tcPr>
          <w:p>
            <w:pPr>
              <w:spacing w:after="0"/>
            </w:pPr>
            <w:r>
              <w:rPr>
                <w:sz w:val="17"/>
              </w:rPr>
              <w:t>P1</w:t>
            </w:r>
          </w:p>
        </w:tc>
        <w:tc>
          <w:tcPr>
            <w:tcW w:type="dxa" w:w="3118"/>
            <w:tcMar>
              <w:top w:w="90" w:type="dxa"/>
              <w:start w:w="110" w:type="dxa"/>
              <w:bottom w:w="90" w:type="dxa"/>
              <w:end w:w="110" w:type="dxa"/>
            </w:tcMar>
            <w:vAlign w:val="top"/>
            <w:shd w:fill="F2F5F4"/>
          </w:tcPr>
          <w:p>
            <w:pPr>
              <w:spacing w:after="0"/>
            </w:pPr>
            <w:r>
              <w:rPr>
                <w:sz w:val="17"/>
              </w:rPr>
              <w:t>Sessions JWT non révocables</w:t>
            </w:r>
          </w:p>
        </w:tc>
        <w:tc>
          <w:tcPr>
            <w:tcW w:type="dxa" w:w="5386"/>
            <w:tcMar>
              <w:top w:w="90" w:type="dxa"/>
              <w:start w:w="110" w:type="dxa"/>
              <w:bottom w:w="90" w:type="dxa"/>
              <w:end w:w="110" w:type="dxa"/>
            </w:tcMar>
            <w:vAlign w:val="top"/>
            <w:shd w:fill="F2F5F4"/>
          </w:tcPr>
          <w:p>
            <w:pPr>
              <w:spacing w:after="0"/>
            </w:pPr>
            <w:r>
              <w:rPr>
                <w:sz w:val="17"/>
              </w:rPr>
              <w:t>Sessions serveur ou version de jeton, rotation et déconnexion globale.</w:t>
            </w:r>
          </w:p>
        </w:tc>
      </w:tr>
      <w:tr>
        <w:tc>
          <w:tcPr>
            <w:tcW w:type="dxa" w:w="850"/>
            <w:tcMar>
              <w:top w:w="90" w:type="dxa"/>
              <w:start w:w="110" w:type="dxa"/>
              <w:bottom w:w="90" w:type="dxa"/>
              <w:end w:w="110" w:type="dxa"/>
            </w:tcMar>
            <w:vAlign w:val="top"/>
          </w:tcPr>
          <w:p>
            <w:pPr>
              <w:spacing w:after="0"/>
            </w:pPr>
            <w:r>
              <w:rPr>
                <w:sz w:val="17"/>
              </w:rPr>
              <w:t>P1</w:t>
            </w:r>
          </w:p>
        </w:tc>
        <w:tc>
          <w:tcPr>
            <w:tcW w:type="dxa" w:w="3118"/>
            <w:tcMar>
              <w:top w:w="90" w:type="dxa"/>
              <w:start w:w="110" w:type="dxa"/>
              <w:bottom w:w="90" w:type="dxa"/>
              <w:end w:w="110" w:type="dxa"/>
            </w:tcMar>
            <w:vAlign w:val="top"/>
          </w:tcPr>
          <w:p>
            <w:pPr>
              <w:spacing w:after="0"/>
            </w:pPr>
            <w:r>
              <w:rPr>
                <w:sz w:val="17"/>
              </w:rPr>
              <w:t>Pas de MFA ni reset sécurisé</w:t>
            </w:r>
          </w:p>
        </w:tc>
        <w:tc>
          <w:tcPr>
            <w:tcW w:type="dxa" w:w="5386"/>
            <w:tcMar>
              <w:top w:w="90" w:type="dxa"/>
              <w:start w:w="110" w:type="dxa"/>
              <w:bottom w:w="90" w:type="dxa"/>
              <w:end w:w="110" w:type="dxa"/>
            </w:tcMar>
            <w:vAlign w:val="top"/>
          </w:tcPr>
          <w:p>
            <w:pPr>
              <w:spacing w:after="0"/>
            </w:pPr>
            <w:r>
              <w:rPr>
                <w:sz w:val="17"/>
              </w:rPr>
              <w:t>MFA obligatoire pour admins et flux de récupération à jeton court.</w:t>
            </w:r>
          </w:p>
        </w:tc>
      </w:tr>
      <w:tr>
        <w:tc>
          <w:tcPr>
            <w:tcW w:type="dxa" w:w="850"/>
            <w:tcMar>
              <w:top w:w="90" w:type="dxa"/>
              <w:start w:w="110" w:type="dxa"/>
              <w:bottom w:w="90" w:type="dxa"/>
              <w:end w:w="110" w:type="dxa"/>
            </w:tcMar>
            <w:vAlign w:val="top"/>
            <w:shd w:fill="F2F5F4"/>
          </w:tcPr>
          <w:p>
            <w:pPr>
              <w:spacing w:after="0"/>
            </w:pPr>
            <w:r>
              <w:rPr>
                <w:sz w:val="17"/>
              </w:rPr>
              <w:t>P1</w:t>
            </w:r>
          </w:p>
        </w:tc>
        <w:tc>
          <w:tcPr>
            <w:tcW w:type="dxa" w:w="3118"/>
            <w:tcMar>
              <w:top w:w="90" w:type="dxa"/>
              <w:start w:w="110" w:type="dxa"/>
              <w:bottom w:w="90" w:type="dxa"/>
              <w:end w:w="110" w:type="dxa"/>
            </w:tcMar>
            <w:vAlign w:val="top"/>
            <w:shd w:fill="F2F5F4"/>
          </w:tcPr>
          <w:p>
            <w:pPr>
              <w:spacing w:after="0"/>
            </w:pPr>
            <w:r>
              <w:rPr>
                <w:sz w:val="17"/>
              </w:rPr>
              <w:t>CSP désactivée</w:t>
            </w:r>
          </w:p>
        </w:tc>
        <w:tc>
          <w:tcPr>
            <w:tcW w:type="dxa" w:w="5386"/>
            <w:tcMar>
              <w:top w:w="90" w:type="dxa"/>
              <w:start w:w="110" w:type="dxa"/>
              <w:bottom w:w="90" w:type="dxa"/>
              <w:end w:w="110" w:type="dxa"/>
            </w:tcMar>
            <w:vAlign w:val="top"/>
            <w:shd w:fill="F2F5F4"/>
          </w:tcPr>
          <w:p>
            <w:pPr>
              <w:spacing w:after="0"/>
            </w:pPr>
            <w:r>
              <w:rPr>
                <w:sz w:val="17"/>
              </w:rPr>
              <w:t>Activer une Content-Security-Policy testée et retirer les exceptions inutiles.</w:t>
            </w:r>
          </w:p>
        </w:tc>
      </w:tr>
      <w:tr>
        <w:tc>
          <w:tcPr>
            <w:tcW w:type="dxa" w:w="850"/>
            <w:tcMar>
              <w:top w:w="90" w:type="dxa"/>
              <w:start w:w="110" w:type="dxa"/>
              <w:bottom w:w="90" w:type="dxa"/>
              <w:end w:w="110" w:type="dxa"/>
            </w:tcMar>
            <w:vAlign w:val="top"/>
          </w:tcPr>
          <w:p>
            <w:pPr>
              <w:spacing w:after="0"/>
            </w:pPr>
            <w:r>
              <w:rPr>
                <w:sz w:val="17"/>
              </w:rPr>
              <w:t>P1</w:t>
            </w:r>
          </w:p>
        </w:tc>
        <w:tc>
          <w:tcPr>
            <w:tcW w:type="dxa" w:w="3118"/>
            <w:tcMar>
              <w:top w:w="90" w:type="dxa"/>
              <w:start w:w="110" w:type="dxa"/>
              <w:bottom w:w="90" w:type="dxa"/>
              <w:end w:w="110" w:type="dxa"/>
            </w:tcMar>
            <w:vAlign w:val="top"/>
          </w:tcPr>
          <w:p>
            <w:pPr>
              <w:spacing w:after="0"/>
            </w:pPr>
            <w:r>
              <w:rPr>
                <w:sz w:val="17"/>
              </w:rPr>
              <w:t>Fichiers validés seulement par MIME déclaré</w:t>
            </w:r>
          </w:p>
        </w:tc>
        <w:tc>
          <w:tcPr>
            <w:tcW w:type="dxa" w:w="5386"/>
            <w:tcMar>
              <w:top w:w="90" w:type="dxa"/>
              <w:start w:w="110" w:type="dxa"/>
              <w:bottom w:w="90" w:type="dxa"/>
              <w:end w:w="110" w:type="dxa"/>
            </w:tcMar>
            <w:vAlign w:val="top"/>
          </w:tcPr>
          <w:p>
            <w:pPr>
              <w:spacing w:after="0"/>
            </w:pPr>
            <w:r>
              <w:rPr>
                <w:sz w:val="17"/>
              </w:rPr>
              <w:t>Vérifier signature réelle, analyser antivirus et mettre en quarantaine.</w:t>
            </w:r>
          </w:p>
        </w:tc>
      </w:tr>
      <w:tr>
        <w:tc>
          <w:tcPr>
            <w:tcW w:type="dxa" w:w="850"/>
            <w:tcMar>
              <w:top w:w="90" w:type="dxa"/>
              <w:start w:w="110" w:type="dxa"/>
              <w:bottom w:w="90" w:type="dxa"/>
              <w:end w:w="110" w:type="dxa"/>
            </w:tcMar>
            <w:vAlign w:val="top"/>
            <w:shd w:fill="F2F5F4"/>
          </w:tcPr>
          <w:p>
            <w:pPr>
              <w:spacing w:after="0"/>
            </w:pPr>
            <w:r>
              <w:rPr>
                <w:sz w:val="17"/>
              </w:rPr>
              <w:t>P1</w:t>
            </w:r>
          </w:p>
        </w:tc>
        <w:tc>
          <w:tcPr>
            <w:tcW w:type="dxa" w:w="3118"/>
            <w:tcMar>
              <w:top w:w="90" w:type="dxa"/>
              <w:start w:w="110" w:type="dxa"/>
              <w:bottom w:w="90" w:type="dxa"/>
              <w:end w:w="110" w:type="dxa"/>
            </w:tcMar>
            <w:vAlign w:val="top"/>
            <w:shd w:fill="F2F5F4"/>
          </w:tcPr>
          <w:p>
            <w:pPr>
              <w:spacing w:after="0"/>
            </w:pPr>
            <w:r>
              <w:rPr>
                <w:sz w:val="17"/>
              </w:rPr>
              <w:t>Audit annoncé append-only mais droits SQL génériques</w:t>
            </w:r>
          </w:p>
        </w:tc>
        <w:tc>
          <w:tcPr>
            <w:tcW w:type="dxa" w:w="5386"/>
            <w:tcMar>
              <w:top w:w="90" w:type="dxa"/>
              <w:start w:w="110" w:type="dxa"/>
              <w:bottom w:w="90" w:type="dxa"/>
              <w:end w:w="110" w:type="dxa"/>
            </w:tcMar>
            <w:vAlign w:val="top"/>
            <w:shd w:fill="F2F5F4"/>
          </w:tcPr>
          <w:p>
            <w:pPr>
              <w:spacing w:after="0"/>
            </w:pPr>
            <w:r>
              <w:rPr>
                <w:sz w:val="17"/>
              </w:rPr>
              <w:t>Révoquer UPDATE/DELETE à l’application sur journal_audit et protéger par trigger/role dédié.</w:t>
            </w:r>
          </w:p>
        </w:tc>
      </w:tr>
      <w:tr>
        <w:tc>
          <w:tcPr>
            <w:tcW w:type="dxa" w:w="850"/>
            <w:tcMar>
              <w:top w:w="90" w:type="dxa"/>
              <w:start w:w="110" w:type="dxa"/>
              <w:bottom w:w="90" w:type="dxa"/>
              <w:end w:w="110" w:type="dxa"/>
            </w:tcMar>
            <w:vAlign w:val="top"/>
          </w:tcPr>
          <w:p>
            <w:pPr>
              <w:spacing w:after="0"/>
            </w:pPr>
            <w:r>
              <w:rPr>
                <w:sz w:val="17"/>
              </w:rPr>
              <w:t>P2</w:t>
            </w:r>
          </w:p>
        </w:tc>
        <w:tc>
          <w:tcPr>
            <w:tcW w:type="dxa" w:w="3118"/>
            <w:tcMar>
              <w:top w:w="90" w:type="dxa"/>
              <w:start w:w="110" w:type="dxa"/>
              <w:bottom w:w="90" w:type="dxa"/>
              <w:end w:w="110" w:type="dxa"/>
            </w:tcMar>
            <w:vAlign w:val="top"/>
          </w:tcPr>
          <w:p>
            <w:pPr>
              <w:spacing w:after="0"/>
            </w:pPr>
            <w:r>
              <w:rPr>
                <w:sz w:val="17"/>
              </w:rPr>
              <w:t>Pas de CSRF explicite</w:t>
            </w:r>
          </w:p>
        </w:tc>
        <w:tc>
          <w:tcPr>
            <w:tcW w:type="dxa" w:w="5386"/>
            <w:tcMar>
              <w:top w:w="90" w:type="dxa"/>
              <w:start w:w="110" w:type="dxa"/>
              <w:bottom w:w="90" w:type="dxa"/>
              <w:end w:w="110" w:type="dxa"/>
            </w:tcMar>
            <w:vAlign w:val="top"/>
          </w:tcPr>
          <w:p>
            <w:pPr>
              <w:spacing w:after="0"/>
            </w:pPr>
            <w:r>
              <w:rPr>
                <w:sz w:val="17"/>
              </w:rPr>
              <w:t>Ajouter un jeton CSRF pour les écritures, en complément de SameSite.</w:t>
            </w:r>
          </w:p>
        </w:tc>
      </w:tr>
      <w:tr>
        <w:tc>
          <w:tcPr>
            <w:tcW w:type="dxa" w:w="850"/>
            <w:tcMar>
              <w:top w:w="90" w:type="dxa"/>
              <w:start w:w="110" w:type="dxa"/>
              <w:bottom w:w="90" w:type="dxa"/>
              <w:end w:w="110" w:type="dxa"/>
            </w:tcMar>
            <w:vAlign w:val="top"/>
            <w:shd w:fill="F2F5F4"/>
          </w:tcPr>
          <w:p>
            <w:pPr>
              <w:spacing w:after="0"/>
            </w:pPr>
            <w:r>
              <w:rPr>
                <w:sz w:val="17"/>
              </w:rPr>
              <w:t>P2</w:t>
            </w:r>
          </w:p>
        </w:tc>
        <w:tc>
          <w:tcPr>
            <w:tcW w:type="dxa" w:w="3118"/>
            <w:tcMar>
              <w:top w:w="90" w:type="dxa"/>
              <w:start w:w="110" w:type="dxa"/>
              <w:bottom w:w="90" w:type="dxa"/>
              <w:end w:w="110" w:type="dxa"/>
            </w:tcMar>
            <w:vAlign w:val="top"/>
            <w:shd w:fill="F2F5F4"/>
          </w:tcPr>
          <w:p>
            <w:pPr>
              <w:spacing w:after="0"/>
            </w:pPr>
            <w:r>
              <w:rPr>
                <w:sz w:val="17"/>
              </w:rPr>
              <w:t>Validation API dispersée</w:t>
            </w:r>
          </w:p>
        </w:tc>
        <w:tc>
          <w:tcPr>
            <w:tcW w:type="dxa" w:w="5386"/>
            <w:tcMar>
              <w:top w:w="90" w:type="dxa"/>
              <w:start w:w="110" w:type="dxa"/>
              <w:bottom w:w="90" w:type="dxa"/>
              <w:end w:w="110" w:type="dxa"/>
            </w:tcMar>
            <w:vAlign w:val="top"/>
            <w:shd w:fill="F2F5F4"/>
          </w:tcPr>
          <w:p>
            <w:pPr>
              <w:spacing w:after="0"/>
            </w:pPr>
            <w:r>
              <w:rPr>
                <w:sz w:val="17"/>
              </w:rPr>
              <w:t>Adopter des schémas centralisés avec Zod/Joi et limites de chaînes.</w:t>
            </w:r>
          </w:p>
        </w:tc>
      </w:tr>
    </w:tbl>
    <w:p>
      <w:pPr>
        <w:spacing w:after="0"/>
      </w:pPr>
    </w:p>
    <w:p>
      <w:pPr>
        <w:pStyle w:val="Heading1"/>
        <w:keepNext/>
      </w:pPr>
      <w:r>
        <w:t>11. Sauvegarde, restauration et continuité</w:t>
      </w:r>
    </w:p>
    <w:p>
      <w:pPr>
        <w:pStyle w:val="Heading2"/>
        <w:keepNext/>
      </w:pPr>
      <w:r>
        <w:t>11.1 Objectifs à faire valider</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1701"/>
            <w:shd w:fill="073B34"/>
            <w:tcMar>
              <w:top w:w="90" w:type="dxa"/>
              <w:start w:w="110" w:type="dxa"/>
              <w:bottom w:w="90" w:type="dxa"/>
              <w:end w:w="110" w:type="dxa"/>
            </w:tcMar>
            <w:vAlign w:val="center"/>
          </w:tcPr>
          <w:p>
            <w:r>
              <w:rPr>
                <w:b/>
                <w:color w:val="FFFFFF"/>
                <w:sz w:val="18"/>
              </w:rPr>
              <w:t>Indicateur</w:t>
            </w:r>
          </w:p>
        </w:tc>
        <w:tc>
          <w:tcPr>
            <w:tcW w:type="dxa" w:w="2268"/>
            <w:shd w:fill="073B34"/>
            <w:tcMar>
              <w:top w:w="90" w:type="dxa"/>
              <w:start w:w="110" w:type="dxa"/>
              <w:bottom w:w="90" w:type="dxa"/>
              <w:end w:w="110" w:type="dxa"/>
            </w:tcMar>
            <w:vAlign w:val="center"/>
          </w:tcPr>
          <w:p>
            <w:r>
              <w:rPr>
                <w:b/>
                <w:color w:val="FFFFFF"/>
                <w:sz w:val="18"/>
              </w:rPr>
              <w:t>Cible initiale proposée</w:t>
            </w:r>
          </w:p>
        </w:tc>
        <w:tc>
          <w:tcPr>
            <w:tcW w:type="dxa" w:w="5386"/>
            <w:shd w:fill="073B34"/>
            <w:tcMar>
              <w:top w:w="90" w:type="dxa"/>
              <w:start w:w="110" w:type="dxa"/>
              <w:bottom w:w="90" w:type="dxa"/>
              <w:end w:w="110" w:type="dxa"/>
            </w:tcMar>
            <w:vAlign w:val="center"/>
          </w:tcPr>
          <w:p>
            <w:r>
              <w:rPr>
                <w:b/>
                <w:color w:val="FFFFFF"/>
                <w:sz w:val="18"/>
              </w:rPr>
              <w:t>Signification</w:t>
            </w:r>
          </w:p>
        </w:tc>
      </w:tr>
      <w:tr>
        <w:tc>
          <w:tcPr>
            <w:tcW w:type="dxa" w:w="1701"/>
            <w:tcMar>
              <w:top w:w="90" w:type="dxa"/>
              <w:start w:w="110" w:type="dxa"/>
              <w:bottom w:w="90" w:type="dxa"/>
              <w:end w:w="110" w:type="dxa"/>
            </w:tcMar>
            <w:vAlign w:val="top"/>
          </w:tcPr>
          <w:p>
            <w:pPr>
              <w:spacing w:after="0"/>
            </w:pPr>
            <w:r>
              <w:rPr>
                <w:sz w:val="17"/>
              </w:rPr>
              <w:t>RPO</w:t>
            </w:r>
          </w:p>
        </w:tc>
        <w:tc>
          <w:tcPr>
            <w:tcW w:type="dxa" w:w="2268"/>
            <w:tcMar>
              <w:top w:w="90" w:type="dxa"/>
              <w:start w:w="110" w:type="dxa"/>
              <w:bottom w:w="90" w:type="dxa"/>
              <w:end w:w="110" w:type="dxa"/>
            </w:tcMar>
            <w:vAlign w:val="top"/>
          </w:tcPr>
          <w:p>
            <w:pPr>
              <w:spacing w:after="0"/>
            </w:pPr>
            <w:r>
              <w:rPr>
                <w:sz w:val="17"/>
              </w:rPr>
              <w:t>24 heures, puis 1 heure</w:t>
            </w:r>
          </w:p>
        </w:tc>
        <w:tc>
          <w:tcPr>
            <w:tcW w:type="dxa" w:w="5386"/>
            <w:tcMar>
              <w:top w:w="90" w:type="dxa"/>
              <w:start w:w="110" w:type="dxa"/>
              <w:bottom w:w="90" w:type="dxa"/>
              <w:end w:w="110" w:type="dxa"/>
            </w:tcMar>
            <w:vAlign w:val="top"/>
          </w:tcPr>
          <w:p>
            <w:pPr>
              <w:spacing w:after="0"/>
            </w:pPr>
            <w:r>
              <w:rPr>
                <w:sz w:val="17"/>
              </w:rPr>
              <w:t>Perte maximale de données acceptable après incident.</w:t>
            </w:r>
          </w:p>
        </w:tc>
      </w:tr>
      <w:tr>
        <w:tc>
          <w:tcPr>
            <w:tcW w:type="dxa" w:w="1701"/>
            <w:tcMar>
              <w:top w:w="90" w:type="dxa"/>
              <w:start w:w="110" w:type="dxa"/>
              <w:bottom w:w="90" w:type="dxa"/>
              <w:end w:w="110" w:type="dxa"/>
            </w:tcMar>
            <w:vAlign w:val="top"/>
            <w:shd w:fill="F2F5F4"/>
          </w:tcPr>
          <w:p>
            <w:pPr>
              <w:spacing w:after="0"/>
            </w:pPr>
            <w:r>
              <w:rPr>
                <w:sz w:val="17"/>
              </w:rPr>
              <w:t>RTO</w:t>
            </w:r>
          </w:p>
        </w:tc>
        <w:tc>
          <w:tcPr>
            <w:tcW w:type="dxa" w:w="2268"/>
            <w:tcMar>
              <w:top w:w="90" w:type="dxa"/>
              <w:start w:w="110" w:type="dxa"/>
              <w:bottom w:w="90" w:type="dxa"/>
              <w:end w:w="110" w:type="dxa"/>
            </w:tcMar>
            <w:vAlign w:val="top"/>
            <w:shd w:fill="F2F5F4"/>
          </w:tcPr>
          <w:p>
            <w:pPr>
              <w:spacing w:after="0"/>
            </w:pPr>
            <w:r>
              <w:rPr>
                <w:sz w:val="17"/>
              </w:rPr>
              <w:t>4 heures</w:t>
            </w:r>
          </w:p>
        </w:tc>
        <w:tc>
          <w:tcPr>
            <w:tcW w:type="dxa" w:w="5386"/>
            <w:tcMar>
              <w:top w:w="90" w:type="dxa"/>
              <w:start w:w="110" w:type="dxa"/>
              <w:bottom w:w="90" w:type="dxa"/>
              <w:end w:w="110" w:type="dxa"/>
            </w:tcMar>
            <w:vAlign w:val="top"/>
            <w:shd w:fill="F2F5F4"/>
          </w:tcPr>
          <w:p>
            <w:pPr>
              <w:spacing w:after="0"/>
            </w:pPr>
            <w:r>
              <w:rPr>
                <w:sz w:val="17"/>
              </w:rPr>
              <w:t>Temps maximal pour restaurer le service.</w:t>
            </w:r>
          </w:p>
        </w:tc>
      </w:tr>
      <w:tr>
        <w:tc>
          <w:tcPr>
            <w:tcW w:type="dxa" w:w="1701"/>
            <w:tcMar>
              <w:top w:w="90" w:type="dxa"/>
              <w:start w:w="110" w:type="dxa"/>
              <w:bottom w:w="90" w:type="dxa"/>
              <w:end w:w="110" w:type="dxa"/>
            </w:tcMar>
            <w:vAlign w:val="top"/>
          </w:tcPr>
          <w:p>
            <w:pPr>
              <w:spacing w:after="0"/>
            </w:pPr>
            <w:r>
              <w:rPr>
                <w:sz w:val="17"/>
              </w:rPr>
              <w:t>Rétention</w:t>
            </w:r>
          </w:p>
        </w:tc>
        <w:tc>
          <w:tcPr>
            <w:tcW w:type="dxa" w:w="2268"/>
            <w:tcMar>
              <w:top w:w="90" w:type="dxa"/>
              <w:start w:w="110" w:type="dxa"/>
              <w:bottom w:w="90" w:type="dxa"/>
              <w:end w:w="110" w:type="dxa"/>
            </w:tcMar>
            <w:vAlign w:val="top"/>
          </w:tcPr>
          <w:p>
            <w:pPr>
              <w:spacing w:after="0"/>
            </w:pPr>
            <w:r>
              <w:rPr>
                <w:sz w:val="17"/>
              </w:rPr>
              <w:t>30 jours quotidiens + 12 mensuelles</w:t>
            </w:r>
          </w:p>
        </w:tc>
        <w:tc>
          <w:tcPr>
            <w:tcW w:type="dxa" w:w="5386"/>
            <w:tcMar>
              <w:top w:w="90" w:type="dxa"/>
              <w:start w:w="110" w:type="dxa"/>
              <w:bottom w:w="90" w:type="dxa"/>
              <w:end w:w="110" w:type="dxa"/>
            </w:tcMar>
            <w:vAlign w:val="top"/>
          </w:tcPr>
          <w:p>
            <w:pPr>
              <w:spacing w:after="0"/>
            </w:pPr>
            <w:r>
              <w:rPr>
                <w:sz w:val="17"/>
              </w:rPr>
              <w:t>À adapter aux obligations contractuelles et légales.</w:t>
            </w:r>
          </w:p>
        </w:tc>
      </w:tr>
    </w:tbl>
    <w:p>
      <w:pPr>
        <w:spacing w:after="0"/>
      </w:pPr>
    </w:p>
    <w:p>
      <w:pPr>
        <w:pStyle w:val="Heading2"/>
        <w:keepNext/>
      </w:pPr>
      <w:r>
        <w:t>11.2 Développement Docker</w:t>
      </w:r>
    </w:p>
    <w:tbl>
      <w:tblPr>
        <w:tblW w:type="auto" w:w="0"/>
        <w:tblLook w:firstColumn="1" w:firstRow="1" w:lastColumn="0" w:lastRow="0" w:noHBand="0" w:noVBand="1" w:val="04A0"/>
      </w:tblPr>
      <w:tblGrid>
        <w:gridCol w:w="9972"/>
      </w:tblGrid>
      <w:tr>
        <w:tc>
          <w:tcPr>
            <w:tcW w:type="dxa" w:w="9972"/>
            <w:shd w:fill="17211F"/>
            <w:tcMar>
              <w:top w:w="110" w:type="dxa"/>
              <w:start w:w="140" w:type="dxa"/>
              <w:bottom w:w="110" w:type="dxa"/>
              <w:end w:w="140" w:type="dxa"/>
            </w:tcMar>
          </w:tcPr>
          <w:p>
            <w:pPr>
              <w:spacing w:after="0"/>
            </w:pPr>
            <w:r>
              <w:rPr>
                <w:rFonts w:ascii="Consolas" w:hAnsi="Consolas" w:eastAsia="Consolas"/>
                <w:color w:val="EBF4F1"/>
                <w:sz w:val="16"/>
              </w:rPr>
              <w:t>npm run backup</w:t>
              <w:br/>
              <w:br/>
              <w:t># Restauration destructive après validation du dossier</w:t>
              <w:br/>
              <w:t>powershell -ExecutionPolicy Bypass -File scripts/restore.ps1 `</w:t>
              <w:br/>
              <w:t xml:space="preserve">  -BackupDirectory "C:\sauvegardes\AAAAmmjj-HHMMSS" -Force</w:t>
            </w:r>
          </w:p>
        </w:tc>
      </w:tr>
    </w:tbl>
    <w:p>
      <w:pPr>
        <w:spacing w:after="0"/>
      </w:pPr>
    </w:p>
    <w:p>
      <w:r>
        <w:t>Le script calcule une empreinte SHA-256 du dump et archive les pièces jointes locales. Il est conçu pour Docker local, pas pour Neon.</w:t>
      </w:r>
    </w:p>
    <w:p>
      <w:pPr>
        <w:pStyle w:val="Heading2"/>
        <w:keepNext/>
      </w:pPr>
      <w:r>
        <w:t>11.3 Production Neon et Blob</w:t>
      </w:r>
    </w:p>
    <w:p>
      <w:pPr>
        <w:pStyle w:val="ListNumber"/>
      </w:pPr>
      <w:r>
        <w:t>Activer et comprendre la restauration temporelle proposée par le plan Neon utilisé.</w:t>
      </w:r>
    </w:p>
    <w:p>
      <w:pPr>
        <w:pStyle w:val="ListNumber"/>
      </w:pPr>
      <w:r>
        <w:t>Produire un pg_dump chiffré vers un compte de sauvegarde distinct de Neon.</w:t>
      </w:r>
    </w:p>
    <w:p>
      <w:pPr>
        <w:pStyle w:val="ListNumber"/>
      </w:pPr>
      <w:r>
        <w:t>Exporter régulièrement l’inventaire des objets Blob et conserver une seconde copie chiffrée des contrats critiques.</w:t>
      </w:r>
    </w:p>
    <w:p>
      <w:pPr>
        <w:pStyle w:val="ListNumber"/>
      </w:pPr>
      <w:r>
        <w:t>Tester chaque mois une restauration dans un projet Neon isolé, jamais directement sur la production.</w:t>
      </w:r>
    </w:p>
    <w:p>
      <w:pPr>
        <w:pStyle w:val="ListNumber"/>
      </w:pPr>
      <w:r>
        <w:t>Après restauration, contrôler /api/sante, les comptes, les totaux clients/contrats, les échéances, les encaissements et plusieurs fichiers.</w:t>
      </w:r>
    </w:p>
    <w:p>
      <w:pPr>
        <w:pStyle w:val="ListNumber"/>
      </w:pPr>
      <w:r>
        <w:t>Tracer date, opérateur, durée, résultat et anomalies de chaque exercice.</w:t>
      </w:r>
    </w:p>
    <w:p>
      <w:pPr>
        <w:pStyle w:val="Heading2"/>
        <w:keepNext/>
      </w:pPr>
      <w:r>
        <w:t>11.4 Procédure d’incident</w:t>
      </w:r>
    </w:p>
    <w:p>
      <w:pPr>
        <w:pStyle w:val="ListNumber"/>
      </w:pPr>
      <w:r>
        <w:t>Qualifier l’incident : disponibilité, corruption, fuite, erreur humaine ou fournisseur.</w:t>
      </w:r>
    </w:p>
    <w:p>
      <w:pPr>
        <w:pStyle w:val="ListNumber"/>
      </w:pPr>
      <w:r>
        <w:t>Geler les écritures si leur poursuite aggrave la situation.</w:t>
      </w:r>
    </w:p>
    <w:p>
      <w:pPr>
        <w:pStyle w:val="ListNumber"/>
      </w:pPr>
      <w:r>
        <w:t>Préserver logs, horodatages et identifiants de déploiement.</w:t>
      </w:r>
    </w:p>
    <w:p>
      <w:pPr>
        <w:pStyle w:val="ListNumber"/>
      </w:pPr>
      <w:r>
        <w:t>Choisir le dernier point de restauration conforme au RPO.</w:t>
      </w:r>
    </w:p>
    <w:p>
      <w:pPr>
        <w:pStyle w:val="ListNumber"/>
      </w:pPr>
      <w:r>
        <w:t>Restaurer dans un environnement isolé et effectuer les contrôles métier.</w:t>
      </w:r>
    </w:p>
    <w:p>
      <w:pPr>
        <w:pStyle w:val="ListNumber"/>
      </w:pPr>
      <w:r>
        <w:t>Basculer seulement après validation par un responsable métier et un responsable technique.</w:t>
      </w:r>
    </w:p>
    <w:p>
      <w:pPr>
        <w:pStyle w:val="ListNumber"/>
      </w:pPr>
      <w:r>
        <w:t>Documenter la cause racine et les actions empêchant la récidive.</w:t>
      </w:r>
    </w:p>
    <w:p>
      <w:pPr>
        <w:pStyle w:val="Heading1"/>
        <w:keepNext/>
      </w:pPr>
      <w:r>
        <w:t>12. Tests et processus de livraison</w:t>
      </w:r>
    </w:p>
    <w:p>
      <w:r>
        <w:t>La suite actuelle utilise node:test et supertest. Elle couvre les autorisations, la propagation de l’organisation, l’isolation RLS sur base locale, l’audit et certains effets d’archivage. Les tests destructifs sont volontairement ignorés sur une base distante.</w:t>
      </w:r>
    </w:p>
    <w:tbl>
      <w:tblPr>
        <w:tblW w:type="auto" w:w="0"/>
        <w:tblLook w:firstColumn="1" w:firstRow="1" w:lastColumn="0" w:lastRow="0" w:noHBand="0" w:noVBand="1" w:val="04A0"/>
      </w:tblPr>
      <w:tblGrid>
        <w:gridCol w:w="9972"/>
      </w:tblGrid>
      <w:tr>
        <w:tc>
          <w:tcPr>
            <w:tcW w:type="dxa" w:w="9972"/>
            <w:shd w:fill="17211F"/>
            <w:tcMar>
              <w:top w:w="110" w:type="dxa"/>
              <w:start w:w="140" w:type="dxa"/>
              <w:bottom w:w="110" w:type="dxa"/>
              <w:end w:w="140" w:type="dxa"/>
            </w:tcMar>
          </w:tcPr>
          <w:p>
            <w:pPr>
              <w:spacing w:after="0"/>
            </w:pPr>
            <w:r>
              <w:rPr>
                <w:rFonts w:ascii="Consolas" w:hAnsi="Consolas" w:eastAsia="Consolas"/>
                <w:color w:val="EBF4F1"/>
                <w:sz w:val="16"/>
              </w:rPr>
              <w:t>npm ci</w:t>
              <w:br/>
              <w:t>npm test</w:t>
              <w:br/>
              <w:t>node --check src/server.js</w:t>
              <w:br/>
              <w:t>git diff --check</w:t>
            </w:r>
          </w:p>
        </w:tc>
      </w:tr>
    </w:tbl>
    <w:p>
      <w:pPr>
        <w:spacing w:after="0"/>
      </w:pPr>
    </w:p>
    <w:p>
      <w:pPr>
        <w:pStyle w:val="Heading2"/>
        <w:keepNext/>
      </w:pPr>
      <w:r>
        <w:t>12.1 Pipeline CI cible</w:t>
      </w:r>
    </w:p>
    <w:p>
      <w:pPr>
        <w:pStyle w:val="ListNumber"/>
      </w:pPr>
      <w:r>
        <w:t>Installation reproductible avec npm ci.</w:t>
      </w:r>
    </w:p>
    <w:p>
      <w:pPr>
        <w:pStyle w:val="ListNumber"/>
      </w:pPr>
      <w:r>
        <w:t>Analyse statique, formatage et audit des dépendances.</w:t>
      </w:r>
    </w:p>
    <w:p>
      <w:pPr>
        <w:pStyle w:val="ListNumber"/>
      </w:pPr>
      <w:r>
        <w:t>Tests unitaires sans base.</w:t>
      </w:r>
    </w:p>
    <w:p>
      <w:pPr>
        <w:pStyle w:val="ListNumber"/>
      </w:pPr>
      <w:r>
        <w:t>Tests d’intégration sur PostgreSQL éphémère avec migration complète.</w:t>
      </w:r>
    </w:p>
    <w:p>
      <w:pPr>
        <w:pStyle w:val="ListNumber"/>
      </w:pPr>
      <w:r>
        <w:t>Tests E2E Playwright : connexion, client, contrat, échéance, paiement, archivage et PDF.</w:t>
      </w:r>
    </w:p>
    <w:p>
      <w:pPr>
        <w:pStyle w:val="ListNumber"/>
      </w:pPr>
      <w:r>
        <w:t>Test explicite de fuite entre deux organisations.</w:t>
      </w:r>
    </w:p>
    <w:p>
      <w:pPr>
        <w:pStyle w:val="ListNumber"/>
      </w:pPr>
      <w:r>
        <w:t>Build et Preview Vercel.</w:t>
      </w:r>
    </w:p>
    <w:p>
      <w:pPr>
        <w:pStyle w:val="ListNumber"/>
      </w:pPr>
      <w:r>
        <w:t>Migration de production exécutée comme étape contrôlée et journalisée.</w:t>
      </w:r>
    </w:p>
    <w:p>
      <w:pPr>
        <w:pStyle w:val="ListNumber"/>
      </w:pPr>
      <w:r>
        <w:t>Smoke tests sur /api/sante et les parcours essentiels.</w:t>
      </w:r>
    </w:p>
    <w:p>
      <w:pPr>
        <w:pStyle w:val="ListNumber"/>
      </w:pPr>
      <w:r>
        <w:t>Possibilité de revenir au déploiement précédent sans annuler une migration destructive non compatible.</w:t>
      </w:r>
    </w:p>
    <w:p>
      <w:pPr>
        <w:pStyle w:val="Heading2"/>
        <w:keepNext/>
      </w:pPr>
      <w:r>
        <w:t>12.2 Règle de migration</w:t>
      </w:r>
    </w:p>
    <w:p>
      <w:r>
        <w:t>Le schéma actuel est un fichier SQL idempotent sans historique de versions. À long terme, adopter des migrations numérotées et immuables. Utiliser la stratégie expand/contract : ajouter d’abord les nouveaux champs compatibles, déployer le code, migrer les données, puis supprimer les anciens champs dans une version ultérieure.</w:t>
      </w:r>
    </w:p>
    <w:p>
      <w:pPr>
        <w:pStyle w:val="Heading1"/>
        <w:keepNext/>
      </w:pPr>
      <w:r>
        <w:t>13. Supervision et exploitation</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1984"/>
            <w:shd w:fill="073B34"/>
            <w:tcMar>
              <w:top w:w="90" w:type="dxa"/>
              <w:start w:w="110" w:type="dxa"/>
              <w:bottom w:w="90" w:type="dxa"/>
              <w:end w:w="110" w:type="dxa"/>
            </w:tcMar>
            <w:vAlign w:val="center"/>
          </w:tcPr>
          <w:p>
            <w:r>
              <w:rPr>
                <w:b/>
                <w:color w:val="FFFFFF"/>
                <w:sz w:val="18"/>
              </w:rPr>
              <w:t>Signal</w:t>
            </w:r>
          </w:p>
        </w:tc>
        <w:tc>
          <w:tcPr>
            <w:tcW w:type="dxa" w:w="2835"/>
            <w:shd w:fill="073B34"/>
            <w:tcMar>
              <w:top w:w="90" w:type="dxa"/>
              <w:start w:w="110" w:type="dxa"/>
              <w:bottom w:w="90" w:type="dxa"/>
              <w:end w:w="110" w:type="dxa"/>
            </w:tcMar>
            <w:vAlign w:val="center"/>
          </w:tcPr>
          <w:p>
            <w:r>
              <w:rPr>
                <w:b/>
                <w:color w:val="FFFFFF"/>
                <w:sz w:val="18"/>
              </w:rPr>
              <w:t>Seuil ou contrôle</w:t>
            </w:r>
          </w:p>
        </w:tc>
        <w:tc>
          <w:tcPr>
            <w:tcW w:type="dxa" w:w="4536"/>
            <w:shd w:fill="073B34"/>
            <w:tcMar>
              <w:top w:w="90" w:type="dxa"/>
              <w:start w:w="110" w:type="dxa"/>
              <w:bottom w:w="90" w:type="dxa"/>
              <w:end w:w="110" w:type="dxa"/>
            </w:tcMar>
            <w:vAlign w:val="center"/>
          </w:tcPr>
          <w:p>
            <w:r>
              <w:rPr>
                <w:b/>
                <w:color w:val="FFFFFF"/>
                <w:sz w:val="18"/>
              </w:rPr>
              <w:t>Action</w:t>
            </w:r>
          </w:p>
        </w:tc>
      </w:tr>
      <w:tr>
        <w:tc>
          <w:tcPr>
            <w:tcW w:type="dxa" w:w="1984"/>
            <w:tcMar>
              <w:top w:w="90" w:type="dxa"/>
              <w:start w:w="110" w:type="dxa"/>
              <w:bottom w:w="90" w:type="dxa"/>
              <w:end w:w="110" w:type="dxa"/>
            </w:tcMar>
            <w:vAlign w:val="top"/>
          </w:tcPr>
          <w:p>
            <w:pPr>
              <w:spacing w:after="0"/>
            </w:pPr>
            <w:r>
              <w:rPr>
                <w:sz w:val="17"/>
              </w:rPr>
              <w:t>Disponibilité</w:t>
            </w:r>
          </w:p>
        </w:tc>
        <w:tc>
          <w:tcPr>
            <w:tcW w:type="dxa" w:w="2835"/>
            <w:tcMar>
              <w:top w:w="90" w:type="dxa"/>
              <w:start w:w="110" w:type="dxa"/>
              <w:bottom w:w="90" w:type="dxa"/>
              <w:end w:w="110" w:type="dxa"/>
            </w:tcMar>
            <w:vAlign w:val="top"/>
          </w:tcPr>
          <w:p>
            <w:pPr>
              <w:spacing w:after="0"/>
            </w:pPr>
            <w:r>
              <w:rPr>
                <w:sz w:val="17"/>
              </w:rPr>
              <w:t>/api/sante toutes les minutes</w:t>
            </w:r>
          </w:p>
        </w:tc>
        <w:tc>
          <w:tcPr>
            <w:tcW w:type="dxa" w:w="4536"/>
            <w:tcMar>
              <w:top w:w="90" w:type="dxa"/>
              <w:start w:w="110" w:type="dxa"/>
              <w:bottom w:w="90" w:type="dxa"/>
              <w:end w:w="110" w:type="dxa"/>
            </w:tcMar>
            <w:vAlign w:val="top"/>
          </w:tcPr>
          <w:p>
            <w:pPr>
              <w:spacing w:after="0"/>
            </w:pPr>
            <w:r>
              <w:rPr>
                <w:sz w:val="17"/>
              </w:rPr>
              <w:t>Alerter après plusieurs échecs consécutifs.</w:t>
            </w:r>
          </w:p>
        </w:tc>
      </w:tr>
      <w:tr>
        <w:tc>
          <w:tcPr>
            <w:tcW w:type="dxa" w:w="1984"/>
            <w:tcMar>
              <w:top w:w="90" w:type="dxa"/>
              <w:start w:w="110" w:type="dxa"/>
              <w:bottom w:w="90" w:type="dxa"/>
              <w:end w:w="110" w:type="dxa"/>
            </w:tcMar>
            <w:vAlign w:val="top"/>
            <w:shd w:fill="F2F5F4"/>
          </w:tcPr>
          <w:p>
            <w:pPr>
              <w:spacing w:after="0"/>
            </w:pPr>
            <w:r>
              <w:rPr>
                <w:sz w:val="17"/>
              </w:rPr>
              <w:t>Erreurs HTTP</w:t>
            </w:r>
          </w:p>
        </w:tc>
        <w:tc>
          <w:tcPr>
            <w:tcW w:type="dxa" w:w="2835"/>
            <w:tcMar>
              <w:top w:w="90" w:type="dxa"/>
              <w:start w:w="110" w:type="dxa"/>
              <w:bottom w:w="90" w:type="dxa"/>
              <w:end w:w="110" w:type="dxa"/>
            </w:tcMar>
            <w:vAlign w:val="top"/>
            <w:shd w:fill="F2F5F4"/>
          </w:tcPr>
          <w:p>
            <w:pPr>
              <w:spacing w:after="0"/>
            </w:pPr>
            <w:r>
              <w:rPr>
                <w:sz w:val="17"/>
              </w:rPr>
              <w:t>Taux 5xx et 429</w:t>
            </w:r>
          </w:p>
        </w:tc>
        <w:tc>
          <w:tcPr>
            <w:tcW w:type="dxa" w:w="4536"/>
            <w:tcMar>
              <w:top w:w="90" w:type="dxa"/>
              <w:start w:w="110" w:type="dxa"/>
              <w:bottom w:w="90" w:type="dxa"/>
              <w:end w:w="110" w:type="dxa"/>
            </w:tcMar>
            <w:vAlign w:val="top"/>
            <w:shd w:fill="F2F5F4"/>
          </w:tcPr>
          <w:p>
            <w:pPr>
              <w:spacing w:after="0"/>
            </w:pPr>
            <w:r>
              <w:rPr>
                <w:sz w:val="17"/>
              </w:rPr>
              <w:t>Examiner logs Vercel avec correlation_id.</w:t>
            </w:r>
          </w:p>
        </w:tc>
      </w:tr>
      <w:tr>
        <w:tc>
          <w:tcPr>
            <w:tcW w:type="dxa" w:w="1984"/>
            <w:tcMar>
              <w:top w:w="90" w:type="dxa"/>
              <w:start w:w="110" w:type="dxa"/>
              <w:bottom w:w="90" w:type="dxa"/>
              <w:end w:w="110" w:type="dxa"/>
            </w:tcMar>
            <w:vAlign w:val="top"/>
          </w:tcPr>
          <w:p>
            <w:pPr>
              <w:spacing w:after="0"/>
            </w:pPr>
            <w:r>
              <w:rPr>
                <w:sz w:val="17"/>
              </w:rPr>
              <w:t>Latence</w:t>
            </w:r>
          </w:p>
        </w:tc>
        <w:tc>
          <w:tcPr>
            <w:tcW w:type="dxa" w:w="2835"/>
            <w:tcMar>
              <w:top w:w="90" w:type="dxa"/>
              <w:start w:w="110" w:type="dxa"/>
              <w:bottom w:w="90" w:type="dxa"/>
              <w:end w:w="110" w:type="dxa"/>
            </w:tcMar>
            <w:vAlign w:val="top"/>
          </w:tcPr>
          <w:p>
            <w:pPr>
              <w:spacing w:after="0"/>
            </w:pPr>
            <w:r>
              <w:rPr>
                <w:sz w:val="17"/>
              </w:rPr>
              <w:t>p50, p95, p99 des API</w:t>
            </w:r>
          </w:p>
        </w:tc>
        <w:tc>
          <w:tcPr>
            <w:tcW w:type="dxa" w:w="4536"/>
            <w:tcMar>
              <w:top w:w="90" w:type="dxa"/>
              <w:start w:w="110" w:type="dxa"/>
              <w:bottom w:w="90" w:type="dxa"/>
              <w:end w:w="110" w:type="dxa"/>
            </w:tcMar>
            <w:vAlign w:val="top"/>
          </w:tcPr>
          <w:p>
            <w:pPr>
              <w:spacing w:after="0"/>
            </w:pPr>
            <w:r>
              <w:rPr>
                <w:sz w:val="17"/>
              </w:rPr>
              <w:t>Analyser requêtes lentes et saturation du pool.</w:t>
            </w:r>
          </w:p>
        </w:tc>
      </w:tr>
      <w:tr>
        <w:tc>
          <w:tcPr>
            <w:tcW w:type="dxa" w:w="1984"/>
            <w:tcMar>
              <w:top w:w="90" w:type="dxa"/>
              <w:start w:w="110" w:type="dxa"/>
              <w:bottom w:w="90" w:type="dxa"/>
              <w:end w:w="110" w:type="dxa"/>
            </w:tcMar>
            <w:vAlign w:val="top"/>
            <w:shd w:fill="F2F5F4"/>
          </w:tcPr>
          <w:p>
            <w:pPr>
              <w:spacing w:after="0"/>
            </w:pPr>
            <w:r>
              <w:rPr>
                <w:sz w:val="17"/>
              </w:rPr>
              <w:t>PostgreSQL</w:t>
            </w:r>
          </w:p>
        </w:tc>
        <w:tc>
          <w:tcPr>
            <w:tcW w:type="dxa" w:w="2835"/>
            <w:tcMar>
              <w:top w:w="90" w:type="dxa"/>
              <w:start w:w="110" w:type="dxa"/>
              <w:bottom w:w="90" w:type="dxa"/>
              <w:end w:w="110" w:type="dxa"/>
            </w:tcMar>
            <w:vAlign w:val="top"/>
            <w:shd w:fill="F2F5F4"/>
          </w:tcPr>
          <w:p>
            <w:pPr>
              <w:spacing w:after="0"/>
            </w:pPr>
            <w:r>
              <w:rPr>
                <w:sz w:val="17"/>
              </w:rPr>
              <w:t>Connexions, CPU, stockage, requêtes lentes</w:t>
            </w:r>
          </w:p>
        </w:tc>
        <w:tc>
          <w:tcPr>
            <w:tcW w:type="dxa" w:w="4536"/>
            <w:tcMar>
              <w:top w:w="90" w:type="dxa"/>
              <w:start w:w="110" w:type="dxa"/>
              <w:bottom w:w="90" w:type="dxa"/>
              <w:end w:w="110" w:type="dxa"/>
            </w:tcMar>
            <w:vAlign w:val="top"/>
            <w:shd w:fill="F2F5F4"/>
          </w:tcPr>
          <w:p>
            <w:pPr>
              <w:spacing w:after="0"/>
            </w:pPr>
            <w:r>
              <w:rPr>
                <w:sz w:val="17"/>
              </w:rPr>
              <w:t>Ajuster pool/index et archiver si nécessaire.</w:t>
            </w:r>
          </w:p>
        </w:tc>
      </w:tr>
      <w:tr>
        <w:tc>
          <w:tcPr>
            <w:tcW w:type="dxa" w:w="1984"/>
            <w:tcMar>
              <w:top w:w="90" w:type="dxa"/>
              <w:start w:w="110" w:type="dxa"/>
              <w:bottom w:w="90" w:type="dxa"/>
              <w:end w:w="110" w:type="dxa"/>
            </w:tcMar>
            <w:vAlign w:val="top"/>
          </w:tcPr>
          <w:p>
            <w:pPr>
              <w:spacing w:after="0"/>
            </w:pPr>
            <w:r>
              <w:rPr>
                <w:sz w:val="17"/>
              </w:rPr>
              <w:t>Blob</w:t>
            </w:r>
          </w:p>
        </w:tc>
        <w:tc>
          <w:tcPr>
            <w:tcW w:type="dxa" w:w="2835"/>
            <w:tcMar>
              <w:top w:w="90" w:type="dxa"/>
              <w:start w:w="110" w:type="dxa"/>
              <w:bottom w:w="90" w:type="dxa"/>
              <w:end w:w="110" w:type="dxa"/>
            </w:tcMar>
            <w:vAlign w:val="top"/>
          </w:tcPr>
          <w:p>
            <w:pPr>
              <w:spacing w:after="0"/>
            </w:pPr>
            <w:r>
              <w:rPr>
                <w:sz w:val="17"/>
              </w:rPr>
              <w:t>Volume, erreurs put/get/delete</w:t>
            </w:r>
          </w:p>
        </w:tc>
        <w:tc>
          <w:tcPr>
            <w:tcW w:type="dxa" w:w="4536"/>
            <w:tcMar>
              <w:top w:w="90" w:type="dxa"/>
              <w:start w:w="110" w:type="dxa"/>
              <w:bottom w:w="90" w:type="dxa"/>
              <w:end w:w="110" w:type="dxa"/>
            </w:tcMar>
            <w:vAlign w:val="top"/>
          </w:tcPr>
          <w:p>
            <w:pPr>
              <w:spacing w:after="0"/>
            </w:pPr>
            <w:r>
              <w:rPr>
                <w:sz w:val="17"/>
              </w:rPr>
              <w:t>Vérifier token, quota et cohérence DB/objets.</w:t>
            </w:r>
          </w:p>
        </w:tc>
      </w:tr>
      <w:tr>
        <w:tc>
          <w:tcPr>
            <w:tcW w:type="dxa" w:w="1984"/>
            <w:tcMar>
              <w:top w:w="90" w:type="dxa"/>
              <w:start w:w="110" w:type="dxa"/>
              <w:bottom w:w="90" w:type="dxa"/>
              <w:end w:w="110" w:type="dxa"/>
            </w:tcMar>
            <w:vAlign w:val="top"/>
            <w:shd w:fill="F2F5F4"/>
          </w:tcPr>
          <w:p>
            <w:pPr>
              <w:spacing w:after="0"/>
            </w:pPr>
            <w:r>
              <w:rPr>
                <w:sz w:val="17"/>
              </w:rPr>
              <w:t>Métier</w:t>
            </w:r>
          </w:p>
        </w:tc>
        <w:tc>
          <w:tcPr>
            <w:tcW w:type="dxa" w:w="2835"/>
            <w:tcMar>
              <w:top w:w="90" w:type="dxa"/>
              <w:start w:w="110" w:type="dxa"/>
              <w:bottom w:w="90" w:type="dxa"/>
              <w:end w:w="110" w:type="dxa"/>
            </w:tcMar>
            <w:vAlign w:val="top"/>
            <w:shd w:fill="F2F5F4"/>
          </w:tcPr>
          <w:p>
            <w:pPr>
              <w:spacing w:after="0"/>
            </w:pPr>
            <w:r>
              <w:rPr>
                <w:sz w:val="17"/>
              </w:rPr>
              <w:t>Échéances en retard et relances non traitées</w:t>
            </w:r>
          </w:p>
        </w:tc>
        <w:tc>
          <w:tcPr>
            <w:tcW w:type="dxa" w:w="4536"/>
            <w:tcMar>
              <w:top w:w="90" w:type="dxa"/>
              <w:start w:w="110" w:type="dxa"/>
              <w:bottom w:w="90" w:type="dxa"/>
              <w:end w:w="110" w:type="dxa"/>
            </w:tcMar>
            <w:vAlign w:val="top"/>
            <w:shd w:fill="F2F5F4"/>
          </w:tcPr>
          <w:p>
            <w:pPr>
              <w:spacing w:after="0"/>
            </w:pPr>
            <w:r>
              <w:rPr>
                <w:sz w:val="17"/>
              </w:rPr>
              <w:t>Alerter le responsable opérationnel.</w:t>
            </w:r>
          </w:p>
        </w:tc>
      </w:tr>
      <w:tr>
        <w:tc>
          <w:tcPr>
            <w:tcW w:type="dxa" w:w="1984"/>
            <w:tcMar>
              <w:top w:w="90" w:type="dxa"/>
              <w:start w:w="110" w:type="dxa"/>
              <w:bottom w:w="90" w:type="dxa"/>
              <w:end w:w="110" w:type="dxa"/>
            </w:tcMar>
            <w:vAlign w:val="top"/>
          </w:tcPr>
          <w:p>
            <w:pPr>
              <w:spacing w:after="0"/>
            </w:pPr>
            <w:r>
              <w:rPr>
                <w:sz w:val="17"/>
              </w:rPr>
              <w:t>Sauvegarde</w:t>
            </w:r>
          </w:p>
        </w:tc>
        <w:tc>
          <w:tcPr>
            <w:tcW w:type="dxa" w:w="2835"/>
            <w:tcMar>
              <w:top w:w="90" w:type="dxa"/>
              <w:start w:w="110" w:type="dxa"/>
              <w:bottom w:w="90" w:type="dxa"/>
              <w:end w:w="110" w:type="dxa"/>
            </w:tcMar>
            <w:vAlign w:val="top"/>
          </w:tcPr>
          <w:p>
            <w:pPr>
              <w:spacing w:after="0"/>
            </w:pPr>
            <w:r>
              <w:rPr>
                <w:sz w:val="17"/>
              </w:rPr>
              <w:t>Dernier succès et dernier test de restauration</w:t>
            </w:r>
          </w:p>
        </w:tc>
        <w:tc>
          <w:tcPr>
            <w:tcW w:type="dxa" w:w="4536"/>
            <w:tcMar>
              <w:top w:w="90" w:type="dxa"/>
              <w:start w:w="110" w:type="dxa"/>
              <w:bottom w:w="90" w:type="dxa"/>
              <w:end w:w="110" w:type="dxa"/>
            </w:tcMar>
            <w:vAlign w:val="top"/>
          </w:tcPr>
          <w:p>
            <w:pPr>
              <w:spacing w:after="0"/>
            </w:pPr>
            <w:r>
              <w:rPr>
                <w:sz w:val="17"/>
              </w:rPr>
              <w:t>Incident immédiat si fenêtre RPO dépassée.</w:t>
            </w:r>
          </w:p>
        </w:tc>
      </w:tr>
    </w:tbl>
    <w:p>
      <w:pPr>
        <w:spacing w:after="0"/>
      </w:pPr>
    </w:p>
    <w:p>
      <w:pPr>
        <w:pStyle w:val="ListBullet"/>
      </w:pPr>
      <w:r>
        <w:t>Ajouter un identifiant de corrélation à chaque requête et le retourner dans les erreurs.</w:t>
      </w:r>
    </w:p>
    <w:p>
      <w:pPr>
        <w:pStyle w:val="ListBullet"/>
      </w:pPr>
      <w:r>
        <w:t>Centraliser les erreurs avec Sentry ou un outil équivalent, sans données personnelles ni secrets.</w:t>
      </w:r>
    </w:p>
    <w:p>
      <w:pPr>
        <w:pStyle w:val="ListBullet"/>
      </w:pPr>
      <w:r>
        <w:t>Configurer une surveillance externe de disponibilité.</w:t>
      </w:r>
    </w:p>
    <w:p>
      <w:pPr>
        <w:pStyle w:val="ListBullet"/>
      </w:pPr>
      <w:r>
        <w:t>Créer un tableau de bord technique séparé du tableau de bord métier.</w:t>
      </w:r>
    </w:p>
    <w:p>
      <w:pPr>
        <w:pStyle w:val="ListBullet"/>
      </w:pPr>
      <w:r>
        <w:t>Définir un responsable d’astreinte et une procédure d’escalade.</w:t>
      </w:r>
    </w:p>
    <w:p>
      <w:pPr>
        <w:pStyle w:val="Heading1"/>
        <w:keepNext/>
      </w:pPr>
      <w:r>
        <w:t>14. Plan de montée en charge</w:t>
      </w:r>
    </w:p>
    <w:p>
      <w:r>
        <w:t>Quelques milliers d’utilisateurs sont réalistes si la montée en charge est pilotée. Le facteur déterminant n’est pas seulement le nombre de comptes, mais le nombre de requêtes simultanées, le volume des contrats, la fréquence des tableaux de bord et la taille des documents.</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1417"/>
            <w:shd w:fill="073B34"/>
            <w:tcMar>
              <w:top w:w="90" w:type="dxa"/>
              <w:start w:w="110" w:type="dxa"/>
              <w:bottom w:w="90" w:type="dxa"/>
              <w:end w:w="110" w:type="dxa"/>
            </w:tcMar>
            <w:vAlign w:val="center"/>
          </w:tcPr>
          <w:p>
            <w:r>
              <w:rPr>
                <w:b/>
                <w:color w:val="FFFFFF"/>
                <w:sz w:val="18"/>
              </w:rPr>
              <w:t>Étape</w:t>
            </w:r>
          </w:p>
        </w:tc>
        <w:tc>
          <w:tcPr>
            <w:tcW w:type="dxa" w:w="2551"/>
            <w:shd w:fill="073B34"/>
            <w:tcMar>
              <w:top w:w="90" w:type="dxa"/>
              <w:start w:w="110" w:type="dxa"/>
              <w:bottom w:w="90" w:type="dxa"/>
              <w:end w:w="110" w:type="dxa"/>
            </w:tcMar>
            <w:vAlign w:val="center"/>
          </w:tcPr>
          <w:p>
            <w:r>
              <w:rPr>
                <w:b/>
                <w:color w:val="FFFFFF"/>
                <w:sz w:val="18"/>
              </w:rPr>
              <w:t>Déclencheur</w:t>
            </w:r>
          </w:p>
        </w:tc>
        <w:tc>
          <w:tcPr>
            <w:tcW w:type="dxa" w:w="5386"/>
            <w:shd w:fill="073B34"/>
            <w:tcMar>
              <w:top w:w="90" w:type="dxa"/>
              <w:start w:w="110" w:type="dxa"/>
              <w:bottom w:w="90" w:type="dxa"/>
              <w:end w:w="110" w:type="dxa"/>
            </w:tcMar>
            <w:vAlign w:val="center"/>
          </w:tcPr>
          <w:p>
            <w:r>
              <w:rPr>
                <w:b/>
                <w:color w:val="FFFFFF"/>
                <w:sz w:val="18"/>
              </w:rPr>
              <w:t>Actions</w:t>
            </w:r>
          </w:p>
        </w:tc>
      </w:tr>
      <w:tr>
        <w:tc>
          <w:tcPr>
            <w:tcW w:type="dxa" w:w="1417"/>
            <w:tcMar>
              <w:top w:w="90" w:type="dxa"/>
              <w:start w:w="110" w:type="dxa"/>
              <w:bottom w:w="90" w:type="dxa"/>
              <w:end w:w="110" w:type="dxa"/>
            </w:tcMar>
            <w:vAlign w:val="top"/>
          </w:tcPr>
          <w:p>
            <w:pPr>
              <w:spacing w:after="0"/>
            </w:pPr>
            <w:r>
              <w:rPr>
                <w:sz w:val="17"/>
              </w:rPr>
              <w:t>Niveau 1</w:t>
            </w:r>
          </w:p>
        </w:tc>
        <w:tc>
          <w:tcPr>
            <w:tcW w:type="dxa" w:w="2551"/>
            <w:tcMar>
              <w:top w:w="90" w:type="dxa"/>
              <w:start w:w="110" w:type="dxa"/>
              <w:bottom w:w="90" w:type="dxa"/>
              <w:end w:w="110" w:type="dxa"/>
            </w:tcMar>
            <w:vAlign w:val="top"/>
          </w:tcPr>
          <w:p>
            <w:pPr>
              <w:spacing w:after="0"/>
            </w:pPr>
            <w:r>
              <w:rPr>
                <w:sz w:val="17"/>
              </w:rPr>
              <w:t>Équipe interne, trafic faible</w:t>
            </w:r>
          </w:p>
        </w:tc>
        <w:tc>
          <w:tcPr>
            <w:tcW w:type="dxa" w:w="5386"/>
            <w:tcMar>
              <w:top w:w="90" w:type="dxa"/>
              <w:start w:w="110" w:type="dxa"/>
              <w:bottom w:w="90" w:type="dxa"/>
              <w:end w:w="110" w:type="dxa"/>
            </w:tcMar>
            <w:vAlign w:val="top"/>
          </w:tcPr>
          <w:p>
            <w:pPr>
              <w:spacing w:after="0"/>
            </w:pPr>
            <w:r>
              <w:rPr>
                <w:sz w:val="17"/>
              </w:rPr>
              <w:t>Conserver l’architecture ; sécuriser secrets, sauvegardes, migrations et monitoring.</w:t>
            </w:r>
          </w:p>
        </w:tc>
      </w:tr>
      <w:tr>
        <w:tc>
          <w:tcPr>
            <w:tcW w:type="dxa" w:w="1417"/>
            <w:tcMar>
              <w:top w:w="90" w:type="dxa"/>
              <w:start w:w="110" w:type="dxa"/>
              <w:bottom w:w="90" w:type="dxa"/>
              <w:end w:w="110" w:type="dxa"/>
            </w:tcMar>
            <w:vAlign w:val="top"/>
            <w:shd w:fill="F2F5F4"/>
          </w:tcPr>
          <w:p>
            <w:pPr>
              <w:spacing w:after="0"/>
            </w:pPr>
            <w:r>
              <w:rPr>
                <w:sz w:val="17"/>
              </w:rPr>
              <w:t>Niveau 2</w:t>
            </w:r>
          </w:p>
        </w:tc>
        <w:tc>
          <w:tcPr>
            <w:tcW w:type="dxa" w:w="2551"/>
            <w:tcMar>
              <w:top w:w="90" w:type="dxa"/>
              <w:start w:w="110" w:type="dxa"/>
              <w:bottom w:w="90" w:type="dxa"/>
              <w:end w:w="110" w:type="dxa"/>
            </w:tcMar>
            <w:vAlign w:val="top"/>
            <w:shd w:fill="F2F5F4"/>
          </w:tcPr>
          <w:p>
            <w:pPr>
              <w:spacing w:after="0"/>
            </w:pPr>
            <w:r>
              <w:rPr>
                <w:sz w:val="17"/>
              </w:rPr>
              <w:t>Centaines d’utilisateurs actifs</w:t>
            </w:r>
          </w:p>
        </w:tc>
        <w:tc>
          <w:tcPr>
            <w:tcW w:type="dxa" w:w="5386"/>
            <w:tcMar>
              <w:top w:w="90" w:type="dxa"/>
              <w:start w:w="110" w:type="dxa"/>
              <w:bottom w:w="90" w:type="dxa"/>
              <w:end w:w="110" w:type="dxa"/>
            </w:tcMar>
            <w:vAlign w:val="top"/>
            <w:shd w:fill="F2F5F4"/>
          </w:tcPr>
          <w:p>
            <w:pPr>
              <w:spacing w:after="0"/>
            </w:pPr>
            <w:r>
              <w:rPr>
                <w:sz w:val="17"/>
              </w:rPr>
              <w:t>Pool Neon borné, rate limit distribué, cache des référentiels, index issus de mesures, jobs asynchrones.</w:t>
            </w:r>
          </w:p>
        </w:tc>
      </w:tr>
      <w:tr>
        <w:tc>
          <w:tcPr>
            <w:tcW w:type="dxa" w:w="1417"/>
            <w:tcMar>
              <w:top w:w="90" w:type="dxa"/>
              <w:start w:w="110" w:type="dxa"/>
              <w:bottom w:w="90" w:type="dxa"/>
              <w:end w:w="110" w:type="dxa"/>
            </w:tcMar>
            <w:vAlign w:val="top"/>
          </w:tcPr>
          <w:p>
            <w:pPr>
              <w:spacing w:after="0"/>
            </w:pPr>
            <w:r>
              <w:rPr>
                <w:sz w:val="17"/>
              </w:rPr>
              <w:t>Niveau 3</w:t>
            </w:r>
          </w:p>
        </w:tc>
        <w:tc>
          <w:tcPr>
            <w:tcW w:type="dxa" w:w="2551"/>
            <w:tcMar>
              <w:top w:w="90" w:type="dxa"/>
              <w:start w:w="110" w:type="dxa"/>
              <w:bottom w:w="90" w:type="dxa"/>
              <w:end w:w="110" w:type="dxa"/>
            </w:tcMar>
            <w:vAlign w:val="top"/>
          </w:tcPr>
          <w:p>
            <w:pPr>
              <w:spacing w:after="0"/>
            </w:pPr>
            <w:r>
              <w:rPr>
                <w:sz w:val="17"/>
              </w:rPr>
              <w:t>Milliers d’utilisateurs</w:t>
            </w:r>
          </w:p>
        </w:tc>
        <w:tc>
          <w:tcPr>
            <w:tcW w:type="dxa" w:w="5386"/>
            <w:tcMar>
              <w:top w:w="90" w:type="dxa"/>
              <w:start w:w="110" w:type="dxa"/>
              <w:bottom w:w="90" w:type="dxa"/>
              <w:end w:w="110" w:type="dxa"/>
            </w:tcMar>
            <w:vAlign w:val="top"/>
          </w:tcPr>
          <w:p>
            <w:pPr>
              <w:spacing w:after="0"/>
            </w:pPr>
            <w:r>
              <w:rPr>
                <w:sz w:val="17"/>
              </w:rPr>
              <w:t>Tests de charge, files de messages, tableaux de bord pré-agrégés, quotas par organisation, observabilité complète.</w:t>
            </w:r>
          </w:p>
        </w:tc>
      </w:tr>
      <w:tr>
        <w:tc>
          <w:tcPr>
            <w:tcW w:type="dxa" w:w="1417"/>
            <w:tcMar>
              <w:top w:w="90" w:type="dxa"/>
              <w:start w:w="110" w:type="dxa"/>
              <w:bottom w:w="90" w:type="dxa"/>
              <w:end w:w="110" w:type="dxa"/>
            </w:tcMar>
            <w:vAlign w:val="top"/>
            <w:shd w:fill="F2F5F4"/>
          </w:tcPr>
          <w:p>
            <w:pPr>
              <w:spacing w:after="0"/>
            </w:pPr>
            <w:r>
              <w:rPr>
                <w:sz w:val="17"/>
              </w:rPr>
              <w:t>Niveau 4</w:t>
            </w:r>
          </w:p>
        </w:tc>
        <w:tc>
          <w:tcPr>
            <w:tcW w:type="dxa" w:w="2551"/>
            <w:tcMar>
              <w:top w:w="90" w:type="dxa"/>
              <w:start w:w="110" w:type="dxa"/>
              <w:bottom w:w="90" w:type="dxa"/>
              <w:end w:w="110" w:type="dxa"/>
            </w:tcMar>
            <w:vAlign w:val="top"/>
            <w:shd w:fill="F2F5F4"/>
          </w:tcPr>
          <w:p>
            <w:pPr>
              <w:spacing w:after="0"/>
            </w:pPr>
            <w:r>
              <w:rPr>
                <w:sz w:val="17"/>
              </w:rPr>
              <w:t>Forte croissance ou exigences fortes</w:t>
            </w:r>
          </w:p>
        </w:tc>
        <w:tc>
          <w:tcPr>
            <w:tcW w:type="dxa" w:w="5386"/>
            <w:tcMar>
              <w:top w:w="90" w:type="dxa"/>
              <w:start w:w="110" w:type="dxa"/>
              <w:bottom w:w="90" w:type="dxa"/>
              <w:end w:w="110" w:type="dxa"/>
            </w:tcMar>
            <w:vAlign w:val="top"/>
            <w:shd w:fill="F2F5F4"/>
          </w:tcPr>
          <w:p>
            <w:pPr>
              <w:spacing w:after="0"/>
            </w:pPr>
            <w:r>
              <w:rPr>
                <w:sz w:val="17"/>
              </w:rPr>
              <w:t>Séparer workers/API, stratégie multi-région, réplication, plan de reprise et revue d’architecture formelle.</w:t>
            </w:r>
          </w:p>
        </w:tc>
      </w:tr>
    </w:tbl>
    <w:p>
      <w:pPr>
        <w:spacing w:after="0"/>
      </w:pPr>
    </w:p>
    <w:p>
      <w:pPr>
        <w:pStyle w:val="Heading2"/>
        <w:keepNext/>
      </w:pPr>
      <w:r>
        <w:t>14.1 Base de données</w:t>
      </w:r>
    </w:p>
    <w:p>
      <w:pPr>
        <w:pStyle w:val="ListBullet"/>
      </w:pPr>
      <w:r>
        <w:t>Utiliser systématiquement le pooler Neon pour DATABASE_URL et limiter le nombre de connexions pg par instance.</w:t>
      </w:r>
    </w:p>
    <w:p>
      <w:pPr>
        <w:pStyle w:val="ListBullet"/>
      </w:pPr>
      <w:r>
        <w:t>Ajouter PG_POOL_MAX, délais de connexion et délais de requête configurables.</w:t>
      </w:r>
    </w:p>
    <w:p>
      <w:pPr>
        <w:pStyle w:val="ListBullet"/>
      </w:pPr>
      <w:r>
        <w:t>Mesurer avec pg_stat_statements avant d’ajouter des index.</w:t>
      </w:r>
    </w:p>
    <w:p>
      <w:pPr>
        <w:pStyle w:val="ListBullet"/>
      </w:pPr>
      <w:r>
        <w:t>Paginer toutes les listes et éviter les exports synchrones sans limite.</w:t>
      </w:r>
    </w:p>
    <w:p>
      <w:pPr>
        <w:pStyle w:val="ListBullet"/>
      </w:pPr>
      <w:r>
        <w:t>Pré-agréger le tableau de bord si son calcul devient coûteux.</w:t>
      </w:r>
    </w:p>
    <w:p>
      <w:pPr>
        <w:pStyle w:val="ListBullet"/>
      </w:pPr>
      <w:r>
        <w:t>Mettre en place des quotas et tests d’isolation pour chaque nouvelle table.</w:t>
      </w:r>
    </w:p>
    <w:p>
      <w:pPr>
        <w:pStyle w:val="Heading2"/>
        <w:keepNext/>
      </w:pPr>
      <w:r>
        <w:t>14.2 Traitements et fichiers</w:t>
      </w:r>
    </w:p>
    <w:p>
      <w:pPr>
        <w:pStyle w:val="ListBullet"/>
      </w:pPr>
      <w:r>
        <w:t>Déplacer relances, imports, exports volumineux et rapports vers des workers idempotents.</w:t>
      </w:r>
    </w:p>
    <w:p>
      <w:pPr>
        <w:pStyle w:val="ListBullet"/>
      </w:pPr>
      <w:r>
        <w:t>Utiliser une file avec retries, temporisation et file d’échec.</w:t>
      </w:r>
    </w:p>
    <w:p>
      <w:pPr>
        <w:pStyle w:val="ListBullet"/>
      </w:pPr>
      <w:r>
        <w:t>Pour des documents supérieurs à 4 Mo, utiliser un upload direct Blob avec jeton court signé par l’API.</w:t>
      </w:r>
    </w:p>
    <w:p>
      <w:pPr>
        <w:pStyle w:val="ListBullet"/>
      </w:pPr>
      <w:r>
        <w:t>Analyser les fichiers antivirus avant disponibilité et imposer une politique de rétention.</w:t>
      </w:r>
    </w:p>
    <w:p>
      <w:pPr>
        <w:pStyle w:val="ListBullet"/>
      </w:pPr>
      <w:r>
        <w:t>Contrôler périodiquement les objets orphelins et les métadonnées sans objet.</w:t>
      </w:r>
    </w:p>
    <w:p>
      <w:pPr>
        <w:pStyle w:val="Heading1"/>
        <w:keepNext/>
      </w:pPr>
      <w:r>
        <w:t>15. Feuille de route priorisée</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1474"/>
            <w:shd w:fill="073B34"/>
            <w:tcMar>
              <w:top w:w="90" w:type="dxa"/>
              <w:start w:w="110" w:type="dxa"/>
              <w:bottom w:w="90" w:type="dxa"/>
              <w:end w:w="110" w:type="dxa"/>
            </w:tcMar>
            <w:vAlign w:val="center"/>
          </w:tcPr>
          <w:p>
            <w:r>
              <w:rPr>
                <w:b/>
                <w:color w:val="FFFFFF"/>
                <w:sz w:val="18"/>
              </w:rPr>
              <w:t>Horizon</w:t>
            </w:r>
          </w:p>
        </w:tc>
        <w:tc>
          <w:tcPr>
            <w:tcW w:type="dxa" w:w="4649"/>
            <w:shd w:fill="073B34"/>
            <w:tcMar>
              <w:top w:w="90" w:type="dxa"/>
              <w:start w:w="110" w:type="dxa"/>
              <w:bottom w:w="90" w:type="dxa"/>
              <w:end w:w="110" w:type="dxa"/>
            </w:tcMar>
            <w:vAlign w:val="center"/>
          </w:tcPr>
          <w:p>
            <w:r>
              <w:rPr>
                <w:b/>
                <w:color w:val="FFFFFF"/>
                <w:sz w:val="18"/>
              </w:rPr>
              <w:t>Priorités</w:t>
            </w:r>
          </w:p>
        </w:tc>
        <w:tc>
          <w:tcPr>
            <w:tcW w:type="dxa" w:w="3231"/>
            <w:shd w:fill="073B34"/>
            <w:tcMar>
              <w:top w:w="90" w:type="dxa"/>
              <w:start w:w="110" w:type="dxa"/>
              <w:bottom w:w="90" w:type="dxa"/>
              <w:end w:w="110" w:type="dxa"/>
            </w:tcMar>
            <w:vAlign w:val="center"/>
          </w:tcPr>
          <w:p>
            <w:r>
              <w:rPr>
                <w:b/>
                <w:color w:val="FFFFFF"/>
                <w:sz w:val="18"/>
              </w:rPr>
              <w:t>Critère de sortie</w:t>
            </w:r>
          </w:p>
        </w:tc>
      </w:tr>
      <w:tr>
        <w:tc>
          <w:tcPr>
            <w:tcW w:type="dxa" w:w="1474"/>
            <w:tcMar>
              <w:top w:w="90" w:type="dxa"/>
              <w:start w:w="110" w:type="dxa"/>
              <w:bottom w:w="90" w:type="dxa"/>
              <w:end w:w="110" w:type="dxa"/>
            </w:tcMar>
            <w:vAlign w:val="top"/>
          </w:tcPr>
          <w:p>
            <w:pPr>
              <w:spacing w:after="0"/>
            </w:pPr>
            <w:r>
              <w:rPr>
                <w:sz w:val="17"/>
              </w:rPr>
              <w:t>0–30 jours</w:t>
            </w:r>
          </w:p>
        </w:tc>
        <w:tc>
          <w:tcPr>
            <w:tcW w:type="dxa" w:w="4649"/>
            <w:tcMar>
              <w:top w:w="90" w:type="dxa"/>
              <w:start w:w="110" w:type="dxa"/>
              <w:bottom w:w="90" w:type="dxa"/>
              <w:end w:w="110" w:type="dxa"/>
            </w:tcMar>
            <w:vAlign w:val="top"/>
          </w:tcPr>
          <w:p>
            <w:pPr>
              <w:spacing w:after="0"/>
            </w:pPr>
            <w:r>
              <w:rPr>
                <w:sz w:val="17"/>
              </w:rPr>
              <w:t>Rotation secrets ; Blob privé ; sauvegarde Neon ; contrôle des dates historiques ; réparer relances ; CI minimale ; monitoring disponibilité</w:t>
            </w:r>
          </w:p>
        </w:tc>
        <w:tc>
          <w:tcPr>
            <w:tcW w:type="dxa" w:w="3231"/>
            <w:tcMar>
              <w:top w:w="90" w:type="dxa"/>
              <w:start w:w="110" w:type="dxa"/>
              <w:bottom w:w="90" w:type="dxa"/>
              <w:end w:w="110" w:type="dxa"/>
            </w:tcMar>
            <w:vAlign w:val="top"/>
          </w:tcPr>
          <w:p>
            <w:pPr>
              <w:spacing w:after="0"/>
            </w:pPr>
            <w:r>
              <w:rPr>
                <w:sz w:val="17"/>
              </w:rPr>
              <w:t>Aucun secret exposé, restauration testée et parcours critiques surveillés.</w:t>
            </w:r>
          </w:p>
        </w:tc>
      </w:tr>
      <w:tr>
        <w:tc>
          <w:tcPr>
            <w:tcW w:type="dxa" w:w="1474"/>
            <w:tcMar>
              <w:top w:w="90" w:type="dxa"/>
              <w:start w:w="110" w:type="dxa"/>
              <w:bottom w:w="90" w:type="dxa"/>
              <w:end w:w="110" w:type="dxa"/>
            </w:tcMar>
            <w:vAlign w:val="top"/>
            <w:shd w:fill="F2F5F4"/>
          </w:tcPr>
          <w:p>
            <w:pPr>
              <w:spacing w:after="0"/>
            </w:pPr>
            <w:r>
              <w:rPr>
                <w:sz w:val="17"/>
              </w:rPr>
              <w:t>1–3 mois</w:t>
            </w:r>
          </w:p>
        </w:tc>
        <w:tc>
          <w:tcPr>
            <w:tcW w:type="dxa" w:w="4649"/>
            <w:tcMar>
              <w:top w:w="90" w:type="dxa"/>
              <w:start w:w="110" w:type="dxa"/>
              <w:bottom w:w="90" w:type="dxa"/>
              <w:end w:w="110" w:type="dxa"/>
            </w:tcMar>
            <w:vAlign w:val="top"/>
            <w:shd w:fill="F2F5F4"/>
          </w:tcPr>
          <w:p>
            <w:pPr>
              <w:spacing w:after="0"/>
            </w:pPr>
            <w:r>
              <w:rPr>
                <w:sz w:val="17"/>
              </w:rPr>
              <w:t>Gestion utilisateurs ; rôle comptable ; super-admin séparé ; MFA ; reset mot de passe ; migrations versionnées ; E2E</w:t>
            </w:r>
          </w:p>
        </w:tc>
        <w:tc>
          <w:tcPr>
            <w:tcW w:type="dxa" w:w="3231"/>
            <w:tcMar>
              <w:top w:w="90" w:type="dxa"/>
              <w:start w:w="110" w:type="dxa"/>
              <w:bottom w:w="90" w:type="dxa"/>
              <w:end w:w="110" w:type="dxa"/>
            </w:tcMar>
            <w:vAlign w:val="top"/>
            <w:shd w:fill="F2F5F4"/>
          </w:tcPr>
          <w:p>
            <w:pPr>
              <w:spacing w:after="0"/>
            </w:pPr>
            <w:r>
              <w:rPr>
                <w:sz w:val="17"/>
              </w:rPr>
              <w:t>Droits validés automatiquement et comptes administrables sans SQL.</w:t>
            </w:r>
          </w:p>
        </w:tc>
      </w:tr>
      <w:tr>
        <w:tc>
          <w:tcPr>
            <w:tcW w:type="dxa" w:w="1474"/>
            <w:tcMar>
              <w:top w:w="90" w:type="dxa"/>
              <w:start w:w="110" w:type="dxa"/>
              <w:bottom w:w="90" w:type="dxa"/>
              <w:end w:w="110" w:type="dxa"/>
            </w:tcMar>
            <w:vAlign w:val="top"/>
          </w:tcPr>
          <w:p>
            <w:pPr>
              <w:spacing w:after="0"/>
            </w:pPr>
            <w:r>
              <w:rPr>
                <w:sz w:val="17"/>
              </w:rPr>
              <w:t>3–6 mois</w:t>
            </w:r>
          </w:p>
        </w:tc>
        <w:tc>
          <w:tcPr>
            <w:tcW w:type="dxa" w:w="4649"/>
            <w:tcMar>
              <w:top w:w="90" w:type="dxa"/>
              <w:start w:w="110" w:type="dxa"/>
              <w:bottom w:w="90" w:type="dxa"/>
              <w:end w:w="110" w:type="dxa"/>
            </w:tcMar>
            <w:vAlign w:val="top"/>
          </w:tcPr>
          <w:p>
            <w:pPr>
              <w:spacing w:after="0"/>
            </w:pPr>
            <w:r>
              <w:rPr>
                <w:sz w:val="17"/>
              </w:rPr>
              <w:t>Rate limit distribué ; sessions révocables ; CSP/CSRF ; antivirus ; logs structurés ; jobs asynchrones</w:t>
            </w:r>
          </w:p>
        </w:tc>
        <w:tc>
          <w:tcPr>
            <w:tcW w:type="dxa" w:w="3231"/>
            <w:tcMar>
              <w:top w:w="90" w:type="dxa"/>
              <w:start w:w="110" w:type="dxa"/>
              <w:bottom w:w="90" w:type="dxa"/>
              <w:end w:w="110" w:type="dxa"/>
            </w:tcMar>
            <w:vAlign w:val="top"/>
          </w:tcPr>
          <w:p>
            <w:pPr>
              <w:spacing w:after="0"/>
            </w:pPr>
            <w:r>
              <w:rPr>
                <w:sz w:val="17"/>
              </w:rPr>
              <w:t>Application sûre sur plusieurs instances et traitements fiables.</w:t>
            </w:r>
          </w:p>
        </w:tc>
      </w:tr>
      <w:tr>
        <w:tc>
          <w:tcPr>
            <w:tcW w:type="dxa" w:w="1474"/>
            <w:tcMar>
              <w:top w:w="90" w:type="dxa"/>
              <w:start w:w="110" w:type="dxa"/>
              <w:bottom w:w="90" w:type="dxa"/>
              <w:end w:w="110" w:type="dxa"/>
            </w:tcMar>
            <w:vAlign w:val="top"/>
            <w:shd w:fill="F2F5F4"/>
          </w:tcPr>
          <w:p>
            <w:pPr>
              <w:spacing w:after="0"/>
            </w:pPr>
            <w:r>
              <w:rPr>
                <w:sz w:val="17"/>
              </w:rPr>
              <w:t>6–12 mois</w:t>
            </w:r>
          </w:p>
        </w:tc>
        <w:tc>
          <w:tcPr>
            <w:tcW w:type="dxa" w:w="4649"/>
            <w:tcMar>
              <w:top w:w="90" w:type="dxa"/>
              <w:start w:w="110" w:type="dxa"/>
              <w:bottom w:w="90" w:type="dxa"/>
              <w:end w:w="110" w:type="dxa"/>
            </w:tcMar>
            <w:vAlign w:val="top"/>
            <w:shd w:fill="F2F5F4"/>
          </w:tcPr>
          <w:p>
            <w:pPr>
              <w:spacing w:after="0"/>
            </w:pPr>
            <w:r>
              <w:rPr>
                <w:sz w:val="17"/>
              </w:rPr>
              <w:t>Tests de charge ; pré-agrégations ; PRA complet ; quotas ; audit externe ; politique de données</w:t>
            </w:r>
          </w:p>
        </w:tc>
        <w:tc>
          <w:tcPr>
            <w:tcW w:type="dxa" w:w="3231"/>
            <w:tcMar>
              <w:top w:w="90" w:type="dxa"/>
              <w:start w:w="110" w:type="dxa"/>
              <w:bottom w:w="90" w:type="dxa"/>
              <w:end w:w="110" w:type="dxa"/>
            </w:tcMar>
            <w:vAlign w:val="top"/>
            <w:shd w:fill="F2F5F4"/>
          </w:tcPr>
          <w:p>
            <w:pPr>
              <w:spacing w:after="0"/>
            </w:pPr>
            <w:r>
              <w:rPr>
                <w:sz w:val="17"/>
              </w:rPr>
              <w:t>Capacité et reprise démontrées par des exercices mesurés.</w:t>
            </w:r>
          </w:p>
        </w:tc>
      </w:tr>
    </w:tbl>
    <w:p>
      <w:pPr>
        <w:spacing w:after="0"/>
      </w:pPr>
    </w:p>
    <w:p>
      <w:pPr>
        <w:pStyle w:val="Heading2"/>
        <w:keepNext/>
      </w:pPr>
      <w:r>
        <w:t>15.1 Backlog technique explicite</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2493"/>
        <w:gridCol w:w="2493"/>
        <w:gridCol w:w="2493"/>
        <w:gridCol w:w="2493"/>
      </w:tblGrid>
      <w:tr>
        <w:trPr>
          <w:tblHeader/>
        </w:trPr>
        <w:tc>
          <w:tcPr>
            <w:tcW w:type="dxa" w:w="850"/>
            <w:shd w:fill="073B34"/>
            <w:tcMar>
              <w:top w:w="90" w:type="dxa"/>
              <w:start w:w="110" w:type="dxa"/>
              <w:bottom w:w="90" w:type="dxa"/>
              <w:end w:w="110" w:type="dxa"/>
            </w:tcMar>
            <w:vAlign w:val="center"/>
          </w:tcPr>
          <w:p>
            <w:r>
              <w:rPr>
                <w:b/>
                <w:color w:val="FFFFFF"/>
                <w:sz w:val="18"/>
              </w:rPr>
              <w:t>ID</w:t>
            </w:r>
          </w:p>
        </w:tc>
        <w:tc>
          <w:tcPr>
            <w:tcW w:type="dxa" w:w="4819"/>
            <w:shd w:fill="073B34"/>
            <w:tcMar>
              <w:top w:w="90" w:type="dxa"/>
              <w:start w:w="110" w:type="dxa"/>
              <w:bottom w:w="90" w:type="dxa"/>
              <w:end w:w="110" w:type="dxa"/>
            </w:tcMar>
            <w:vAlign w:val="center"/>
          </w:tcPr>
          <w:p>
            <w:r>
              <w:rPr>
                <w:b/>
                <w:color w:val="FFFFFF"/>
                <w:sz w:val="18"/>
              </w:rPr>
              <w:t>Action</w:t>
            </w:r>
          </w:p>
        </w:tc>
        <w:tc>
          <w:tcPr>
            <w:tcW w:type="dxa" w:w="1247"/>
            <w:shd w:fill="073B34"/>
            <w:tcMar>
              <w:top w:w="90" w:type="dxa"/>
              <w:start w:w="110" w:type="dxa"/>
              <w:bottom w:w="90" w:type="dxa"/>
              <w:end w:w="110" w:type="dxa"/>
            </w:tcMar>
            <w:vAlign w:val="center"/>
          </w:tcPr>
          <w:p>
            <w:r>
              <w:rPr>
                <w:b/>
                <w:color w:val="FFFFFF"/>
                <w:sz w:val="18"/>
              </w:rPr>
              <w:t>Priorité</w:t>
            </w:r>
          </w:p>
        </w:tc>
        <w:tc>
          <w:tcPr>
            <w:tcW w:type="dxa" w:w="2438"/>
            <w:shd w:fill="073B34"/>
            <w:tcMar>
              <w:top w:w="90" w:type="dxa"/>
              <w:start w:w="110" w:type="dxa"/>
              <w:bottom w:w="90" w:type="dxa"/>
              <w:end w:w="110" w:type="dxa"/>
            </w:tcMar>
            <w:vAlign w:val="center"/>
          </w:tcPr>
          <w:p>
            <w:r>
              <w:rPr>
                <w:b/>
                <w:color w:val="FFFFFF"/>
                <w:sz w:val="18"/>
              </w:rPr>
              <w:t>Effort indicatif</w:t>
            </w:r>
          </w:p>
        </w:tc>
      </w:tr>
      <w:tr>
        <w:tc>
          <w:tcPr>
            <w:tcW w:type="dxa" w:w="850"/>
            <w:tcMar>
              <w:top w:w="90" w:type="dxa"/>
              <w:start w:w="110" w:type="dxa"/>
              <w:bottom w:w="90" w:type="dxa"/>
              <w:end w:w="110" w:type="dxa"/>
            </w:tcMar>
            <w:vAlign w:val="top"/>
          </w:tcPr>
          <w:p>
            <w:pPr>
              <w:spacing w:after="0"/>
            </w:pPr>
            <w:r>
              <w:rPr>
                <w:sz w:val="17"/>
              </w:rPr>
              <w:t>SEC-01</w:t>
            </w:r>
          </w:p>
        </w:tc>
        <w:tc>
          <w:tcPr>
            <w:tcW w:type="dxa" w:w="4819"/>
            <w:tcMar>
              <w:top w:w="90" w:type="dxa"/>
              <w:start w:w="110" w:type="dxa"/>
              <w:bottom w:w="90" w:type="dxa"/>
              <w:end w:w="110" w:type="dxa"/>
            </w:tcMar>
            <w:vAlign w:val="top"/>
          </w:tcPr>
          <w:p>
            <w:pPr>
              <w:spacing w:after="0"/>
            </w:pPr>
            <w:r>
              <w:rPr>
                <w:sz w:val="17"/>
              </w:rPr>
              <w:t>Faire tourner tous les secrets et mots de passe exposés</w:t>
            </w:r>
          </w:p>
        </w:tc>
        <w:tc>
          <w:tcPr>
            <w:tcW w:type="dxa" w:w="1247"/>
            <w:tcMar>
              <w:top w:w="90" w:type="dxa"/>
              <w:start w:w="110" w:type="dxa"/>
              <w:bottom w:w="90" w:type="dxa"/>
              <w:end w:w="110" w:type="dxa"/>
            </w:tcMar>
            <w:vAlign w:val="top"/>
          </w:tcPr>
          <w:p>
            <w:pPr>
              <w:spacing w:after="0"/>
            </w:pPr>
            <w:r>
              <w:rPr>
                <w:sz w:val="17"/>
              </w:rPr>
              <w:t>P0</w:t>
            </w:r>
          </w:p>
        </w:tc>
        <w:tc>
          <w:tcPr>
            <w:tcW w:type="dxa" w:w="2438"/>
            <w:tcMar>
              <w:top w:w="90" w:type="dxa"/>
              <w:start w:w="110" w:type="dxa"/>
              <w:bottom w:w="90" w:type="dxa"/>
              <w:end w:w="110" w:type="dxa"/>
            </w:tcMar>
            <w:vAlign w:val="top"/>
          </w:tcPr>
          <w:p>
            <w:pPr>
              <w:spacing w:after="0"/>
            </w:pPr>
            <w:r>
              <w:rPr>
                <w:sz w:val="17"/>
              </w:rPr>
              <w:t>0,5 jour</w:t>
            </w:r>
          </w:p>
        </w:tc>
      </w:tr>
      <w:tr>
        <w:tc>
          <w:tcPr>
            <w:tcW w:type="dxa" w:w="850"/>
            <w:tcMar>
              <w:top w:w="90" w:type="dxa"/>
              <w:start w:w="110" w:type="dxa"/>
              <w:bottom w:w="90" w:type="dxa"/>
              <w:end w:w="110" w:type="dxa"/>
            </w:tcMar>
            <w:vAlign w:val="top"/>
            <w:shd w:fill="F2F5F4"/>
          </w:tcPr>
          <w:p>
            <w:pPr>
              <w:spacing w:after="0"/>
            </w:pPr>
            <w:r>
              <w:rPr>
                <w:sz w:val="17"/>
              </w:rPr>
              <w:t>OPS-01</w:t>
            </w:r>
          </w:p>
        </w:tc>
        <w:tc>
          <w:tcPr>
            <w:tcW w:type="dxa" w:w="4819"/>
            <w:tcMar>
              <w:top w:w="90" w:type="dxa"/>
              <w:start w:w="110" w:type="dxa"/>
              <w:bottom w:w="90" w:type="dxa"/>
              <w:end w:w="110" w:type="dxa"/>
            </w:tcMar>
            <w:vAlign w:val="top"/>
            <w:shd w:fill="F2F5F4"/>
          </w:tcPr>
          <w:p>
            <w:pPr>
              <w:spacing w:after="0"/>
            </w:pPr>
            <w:r>
              <w:rPr>
                <w:sz w:val="17"/>
              </w:rPr>
              <w:t>Sauvegarde Neon + restauration de preuve</w:t>
            </w:r>
          </w:p>
        </w:tc>
        <w:tc>
          <w:tcPr>
            <w:tcW w:type="dxa" w:w="1247"/>
            <w:tcMar>
              <w:top w:w="90" w:type="dxa"/>
              <w:start w:w="110" w:type="dxa"/>
              <w:bottom w:w="90" w:type="dxa"/>
              <w:end w:w="110" w:type="dxa"/>
            </w:tcMar>
            <w:vAlign w:val="top"/>
            <w:shd w:fill="F2F5F4"/>
          </w:tcPr>
          <w:p>
            <w:pPr>
              <w:spacing w:after="0"/>
            </w:pPr>
            <w:r>
              <w:rPr>
                <w:sz w:val="17"/>
              </w:rPr>
              <w:t>P0</w:t>
            </w:r>
          </w:p>
        </w:tc>
        <w:tc>
          <w:tcPr>
            <w:tcW w:type="dxa" w:w="2438"/>
            <w:tcMar>
              <w:top w:w="90" w:type="dxa"/>
              <w:start w:w="110" w:type="dxa"/>
              <w:bottom w:w="90" w:type="dxa"/>
              <w:end w:w="110" w:type="dxa"/>
            </w:tcMar>
            <w:vAlign w:val="top"/>
            <w:shd w:fill="F2F5F4"/>
          </w:tcPr>
          <w:p>
            <w:pPr>
              <w:spacing w:after="0"/>
            </w:pPr>
            <w:r>
              <w:rPr>
                <w:sz w:val="17"/>
              </w:rPr>
              <w:t>1–2 jours</w:t>
            </w:r>
          </w:p>
        </w:tc>
      </w:tr>
      <w:tr>
        <w:tc>
          <w:tcPr>
            <w:tcW w:type="dxa" w:w="850"/>
            <w:tcMar>
              <w:top w:w="90" w:type="dxa"/>
              <w:start w:w="110" w:type="dxa"/>
              <w:bottom w:w="90" w:type="dxa"/>
              <w:end w:w="110" w:type="dxa"/>
            </w:tcMar>
            <w:vAlign w:val="top"/>
          </w:tcPr>
          <w:p>
            <w:pPr>
              <w:spacing w:after="0"/>
            </w:pPr>
            <w:r>
              <w:rPr>
                <w:sz w:val="17"/>
              </w:rPr>
              <w:t>MET-01</w:t>
            </w:r>
          </w:p>
        </w:tc>
        <w:tc>
          <w:tcPr>
            <w:tcW w:type="dxa" w:w="4819"/>
            <w:tcMar>
              <w:top w:w="90" w:type="dxa"/>
              <w:start w:w="110" w:type="dxa"/>
              <w:bottom w:w="90" w:type="dxa"/>
              <w:end w:w="110" w:type="dxa"/>
            </w:tcMar>
            <w:vAlign w:val="top"/>
          </w:tcPr>
          <w:p>
            <w:pPr>
              <w:spacing w:after="0"/>
            </w:pPr>
            <w:r>
              <w:rPr>
                <w:sz w:val="17"/>
              </w:rPr>
              <w:t>Contrôler et, si nécessaire, recalculer les dates techniques des anciens contrats</w:t>
            </w:r>
          </w:p>
        </w:tc>
        <w:tc>
          <w:tcPr>
            <w:tcW w:type="dxa" w:w="1247"/>
            <w:tcMar>
              <w:top w:w="90" w:type="dxa"/>
              <w:start w:w="110" w:type="dxa"/>
              <w:bottom w:w="90" w:type="dxa"/>
              <w:end w:w="110" w:type="dxa"/>
            </w:tcMar>
            <w:vAlign w:val="top"/>
          </w:tcPr>
          <w:p>
            <w:pPr>
              <w:spacing w:after="0"/>
            </w:pPr>
            <w:r>
              <w:rPr>
                <w:sz w:val="17"/>
              </w:rPr>
              <w:t>P0</w:t>
            </w:r>
          </w:p>
        </w:tc>
        <w:tc>
          <w:tcPr>
            <w:tcW w:type="dxa" w:w="2438"/>
            <w:tcMar>
              <w:top w:w="90" w:type="dxa"/>
              <w:start w:w="110" w:type="dxa"/>
              <w:bottom w:w="90" w:type="dxa"/>
              <w:end w:w="110" w:type="dxa"/>
            </w:tcMar>
            <w:vAlign w:val="top"/>
          </w:tcPr>
          <w:p>
            <w:pPr>
              <w:spacing w:after="0"/>
            </w:pPr>
            <w:r>
              <w:rPr>
                <w:sz w:val="17"/>
              </w:rPr>
              <w:t>1–2 jours</w:t>
            </w:r>
          </w:p>
        </w:tc>
      </w:tr>
      <w:tr>
        <w:tc>
          <w:tcPr>
            <w:tcW w:type="dxa" w:w="850"/>
            <w:tcMar>
              <w:top w:w="90" w:type="dxa"/>
              <w:start w:w="110" w:type="dxa"/>
              <w:bottom w:w="90" w:type="dxa"/>
              <w:end w:w="110" w:type="dxa"/>
            </w:tcMar>
            <w:vAlign w:val="top"/>
            <w:shd w:fill="F2F5F4"/>
          </w:tcPr>
          <w:p>
            <w:pPr>
              <w:spacing w:after="0"/>
            </w:pPr>
            <w:r>
              <w:rPr>
                <w:sz w:val="17"/>
              </w:rPr>
              <w:t>REL-01</w:t>
            </w:r>
          </w:p>
        </w:tc>
        <w:tc>
          <w:tcPr>
            <w:tcW w:type="dxa" w:w="4819"/>
            <w:tcMar>
              <w:top w:w="90" w:type="dxa"/>
              <w:start w:w="110" w:type="dxa"/>
              <w:bottom w:w="90" w:type="dxa"/>
              <w:end w:w="110" w:type="dxa"/>
            </w:tcMar>
            <w:vAlign w:val="top"/>
            <w:shd w:fill="F2F5F4"/>
          </w:tcPr>
          <w:p>
            <w:pPr>
              <w:spacing w:after="0"/>
            </w:pPr>
            <w:r>
              <w:rPr>
                <w:sz w:val="17"/>
              </w:rPr>
              <w:t>Créer et tester scripts/relances.js</w:t>
            </w:r>
          </w:p>
        </w:tc>
        <w:tc>
          <w:tcPr>
            <w:tcW w:type="dxa" w:w="1247"/>
            <w:tcMar>
              <w:top w:w="90" w:type="dxa"/>
              <w:start w:w="110" w:type="dxa"/>
              <w:bottom w:w="90" w:type="dxa"/>
              <w:end w:w="110" w:type="dxa"/>
            </w:tcMar>
            <w:vAlign w:val="top"/>
            <w:shd w:fill="F2F5F4"/>
          </w:tcPr>
          <w:p>
            <w:pPr>
              <w:spacing w:after="0"/>
            </w:pPr>
            <w:r>
              <w:rPr>
                <w:sz w:val="17"/>
              </w:rPr>
              <w:t>P1</w:t>
            </w:r>
          </w:p>
        </w:tc>
        <w:tc>
          <w:tcPr>
            <w:tcW w:type="dxa" w:w="2438"/>
            <w:tcMar>
              <w:top w:w="90" w:type="dxa"/>
              <w:start w:w="110" w:type="dxa"/>
              <w:bottom w:w="90" w:type="dxa"/>
              <w:end w:w="110" w:type="dxa"/>
            </w:tcMar>
            <w:vAlign w:val="top"/>
            <w:shd w:fill="F2F5F4"/>
          </w:tcPr>
          <w:p>
            <w:pPr>
              <w:spacing w:after="0"/>
            </w:pPr>
            <w:r>
              <w:rPr>
                <w:sz w:val="17"/>
              </w:rPr>
              <w:t>2–4 jours</w:t>
            </w:r>
          </w:p>
        </w:tc>
      </w:tr>
      <w:tr>
        <w:tc>
          <w:tcPr>
            <w:tcW w:type="dxa" w:w="850"/>
            <w:tcMar>
              <w:top w:w="90" w:type="dxa"/>
              <w:start w:w="110" w:type="dxa"/>
              <w:bottom w:w="90" w:type="dxa"/>
              <w:end w:w="110" w:type="dxa"/>
            </w:tcMar>
            <w:vAlign w:val="top"/>
          </w:tcPr>
          <w:p>
            <w:pPr>
              <w:spacing w:after="0"/>
            </w:pPr>
            <w:r>
              <w:rPr>
                <w:sz w:val="17"/>
              </w:rPr>
              <w:t>IAM-01</w:t>
            </w:r>
          </w:p>
        </w:tc>
        <w:tc>
          <w:tcPr>
            <w:tcW w:type="dxa" w:w="4819"/>
            <w:tcMar>
              <w:top w:w="90" w:type="dxa"/>
              <w:start w:w="110" w:type="dxa"/>
              <w:bottom w:w="90" w:type="dxa"/>
              <w:end w:w="110" w:type="dxa"/>
            </w:tcMar>
            <w:vAlign w:val="top"/>
          </w:tcPr>
          <w:p>
            <w:pPr>
              <w:spacing w:after="0"/>
            </w:pPr>
            <w:r>
              <w:rPr>
                <w:sz w:val="17"/>
              </w:rPr>
              <w:t>Écran utilisateurs + rôles comptable/super_admin</w:t>
            </w:r>
          </w:p>
        </w:tc>
        <w:tc>
          <w:tcPr>
            <w:tcW w:type="dxa" w:w="1247"/>
            <w:tcMar>
              <w:top w:w="90" w:type="dxa"/>
              <w:start w:w="110" w:type="dxa"/>
              <w:bottom w:w="90" w:type="dxa"/>
              <w:end w:w="110" w:type="dxa"/>
            </w:tcMar>
            <w:vAlign w:val="top"/>
          </w:tcPr>
          <w:p>
            <w:pPr>
              <w:spacing w:after="0"/>
            </w:pPr>
            <w:r>
              <w:rPr>
                <w:sz w:val="17"/>
              </w:rPr>
              <w:t>P1</w:t>
            </w:r>
          </w:p>
        </w:tc>
        <w:tc>
          <w:tcPr>
            <w:tcW w:type="dxa" w:w="2438"/>
            <w:tcMar>
              <w:top w:w="90" w:type="dxa"/>
              <w:start w:w="110" w:type="dxa"/>
              <w:bottom w:w="90" w:type="dxa"/>
              <w:end w:w="110" w:type="dxa"/>
            </w:tcMar>
            <w:vAlign w:val="top"/>
          </w:tcPr>
          <w:p>
            <w:pPr>
              <w:spacing w:after="0"/>
            </w:pPr>
            <w:r>
              <w:rPr>
                <w:sz w:val="17"/>
              </w:rPr>
              <w:t>5–10 jours</w:t>
            </w:r>
          </w:p>
        </w:tc>
      </w:tr>
      <w:tr>
        <w:tc>
          <w:tcPr>
            <w:tcW w:type="dxa" w:w="850"/>
            <w:tcMar>
              <w:top w:w="90" w:type="dxa"/>
              <w:start w:w="110" w:type="dxa"/>
              <w:bottom w:w="90" w:type="dxa"/>
              <w:end w:w="110" w:type="dxa"/>
            </w:tcMar>
            <w:vAlign w:val="top"/>
            <w:shd w:fill="F2F5F4"/>
          </w:tcPr>
          <w:p>
            <w:pPr>
              <w:spacing w:after="0"/>
            </w:pPr>
            <w:r>
              <w:rPr>
                <w:sz w:val="17"/>
              </w:rPr>
              <w:t>IAM-02</w:t>
            </w:r>
          </w:p>
        </w:tc>
        <w:tc>
          <w:tcPr>
            <w:tcW w:type="dxa" w:w="4819"/>
            <w:tcMar>
              <w:top w:w="90" w:type="dxa"/>
              <w:start w:w="110" w:type="dxa"/>
              <w:bottom w:w="90" w:type="dxa"/>
              <w:end w:w="110" w:type="dxa"/>
            </w:tcMar>
            <w:vAlign w:val="top"/>
            <w:shd w:fill="F2F5F4"/>
          </w:tcPr>
          <w:p>
            <w:pPr>
              <w:spacing w:after="0"/>
            </w:pPr>
            <w:r>
              <w:rPr>
                <w:sz w:val="17"/>
              </w:rPr>
              <w:t>MFA, reset et révocation de sessions</w:t>
            </w:r>
          </w:p>
        </w:tc>
        <w:tc>
          <w:tcPr>
            <w:tcW w:type="dxa" w:w="1247"/>
            <w:tcMar>
              <w:top w:w="90" w:type="dxa"/>
              <w:start w:w="110" w:type="dxa"/>
              <w:bottom w:w="90" w:type="dxa"/>
              <w:end w:w="110" w:type="dxa"/>
            </w:tcMar>
            <w:vAlign w:val="top"/>
            <w:shd w:fill="F2F5F4"/>
          </w:tcPr>
          <w:p>
            <w:pPr>
              <w:spacing w:after="0"/>
            </w:pPr>
            <w:r>
              <w:rPr>
                <w:sz w:val="17"/>
              </w:rPr>
              <w:t>P1</w:t>
            </w:r>
          </w:p>
        </w:tc>
        <w:tc>
          <w:tcPr>
            <w:tcW w:type="dxa" w:w="2438"/>
            <w:tcMar>
              <w:top w:w="90" w:type="dxa"/>
              <w:start w:w="110" w:type="dxa"/>
              <w:bottom w:w="90" w:type="dxa"/>
              <w:end w:w="110" w:type="dxa"/>
            </w:tcMar>
            <w:vAlign w:val="top"/>
            <w:shd w:fill="F2F5F4"/>
          </w:tcPr>
          <w:p>
            <w:pPr>
              <w:spacing w:after="0"/>
            </w:pPr>
            <w:r>
              <w:rPr>
                <w:sz w:val="17"/>
              </w:rPr>
              <w:t>5–10 jours</w:t>
            </w:r>
          </w:p>
        </w:tc>
      </w:tr>
      <w:tr>
        <w:tc>
          <w:tcPr>
            <w:tcW w:type="dxa" w:w="850"/>
            <w:tcMar>
              <w:top w:w="90" w:type="dxa"/>
              <w:start w:w="110" w:type="dxa"/>
              <w:bottom w:w="90" w:type="dxa"/>
              <w:end w:w="110" w:type="dxa"/>
            </w:tcMar>
            <w:vAlign w:val="top"/>
          </w:tcPr>
          <w:p>
            <w:pPr>
              <w:spacing w:after="0"/>
            </w:pPr>
            <w:r>
              <w:rPr>
                <w:sz w:val="17"/>
              </w:rPr>
              <w:t>DB-01</w:t>
            </w:r>
          </w:p>
        </w:tc>
        <w:tc>
          <w:tcPr>
            <w:tcW w:type="dxa" w:w="4819"/>
            <w:tcMar>
              <w:top w:w="90" w:type="dxa"/>
              <w:start w:w="110" w:type="dxa"/>
              <w:bottom w:w="90" w:type="dxa"/>
              <w:end w:w="110" w:type="dxa"/>
            </w:tcMar>
            <w:vAlign w:val="top"/>
          </w:tcPr>
          <w:p>
            <w:pPr>
              <w:spacing w:after="0"/>
            </w:pPr>
            <w:r>
              <w:rPr>
                <w:sz w:val="17"/>
              </w:rPr>
              <w:t>Migrations numérotées et pipeline</w:t>
            </w:r>
          </w:p>
        </w:tc>
        <w:tc>
          <w:tcPr>
            <w:tcW w:type="dxa" w:w="1247"/>
            <w:tcMar>
              <w:top w:w="90" w:type="dxa"/>
              <w:start w:w="110" w:type="dxa"/>
              <w:bottom w:w="90" w:type="dxa"/>
              <w:end w:w="110" w:type="dxa"/>
            </w:tcMar>
            <w:vAlign w:val="top"/>
          </w:tcPr>
          <w:p>
            <w:pPr>
              <w:spacing w:after="0"/>
            </w:pPr>
            <w:r>
              <w:rPr>
                <w:sz w:val="17"/>
              </w:rPr>
              <w:t>P1</w:t>
            </w:r>
          </w:p>
        </w:tc>
        <w:tc>
          <w:tcPr>
            <w:tcW w:type="dxa" w:w="2438"/>
            <w:tcMar>
              <w:top w:w="90" w:type="dxa"/>
              <w:start w:w="110" w:type="dxa"/>
              <w:bottom w:w="90" w:type="dxa"/>
              <w:end w:w="110" w:type="dxa"/>
            </w:tcMar>
            <w:vAlign w:val="top"/>
          </w:tcPr>
          <w:p>
            <w:pPr>
              <w:spacing w:after="0"/>
            </w:pPr>
            <w:r>
              <w:rPr>
                <w:sz w:val="17"/>
              </w:rPr>
              <w:t>3–5 jours</w:t>
            </w:r>
          </w:p>
        </w:tc>
      </w:tr>
      <w:tr>
        <w:tc>
          <w:tcPr>
            <w:tcW w:type="dxa" w:w="850"/>
            <w:tcMar>
              <w:top w:w="90" w:type="dxa"/>
              <w:start w:w="110" w:type="dxa"/>
              <w:bottom w:w="90" w:type="dxa"/>
              <w:end w:w="110" w:type="dxa"/>
            </w:tcMar>
            <w:vAlign w:val="top"/>
            <w:shd w:fill="F2F5F4"/>
          </w:tcPr>
          <w:p>
            <w:pPr>
              <w:spacing w:after="0"/>
            </w:pPr>
            <w:r>
              <w:rPr>
                <w:sz w:val="17"/>
              </w:rPr>
              <w:t>OBS-01</w:t>
            </w:r>
          </w:p>
        </w:tc>
        <w:tc>
          <w:tcPr>
            <w:tcW w:type="dxa" w:w="4819"/>
            <w:tcMar>
              <w:top w:w="90" w:type="dxa"/>
              <w:start w:w="110" w:type="dxa"/>
              <w:bottom w:w="90" w:type="dxa"/>
              <w:end w:w="110" w:type="dxa"/>
            </w:tcMar>
            <w:vAlign w:val="top"/>
            <w:shd w:fill="F2F5F4"/>
          </w:tcPr>
          <w:p>
            <w:pPr>
              <w:spacing w:after="0"/>
            </w:pPr>
            <w:r>
              <w:rPr>
                <w:sz w:val="17"/>
              </w:rPr>
              <w:t>Logs structurés, erreurs et alertes</w:t>
            </w:r>
          </w:p>
        </w:tc>
        <w:tc>
          <w:tcPr>
            <w:tcW w:type="dxa" w:w="1247"/>
            <w:tcMar>
              <w:top w:w="90" w:type="dxa"/>
              <w:start w:w="110" w:type="dxa"/>
              <w:bottom w:w="90" w:type="dxa"/>
              <w:end w:w="110" w:type="dxa"/>
            </w:tcMar>
            <w:vAlign w:val="top"/>
            <w:shd w:fill="F2F5F4"/>
          </w:tcPr>
          <w:p>
            <w:pPr>
              <w:spacing w:after="0"/>
            </w:pPr>
            <w:r>
              <w:rPr>
                <w:sz w:val="17"/>
              </w:rPr>
              <w:t>P1</w:t>
            </w:r>
          </w:p>
        </w:tc>
        <w:tc>
          <w:tcPr>
            <w:tcW w:type="dxa" w:w="2438"/>
            <w:tcMar>
              <w:top w:w="90" w:type="dxa"/>
              <w:start w:w="110" w:type="dxa"/>
              <w:bottom w:w="90" w:type="dxa"/>
              <w:end w:w="110" w:type="dxa"/>
            </w:tcMar>
            <w:vAlign w:val="top"/>
            <w:shd w:fill="F2F5F4"/>
          </w:tcPr>
          <w:p>
            <w:pPr>
              <w:spacing w:after="0"/>
            </w:pPr>
            <w:r>
              <w:rPr>
                <w:sz w:val="17"/>
              </w:rPr>
              <w:t>2–4 jours</w:t>
            </w:r>
          </w:p>
        </w:tc>
      </w:tr>
      <w:tr>
        <w:tc>
          <w:tcPr>
            <w:tcW w:type="dxa" w:w="850"/>
            <w:tcMar>
              <w:top w:w="90" w:type="dxa"/>
              <w:start w:w="110" w:type="dxa"/>
              <w:bottom w:w="90" w:type="dxa"/>
              <w:end w:w="110" w:type="dxa"/>
            </w:tcMar>
            <w:vAlign w:val="top"/>
          </w:tcPr>
          <w:p>
            <w:pPr>
              <w:spacing w:after="0"/>
            </w:pPr>
            <w:r>
              <w:rPr>
                <w:sz w:val="17"/>
              </w:rPr>
              <w:t>FIL-01</w:t>
            </w:r>
          </w:p>
        </w:tc>
        <w:tc>
          <w:tcPr>
            <w:tcW w:type="dxa" w:w="4819"/>
            <w:tcMar>
              <w:top w:w="90" w:type="dxa"/>
              <w:start w:w="110" w:type="dxa"/>
              <w:bottom w:w="90" w:type="dxa"/>
              <w:end w:w="110" w:type="dxa"/>
            </w:tcMar>
            <w:vAlign w:val="top"/>
          </w:tcPr>
          <w:p>
            <w:pPr>
              <w:spacing w:after="0"/>
            </w:pPr>
            <w:r>
              <w:rPr>
                <w:sz w:val="17"/>
              </w:rPr>
              <w:t>Validation binaire, antivirus et upload direct</w:t>
            </w:r>
          </w:p>
        </w:tc>
        <w:tc>
          <w:tcPr>
            <w:tcW w:type="dxa" w:w="1247"/>
            <w:tcMar>
              <w:top w:w="90" w:type="dxa"/>
              <w:start w:w="110" w:type="dxa"/>
              <w:bottom w:w="90" w:type="dxa"/>
              <w:end w:w="110" w:type="dxa"/>
            </w:tcMar>
            <w:vAlign w:val="top"/>
          </w:tcPr>
          <w:p>
            <w:pPr>
              <w:spacing w:after="0"/>
            </w:pPr>
            <w:r>
              <w:rPr>
                <w:sz w:val="17"/>
              </w:rPr>
              <w:t>P1</w:t>
            </w:r>
          </w:p>
        </w:tc>
        <w:tc>
          <w:tcPr>
            <w:tcW w:type="dxa" w:w="2438"/>
            <w:tcMar>
              <w:top w:w="90" w:type="dxa"/>
              <w:start w:w="110" w:type="dxa"/>
              <w:bottom w:w="90" w:type="dxa"/>
              <w:end w:w="110" w:type="dxa"/>
            </w:tcMar>
            <w:vAlign w:val="top"/>
          </w:tcPr>
          <w:p>
            <w:pPr>
              <w:spacing w:after="0"/>
            </w:pPr>
            <w:r>
              <w:rPr>
                <w:sz w:val="17"/>
              </w:rPr>
              <w:t>4–8 jours</w:t>
            </w:r>
          </w:p>
        </w:tc>
      </w:tr>
      <w:tr>
        <w:tc>
          <w:tcPr>
            <w:tcW w:type="dxa" w:w="850"/>
            <w:tcMar>
              <w:top w:w="90" w:type="dxa"/>
              <w:start w:w="110" w:type="dxa"/>
              <w:bottom w:w="90" w:type="dxa"/>
              <w:end w:w="110" w:type="dxa"/>
            </w:tcMar>
            <w:vAlign w:val="top"/>
            <w:shd w:fill="F2F5F4"/>
          </w:tcPr>
          <w:p>
            <w:pPr>
              <w:spacing w:after="0"/>
            </w:pPr>
            <w:r>
              <w:rPr>
                <w:sz w:val="17"/>
              </w:rPr>
              <w:t>QA-01</w:t>
            </w:r>
          </w:p>
        </w:tc>
        <w:tc>
          <w:tcPr>
            <w:tcW w:type="dxa" w:w="4819"/>
            <w:tcMar>
              <w:top w:w="90" w:type="dxa"/>
              <w:start w:w="110" w:type="dxa"/>
              <w:bottom w:w="90" w:type="dxa"/>
              <w:end w:w="110" w:type="dxa"/>
            </w:tcMar>
            <w:vAlign w:val="top"/>
            <w:shd w:fill="F2F5F4"/>
          </w:tcPr>
          <w:p>
            <w:pPr>
              <w:spacing w:after="0"/>
            </w:pPr>
            <w:r>
              <w:rPr>
                <w:sz w:val="17"/>
              </w:rPr>
              <w:t>Tests PostgreSQL éphémères et Playwright</w:t>
            </w:r>
          </w:p>
        </w:tc>
        <w:tc>
          <w:tcPr>
            <w:tcW w:type="dxa" w:w="1247"/>
            <w:tcMar>
              <w:top w:w="90" w:type="dxa"/>
              <w:start w:w="110" w:type="dxa"/>
              <w:bottom w:w="90" w:type="dxa"/>
              <w:end w:w="110" w:type="dxa"/>
            </w:tcMar>
            <w:vAlign w:val="top"/>
            <w:shd w:fill="F2F5F4"/>
          </w:tcPr>
          <w:p>
            <w:pPr>
              <w:spacing w:after="0"/>
            </w:pPr>
            <w:r>
              <w:rPr>
                <w:sz w:val="17"/>
              </w:rPr>
              <w:t>P1</w:t>
            </w:r>
          </w:p>
        </w:tc>
        <w:tc>
          <w:tcPr>
            <w:tcW w:type="dxa" w:w="2438"/>
            <w:tcMar>
              <w:top w:w="90" w:type="dxa"/>
              <w:start w:w="110" w:type="dxa"/>
              <w:bottom w:w="90" w:type="dxa"/>
              <w:end w:w="110" w:type="dxa"/>
            </w:tcMar>
            <w:vAlign w:val="top"/>
            <w:shd w:fill="F2F5F4"/>
          </w:tcPr>
          <w:p>
            <w:pPr>
              <w:spacing w:after="0"/>
            </w:pPr>
            <w:r>
              <w:rPr>
                <w:sz w:val="17"/>
              </w:rPr>
              <w:t>5–8 jours</w:t>
            </w:r>
          </w:p>
        </w:tc>
      </w:tr>
      <w:tr>
        <w:tc>
          <w:tcPr>
            <w:tcW w:type="dxa" w:w="850"/>
            <w:tcMar>
              <w:top w:w="90" w:type="dxa"/>
              <w:start w:w="110" w:type="dxa"/>
              <w:bottom w:w="90" w:type="dxa"/>
              <w:end w:w="110" w:type="dxa"/>
            </w:tcMar>
            <w:vAlign w:val="top"/>
          </w:tcPr>
          <w:p>
            <w:pPr>
              <w:spacing w:after="0"/>
            </w:pPr>
            <w:r>
              <w:rPr>
                <w:sz w:val="17"/>
              </w:rPr>
              <w:t>PERF-01</w:t>
            </w:r>
          </w:p>
        </w:tc>
        <w:tc>
          <w:tcPr>
            <w:tcW w:type="dxa" w:w="4819"/>
            <w:tcMar>
              <w:top w:w="90" w:type="dxa"/>
              <w:start w:w="110" w:type="dxa"/>
              <w:bottom w:w="90" w:type="dxa"/>
              <w:end w:w="110" w:type="dxa"/>
            </w:tcMar>
            <w:vAlign w:val="top"/>
          </w:tcPr>
          <w:p>
            <w:pPr>
              <w:spacing w:after="0"/>
            </w:pPr>
            <w:r>
              <w:rPr>
                <w:sz w:val="17"/>
              </w:rPr>
              <w:t>Pool, tests de charge et optimisation mesurée</w:t>
            </w:r>
          </w:p>
        </w:tc>
        <w:tc>
          <w:tcPr>
            <w:tcW w:type="dxa" w:w="1247"/>
            <w:tcMar>
              <w:top w:w="90" w:type="dxa"/>
              <w:start w:w="110" w:type="dxa"/>
              <w:bottom w:w="90" w:type="dxa"/>
              <w:end w:w="110" w:type="dxa"/>
            </w:tcMar>
            <w:vAlign w:val="top"/>
          </w:tcPr>
          <w:p>
            <w:pPr>
              <w:spacing w:after="0"/>
            </w:pPr>
            <w:r>
              <w:rPr>
                <w:sz w:val="17"/>
              </w:rPr>
              <w:t>P2</w:t>
            </w:r>
          </w:p>
        </w:tc>
        <w:tc>
          <w:tcPr>
            <w:tcW w:type="dxa" w:w="2438"/>
            <w:tcMar>
              <w:top w:w="90" w:type="dxa"/>
              <w:start w:w="110" w:type="dxa"/>
              <w:bottom w:w="90" w:type="dxa"/>
              <w:end w:w="110" w:type="dxa"/>
            </w:tcMar>
            <w:vAlign w:val="top"/>
          </w:tcPr>
          <w:p>
            <w:pPr>
              <w:spacing w:after="0"/>
            </w:pPr>
            <w:r>
              <w:rPr>
                <w:sz w:val="17"/>
              </w:rPr>
              <w:t>4–8 jours</w:t>
            </w:r>
          </w:p>
        </w:tc>
      </w:tr>
      <w:tr>
        <w:tc>
          <w:tcPr>
            <w:tcW w:type="dxa" w:w="850"/>
            <w:tcMar>
              <w:top w:w="90" w:type="dxa"/>
              <w:start w:w="110" w:type="dxa"/>
              <w:bottom w:w="90" w:type="dxa"/>
              <w:end w:w="110" w:type="dxa"/>
            </w:tcMar>
            <w:vAlign w:val="top"/>
            <w:shd w:fill="F2F5F4"/>
          </w:tcPr>
          <w:p>
            <w:pPr>
              <w:spacing w:after="0"/>
            </w:pPr>
            <w:r>
              <w:rPr>
                <w:sz w:val="17"/>
              </w:rPr>
              <w:t>DATA-01</w:t>
            </w:r>
          </w:p>
        </w:tc>
        <w:tc>
          <w:tcPr>
            <w:tcW w:type="dxa" w:w="4819"/>
            <w:tcMar>
              <w:top w:w="90" w:type="dxa"/>
              <w:start w:w="110" w:type="dxa"/>
              <w:bottom w:w="90" w:type="dxa"/>
              <w:end w:w="110" w:type="dxa"/>
            </w:tcMar>
            <w:vAlign w:val="top"/>
            <w:shd w:fill="F2F5F4"/>
          </w:tcPr>
          <w:p>
            <w:pPr>
              <w:spacing w:after="0"/>
            </w:pPr>
            <w:r>
              <w:rPr>
                <w:sz w:val="17"/>
              </w:rPr>
              <w:t>Décider puis migrer les champs de commission historiques</w:t>
            </w:r>
          </w:p>
        </w:tc>
        <w:tc>
          <w:tcPr>
            <w:tcW w:type="dxa" w:w="1247"/>
            <w:tcMar>
              <w:top w:w="90" w:type="dxa"/>
              <w:start w:w="110" w:type="dxa"/>
              <w:bottom w:w="90" w:type="dxa"/>
              <w:end w:w="110" w:type="dxa"/>
            </w:tcMar>
            <w:vAlign w:val="top"/>
            <w:shd w:fill="F2F5F4"/>
          </w:tcPr>
          <w:p>
            <w:pPr>
              <w:spacing w:after="0"/>
            </w:pPr>
            <w:r>
              <w:rPr>
                <w:sz w:val="17"/>
              </w:rPr>
              <w:t>P2</w:t>
            </w:r>
          </w:p>
        </w:tc>
        <w:tc>
          <w:tcPr>
            <w:tcW w:type="dxa" w:w="2438"/>
            <w:tcMar>
              <w:top w:w="90" w:type="dxa"/>
              <w:start w:w="110" w:type="dxa"/>
              <w:bottom w:w="90" w:type="dxa"/>
              <w:end w:w="110" w:type="dxa"/>
            </w:tcMar>
            <w:vAlign w:val="top"/>
            <w:shd w:fill="F2F5F4"/>
          </w:tcPr>
          <w:p>
            <w:pPr>
              <w:spacing w:after="0"/>
            </w:pPr>
            <w:r>
              <w:rPr>
                <w:sz w:val="17"/>
              </w:rPr>
              <w:t>1–3 jours</w:t>
            </w:r>
          </w:p>
        </w:tc>
      </w:tr>
    </w:tbl>
    <w:p>
      <w:pPr>
        <w:spacing w:after="0"/>
      </w:pPr>
    </w:p>
    <w:p>
      <w:pPr>
        <w:pStyle w:val="Heading1"/>
        <w:keepNext/>
      </w:pPr>
      <w:r>
        <w:t>16. Diagnostic des erreurs fréquentes</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2381"/>
            <w:shd w:fill="073B34"/>
            <w:tcMar>
              <w:top w:w="90" w:type="dxa"/>
              <w:start w:w="110" w:type="dxa"/>
              <w:bottom w:w="90" w:type="dxa"/>
              <w:end w:w="110" w:type="dxa"/>
            </w:tcMar>
            <w:vAlign w:val="center"/>
          </w:tcPr>
          <w:p>
            <w:r>
              <w:rPr>
                <w:b/>
                <w:color w:val="FFFFFF"/>
                <w:sz w:val="18"/>
              </w:rPr>
              <w:t>Symptôme</w:t>
            </w:r>
          </w:p>
        </w:tc>
        <w:tc>
          <w:tcPr>
            <w:tcW w:type="dxa" w:w="3288"/>
            <w:shd w:fill="073B34"/>
            <w:tcMar>
              <w:top w:w="90" w:type="dxa"/>
              <w:start w:w="110" w:type="dxa"/>
              <w:bottom w:w="90" w:type="dxa"/>
              <w:end w:w="110" w:type="dxa"/>
            </w:tcMar>
            <w:vAlign w:val="center"/>
          </w:tcPr>
          <w:p>
            <w:r>
              <w:rPr>
                <w:b/>
                <w:color w:val="FFFFFF"/>
                <w:sz w:val="18"/>
              </w:rPr>
              <w:t>Cause probable</w:t>
            </w:r>
          </w:p>
        </w:tc>
        <w:tc>
          <w:tcPr>
            <w:tcW w:type="dxa" w:w="4082"/>
            <w:shd w:fill="073B34"/>
            <w:tcMar>
              <w:top w:w="90" w:type="dxa"/>
              <w:start w:w="110" w:type="dxa"/>
              <w:bottom w:w="90" w:type="dxa"/>
              <w:end w:w="110" w:type="dxa"/>
            </w:tcMar>
            <w:vAlign w:val="center"/>
          </w:tcPr>
          <w:p>
            <w:r>
              <w:rPr>
                <w:b/>
                <w:color w:val="FFFFFF"/>
                <w:sz w:val="18"/>
              </w:rPr>
              <w:t>Correction</w:t>
            </w:r>
          </w:p>
        </w:tc>
      </w:tr>
      <w:tr>
        <w:tc>
          <w:tcPr>
            <w:tcW w:type="dxa" w:w="2381"/>
            <w:tcMar>
              <w:top w:w="90" w:type="dxa"/>
              <w:start w:w="110" w:type="dxa"/>
              <w:bottom w:w="90" w:type="dxa"/>
              <w:end w:w="110" w:type="dxa"/>
            </w:tcMar>
            <w:vAlign w:val="top"/>
          </w:tcPr>
          <w:p>
            <w:pPr>
              <w:spacing w:after="0"/>
            </w:pPr>
            <w:r>
              <w:rPr>
                <w:sz w:val="17"/>
              </w:rPr>
              <w:t>Base de données injoignable</w:t>
            </w:r>
          </w:p>
        </w:tc>
        <w:tc>
          <w:tcPr>
            <w:tcW w:type="dxa" w:w="3288"/>
            <w:tcMar>
              <w:top w:w="90" w:type="dxa"/>
              <w:start w:w="110" w:type="dxa"/>
              <w:bottom w:w="90" w:type="dxa"/>
              <w:end w:w="110" w:type="dxa"/>
            </w:tcMar>
            <w:vAlign w:val="top"/>
          </w:tcPr>
          <w:p>
            <w:pPr>
              <w:spacing w:after="0"/>
            </w:pPr>
            <w:r>
              <w:rPr>
                <w:sz w:val="17"/>
              </w:rPr>
              <w:t>DATABASE_URL incorrecte, rôle/mot de passe, SSL ou Neon suspendu</w:t>
            </w:r>
          </w:p>
        </w:tc>
        <w:tc>
          <w:tcPr>
            <w:tcW w:type="dxa" w:w="4082"/>
            <w:tcMar>
              <w:top w:w="90" w:type="dxa"/>
              <w:start w:w="110" w:type="dxa"/>
              <w:bottom w:w="90" w:type="dxa"/>
              <w:end w:w="110" w:type="dxa"/>
            </w:tcMar>
            <w:vAlign w:val="top"/>
          </w:tcPr>
          <w:p>
            <w:pPr>
              <w:spacing w:after="0"/>
            </w:pPr>
            <w:r>
              <w:rPr>
                <w:sz w:val="17"/>
              </w:rPr>
              <w:t>Tester la chaîne hors application, vérifier le pooler et redéployer après correction.</w:t>
            </w:r>
          </w:p>
        </w:tc>
      </w:tr>
      <w:tr>
        <w:tc>
          <w:tcPr>
            <w:tcW w:type="dxa" w:w="2381"/>
            <w:tcMar>
              <w:top w:w="90" w:type="dxa"/>
              <w:start w:w="110" w:type="dxa"/>
              <w:bottom w:w="90" w:type="dxa"/>
              <w:end w:w="110" w:type="dxa"/>
            </w:tcMar>
            <w:vAlign w:val="top"/>
            <w:shd w:fill="F2F5F4"/>
          </w:tcPr>
          <w:p>
            <w:pPr>
              <w:spacing w:after="0"/>
            </w:pPr>
            <w:r>
              <w:rPr>
                <w:sz w:val="17"/>
              </w:rPr>
              <w:t>401 sur /api/auth/moi</w:t>
            </w:r>
          </w:p>
        </w:tc>
        <w:tc>
          <w:tcPr>
            <w:tcW w:type="dxa" w:w="3288"/>
            <w:tcMar>
              <w:top w:w="90" w:type="dxa"/>
              <w:start w:w="110" w:type="dxa"/>
              <w:bottom w:w="90" w:type="dxa"/>
              <w:end w:w="110" w:type="dxa"/>
            </w:tcMar>
            <w:vAlign w:val="top"/>
            <w:shd w:fill="F2F5F4"/>
          </w:tcPr>
          <w:p>
            <w:pPr>
              <w:spacing w:after="0"/>
            </w:pPr>
            <w:r>
              <w:rPr>
                <w:sz w:val="17"/>
              </w:rPr>
              <w:t>Absence, expiration ou invalidation du cookie JWT</w:t>
            </w:r>
          </w:p>
        </w:tc>
        <w:tc>
          <w:tcPr>
            <w:tcW w:type="dxa" w:w="4082"/>
            <w:tcMar>
              <w:top w:w="90" w:type="dxa"/>
              <w:start w:w="110" w:type="dxa"/>
              <w:bottom w:w="90" w:type="dxa"/>
              <w:end w:w="110" w:type="dxa"/>
            </w:tcMar>
            <w:vAlign w:val="top"/>
            <w:shd w:fill="F2F5F4"/>
          </w:tcPr>
          <w:p>
            <w:pPr>
              <w:spacing w:after="0"/>
            </w:pPr>
            <w:r>
              <w:rPr>
                <w:sz w:val="17"/>
              </w:rPr>
              <w:t>Se reconnecter ; vérifier JWT_SECRET stable entre déploiements.</w:t>
            </w:r>
          </w:p>
        </w:tc>
      </w:tr>
      <w:tr>
        <w:tc>
          <w:tcPr>
            <w:tcW w:type="dxa" w:w="2381"/>
            <w:tcMar>
              <w:top w:w="90" w:type="dxa"/>
              <w:start w:w="110" w:type="dxa"/>
              <w:bottom w:w="90" w:type="dxa"/>
              <w:end w:w="110" w:type="dxa"/>
            </w:tcMar>
            <w:vAlign w:val="top"/>
          </w:tcPr>
          <w:p>
            <w:pPr>
              <w:spacing w:after="0"/>
            </w:pPr>
            <w:r>
              <w:rPr>
                <w:sz w:val="17"/>
              </w:rPr>
              <w:t>500 sur connexion</w:t>
            </w:r>
          </w:p>
        </w:tc>
        <w:tc>
          <w:tcPr>
            <w:tcW w:type="dxa" w:w="3288"/>
            <w:tcMar>
              <w:top w:w="90" w:type="dxa"/>
              <w:start w:w="110" w:type="dxa"/>
              <w:bottom w:w="90" w:type="dxa"/>
              <w:end w:w="110" w:type="dxa"/>
            </w:tcMar>
            <w:vAlign w:val="top"/>
          </w:tcPr>
          <w:p>
            <w:pPr>
              <w:spacing w:after="0"/>
            </w:pPr>
            <w:r>
              <w:rPr>
                <w:sz w:val="17"/>
              </w:rPr>
              <w:t>Erreur SQL, schéma incomplet ou audit sans organisation</w:t>
            </w:r>
          </w:p>
        </w:tc>
        <w:tc>
          <w:tcPr>
            <w:tcW w:type="dxa" w:w="4082"/>
            <w:tcMar>
              <w:top w:w="90" w:type="dxa"/>
              <w:start w:w="110" w:type="dxa"/>
              <w:bottom w:w="90" w:type="dxa"/>
              <w:end w:w="110" w:type="dxa"/>
            </w:tcMar>
            <w:vAlign w:val="top"/>
          </w:tcPr>
          <w:p>
            <w:pPr>
              <w:spacing w:after="0"/>
            </w:pPr>
            <w:r>
              <w:rPr>
                <w:sz w:val="17"/>
              </w:rPr>
              <w:t>Lire les logs Vercel et réappliquer le schéma avec le rôle de migration.</w:t>
            </w:r>
          </w:p>
        </w:tc>
      </w:tr>
      <w:tr>
        <w:tc>
          <w:tcPr>
            <w:tcW w:type="dxa" w:w="2381"/>
            <w:tcMar>
              <w:top w:w="90" w:type="dxa"/>
              <w:start w:w="110" w:type="dxa"/>
              <w:bottom w:w="90" w:type="dxa"/>
              <w:end w:w="110" w:type="dxa"/>
            </w:tcMar>
            <w:vAlign w:val="top"/>
            <w:shd w:fill="F2F5F4"/>
          </w:tcPr>
          <w:p>
            <w:pPr>
              <w:spacing w:after="0"/>
            </w:pPr>
            <w:r>
              <w:rPr>
                <w:sz w:val="17"/>
              </w:rPr>
              <w:t>permission denied for schema public</w:t>
            </w:r>
          </w:p>
        </w:tc>
        <w:tc>
          <w:tcPr>
            <w:tcW w:type="dxa" w:w="3288"/>
            <w:tcMar>
              <w:top w:w="90" w:type="dxa"/>
              <w:start w:w="110" w:type="dxa"/>
              <w:bottom w:w="90" w:type="dxa"/>
              <w:end w:w="110" w:type="dxa"/>
            </w:tcMar>
            <w:vAlign w:val="top"/>
            <w:shd w:fill="F2F5F4"/>
          </w:tcPr>
          <w:p>
            <w:pPr>
              <w:spacing w:after="0"/>
            </w:pPr>
            <w:r>
              <w:rPr>
                <w:sz w:val="17"/>
              </w:rPr>
              <w:t>Migration lancée avec courtier_app</w:t>
            </w:r>
          </w:p>
        </w:tc>
        <w:tc>
          <w:tcPr>
            <w:tcW w:type="dxa" w:w="4082"/>
            <w:tcMar>
              <w:top w:w="90" w:type="dxa"/>
              <w:start w:w="110" w:type="dxa"/>
              <w:bottom w:w="90" w:type="dxa"/>
              <w:end w:w="110" w:type="dxa"/>
            </w:tcMar>
            <w:vAlign w:val="top"/>
            <w:shd w:fill="F2F5F4"/>
          </w:tcPr>
          <w:p>
            <w:pPr>
              <w:spacing w:after="0"/>
            </w:pPr>
            <w:r>
              <w:rPr>
                <w:sz w:val="17"/>
              </w:rPr>
              <w:t>Utiliser MIGRATION_DATABASE_URL du propriétaire pour npm run migrate.</w:t>
            </w:r>
          </w:p>
        </w:tc>
      </w:tr>
      <w:tr>
        <w:tc>
          <w:tcPr>
            <w:tcW w:type="dxa" w:w="2381"/>
            <w:tcMar>
              <w:top w:w="90" w:type="dxa"/>
              <w:start w:w="110" w:type="dxa"/>
              <w:bottom w:w="90" w:type="dxa"/>
              <w:end w:w="110" w:type="dxa"/>
            </w:tcMar>
            <w:vAlign w:val="top"/>
          </w:tcPr>
          <w:p>
            <w:pPr>
              <w:spacing w:after="0"/>
            </w:pPr>
            <w:r>
              <w:rPr>
                <w:sz w:val="17"/>
              </w:rPr>
              <w:t>syntax error near npm</w:t>
            </w:r>
          </w:p>
        </w:tc>
        <w:tc>
          <w:tcPr>
            <w:tcW w:type="dxa" w:w="3288"/>
            <w:tcMar>
              <w:top w:w="90" w:type="dxa"/>
              <w:start w:w="110" w:type="dxa"/>
              <w:bottom w:w="90" w:type="dxa"/>
              <w:end w:w="110" w:type="dxa"/>
            </w:tcMar>
            <w:vAlign w:val="top"/>
          </w:tcPr>
          <w:p>
            <w:pPr>
              <w:spacing w:after="0"/>
            </w:pPr>
            <w:r>
              <w:rPr>
                <w:sz w:val="17"/>
              </w:rPr>
              <w:t>Commande npm saisie dans l’éditeur SQL</w:t>
            </w:r>
          </w:p>
        </w:tc>
        <w:tc>
          <w:tcPr>
            <w:tcW w:type="dxa" w:w="4082"/>
            <w:tcMar>
              <w:top w:w="90" w:type="dxa"/>
              <w:start w:w="110" w:type="dxa"/>
              <w:bottom w:w="90" w:type="dxa"/>
              <w:end w:w="110" w:type="dxa"/>
            </w:tcMar>
            <w:vAlign w:val="top"/>
          </w:tcPr>
          <w:p>
            <w:pPr>
              <w:spacing w:after="0"/>
            </w:pPr>
            <w:r>
              <w:rPr>
                <w:sz w:val="17"/>
              </w:rPr>
              <w:t>Exécuter npm dans PowerShell ; réserver l’éditeur Neon au SQL.</w:t>
            </w:r>
          </w:p>
        </w:tc>
      </w:tr>
      <w:tr>
        <w:tc>
          <w:tcPr>
            <w:tcW w:type="dxa" w:w="2381"/>
            <w:tcMar>
              <w:top w:w="90" w:type="dxa"/>
              <w:start w:w="110" w:type="dxa"/>
              <w:bottom w:w="90" w:type="dxa"/>
              <w:end w:w="110" w:type="dxa"/>
            </w:tcMar>
            <w:vAlign w:val="top"/>
            <w:shd w:fill="F2F5F4"/>
          </w:tcPr>
          <w:p>
            <w:pPr>
              <w:spacing w:after="0"/>
            </w:pPr>
            <w:r>
              <w:rPr>
                <w:sz w:val="17"/>
              </w:rPr>
              <w:t>insecure password</w:t>
            </w:r>
          </w:p>
        </w:tc>
        <w:tc>
          <w:tcPr>
            <w:tcW w:type="dxa" w:w="3288"/>
            <w:tcMar>
              <w:top w:w="90" w:type="dxa"/>
              <w:start w:w="110" w:type="dxa"/>
              <w:bottom w:w="90" w:type="dxa"/>
              <w:end w:w="110" w:type="dxa"/>
            </w:tcMar>
            <w:vAlign w:val="top"/>
            <w:shd w:fill="F2F5F4"/>
          </w:tcPr>
          <w:p>
            <w:pPr>
              <w:spacing w:after="0"/>
            </w:pPr>
            <w:r>
              <w:rPr>
                <w:sz w:val="17"/>
              </w:rPr>
              <w:t>Mot de passe de rôle refusé par Neon</w:t>
            </w:r>
          </w:p>
        </w:tc>
        <w:tc>
          <w:tcPr>
            <w:tcW w:type="dxa" w:w="4082"/>
            <w:tcMar>
              <w:top w:w="90" w:type="dxa"/>
              <w:start w:w="110" w:type="dxa"/>
              <w:bottom w:w="90" w:type="dxa"/>
              <w:end w:w="110" w:type="dxa"/>
            </w:tcMar>
            <w:vAlign w:val="top"/>
            <w:shd w:fill="F2F5F4"/>
          </w:tcPr>
          <w:p>
            <w:pPr>
              <w:spacing w:after="0"/>
            </w:pPr>
            <w:r>
              <w:rPr>
                <w:sz w:val="17"/>
              </w:rPr>
              <w:t>Générer un secret long et aléatoire avec plusieurs classes de caractères.</w:t>
            </w:r>
          </w:p>
        </w:tc>
      </w:tr>
      <w:tr>
        <w:tc>
          <w:tcPr>
            <w:tcW w:type="dxa" w:w="2381"/>
            <w:tcMar>
              <w:top w:w="90" w:type="dxa"/>
              <w:start w:w="110" w:type="dxa"/>
              <w:bottom w:w="90" w:type="dxa"/>
              <w:end w:w="110" w:type="dxa"/>
            </w:tcMar>
            <w:vAlign w:val="top"/>
          </w:tcPr>
          <w:p>
            <w:pPr>
              <w:spacing w:after="0"/>
            </w:pPr>
            <w:r>
              <w:rPr>
                <w:sz w:val="17"/>
              </w:rPr>
              <w:t>organisation_id null dans journal_audit</w:t>
            </w:r>
          </w:p>
        </w:tc>
        <w:tc>
          <w:tcPr>
            <w:tcW w:type="dxa" w:w="3288"/>
            <w:tcMar>
              <w:top w:w="90" w:type="dxa"/>
              <w:start w:w="110" w:type="dxa"/>
              <w:bottom w:w="90" w:type="dxa"/>
              <w:end w:w="110" w:type="dxa"/>
            </w:tcMar>
            <w:vAlign w:val="top"/>
          </w:tcPr>
          <w:p>
            <w:pPr>
              <w:spacing w:after="0"/>
            </w:pPr>
            <w:r>
              <w:rPr>
                <w:sz w:val="17"/>
              </w:rPr>
              <w:t>Contexte organisation absent ou schéma incomplet</w:t>
            </w:r>
          </w:p>
        </w:tc>
        <w:tc>
          <w:tcPr>
            <w:tcW w:type="dxa" w:w="4082"/>
            <w:tcMar>
              <w:top w:w="90" w:type="dxa"/>
              <w:start w:w="110" w:type="dxa"/>
              <w:bottom w:w="90" w:type="dxa"/>
              <w:end w:w="110" w:type="dxa"/>
            </w:tcMar>
            <w:vAlign w:val="top"/>
          </w:tcPr>
          <w:p>
            <w:pPr>
              <w:spacing w:after="0"/>
            </w:pPr>
            <w:r>
              <w:rPr>
                <w:sz w:val="17"/>
              </w:rPr>
              <w:t>Vérifier JWT organisationId, transaction et migration du schéma.</w:t>
            </w:r>
          </w:p>
        </w:tc>
      </w:tr>
      <w:tr>
        <w:tc>
          <w:tcPr>
            <w:tcW w:type="dxa" w:w="2381"/>
            <w:tcMar>
              <w:top w:w="90" w:type="dxa"/>
              <w:start w:w="110" w:type="dxa"/>
              <w:bottom w:w="90" w:type="dxa"/>
              <w:end w:w="110" w:type="dxa"/>
            </w:tcMar>
            <w:vAlign w:val="top"/>
            <w:shd w:fill="F2F5F4"/>
          </w:tcPr>
          <w:p>
            <w:pPr>
              <w:spacing w:after="0"/>
            </w:pPr>
            <w:r>
              <w:rPr>
                <w:sz w:val="17"/>
              </w:rPr>
              <w:t>Ajout PDF impossible</w:t>
            </w:r>
          </w:p>
        </w:tc>
        <w:tc>
          <w:tcPr>
            <w:tcW w:type="dxa" w:w="3288"/>
            <w:tcMar>
              <w:top w:w="90" w:type="dxa"/>
              <w:start w:w="110" w:type="dxa"/>
              <w:bottom w:w="90" w:type="dxa"/>
              <w:end w:w="110" w:type="dxa"/>
            </w:tcMar>
            <w:vAlign w:val="top"/>
            <w:shd w:fill="F2F5F4"/>
          </w:tcPr>
          <w:p>
            <w:pPr>
              <w:spacing w:after="0"/>
            </w:pPr>
            <w:r>
              <w:rPr>
                <w:sz w:val="17"/>
              </w:rPr>
              <w:t>Blob absent, driver local sur Vercel, token manquant ou fichier &gt; 4 Mo</w:t>
            </w:r>
          </w:p>
        </w:tc>
        <w:tc>
          <w:tcPr>
            <w:tcW w:type="dxa" w:w="4082"/>
            <w:tcMar>
              <w:top w:w="90" w:type="dxa"/>
              <w:start w:w="110" w:type="dxa"/>
              <w:bottom w:w="90" w:type="dxa"/>
              <w:end w:w="110" w:type="dxa"/>
            </w:tcMar>
            <w:vAlign w:val="top"/>
            <w:shd w:fill="F2F5F4"/>
          </w:tcPr>
          <w:p>
            <w:pPr>
              <w:spacing w:after="0"/>
            </w:pPr>
            <w:r>
              <w:rPr>
                <w:sz w:val="17"/>
              </w:rPr>
              <w:t>Store Blob Private, préfixe BLOB, jeton RW, STOCKAGE_DRIVER=vercel-blob, redéploiement.</w:t>
            </w:r>
          </w:p>
        </w:tc>
      </w:tr>
      <w:tr>
        <w:tc>
          <w:tcPr>
            <w:tcW w:type="dxa" w:w="2381"/>
            <w:tcMar>
              <w:top w:w="90" w:type="dxa"/>
              <w:start w:w="110" w:type="dxa"/>
              <w:bottom w:w="90" w:type="dxa"/>
              <w:end w:w="110" w:type="dxa"/>
            </w:tcMar>
            <w:vAlign w:val="top"/>
          </w:tcPr>
          <w:p>
            <w:pPr>
              <w:spacing w:after="0"/>
            </w:pPr>
            <w:r>
              <w:rPr>
                <w:sz w:val="17"/>
              </w:rPr>
              <w:t>Port 3000 occupé</w:t>
            </w:r>
          </w:p>
        </w:tc>
        <w:tc>
          <w:tcPr>
            <w:tcW w:type="dxa" w:w="3288"/>
            <w:tcMar>
              <w:top w:w="90" w:type="dxa"/>
              <w:start w:w="110" w:type="dxa"/>
              <w:bottom w:w="90" w:type="dxa"/>
              <w:end w:w="110" w:type="dxa"/>
            </w:tcMar>
            <w:vAlign w:val="top"/>
          </w:tcPr>
          <w:p>
            <w:pPr>
              <w:spacing w:after="0"/>
            </w:pPr>
            <w:r>
              <w:rPr>
                <w:sz w:val="17"/>
              </w:rPr>
              <w:t>Ancien processus en écoute</w:t>
            </w:r>
          </w:p>
        </w:tc>
        <w:tc>
          <w:tcPr>
            <w:tcW w:type="dxa" w:w="4082"/>
            <w:tcMar>
              <w:top w:w="90" w:type="dxa"/>
              <w:start w:w="110" w:type="dxa"/>
              <w:bottom w:w="90" w:type="dxa"/>
              <w:end w:w="110" w:type="dxa"/>
            </w:tcMar>
            <w:vAlign w:val="top"/>
          </w:tcPr>
          <w:p>
            <w:pPr>
              <w:spacing w:after="0"/>
            </w:pPr>
            <w:r>
              <w:rPr>
                <w:sz w:val="17"/>
              </w:rPr>
              <w:t>Identifier LISTENING avec netstat puis taskkill /PID ... /F.</w:t>
            </w:r>
          </w:p>
        </w:tc>
      </w:tr>
      <w:tr>
        <w:tc>
          <w:tcPr>
            <w:tcW w:type="dxa" w:w="2381"/>
            <w:tcMar>
              <w:top w:w="90" w:type="dxa"/>
              <w:start w:w="110" w:type="dxa"/>
              <w:bottom w:w="90" w:type="dxa"/>
              <w:end w:w="110" w:type="dxa"/>
            </w:tcMar>
            <w:vAlign w:val="top"/>
            <w:shd w:fill="F2F5F4"/>
          </w:tcPr>
          <w:p>
            <w:pPr>
              <w:spacing w:after="0"/>
            </w:pPr>
            <w:r>
              <w:rPr>
                <w:sz w:val="17"/>
              </w:rPr>
              <w:t>src refspec main does not match any</w:t>
            </w:r>
          </w:p>
        </w:tc>
        <w:tc>
          <w:tcPr>
            <w:tcW w:type="dxa" w:w="3288"/>
            <w:tcMar>
              <w:top w:w="90" w:type="dxa"/>
              <w:start w:w="110" w:type="dxa"/>
              <w:bottom w:w="90" w:type="dxa"/>
              <w:end w:w="110" w:type="dxa"/>
            </w:tcMar>
            <w:vAlign w:val="top"/>
            <w:shd w:fill="F2F5F4"/>
          </w:tcPr>
          <w:p>
            <w:pPr>
              <w:spacing w:after="0"/>
            </w:pPr>
            <w:r>
              <w:rPr>
                <w:sz w:val="17"/>
              </w:rPr>
              <w:t>Aucun commit local ou branche différente</w:t>
            </w:r>
          </w:p>
        </w:tc>
        <w:tc>
          <w:tcPr>
            <w:tcW w:type="dxa" w:w="4082"/>
            <w:tcMar>
              <w:top w:w="90" w:type="dxa"/>
              <w:start w:w="110" w:type="dxa"/>
              <w:bottom w:w="90" w:type="dxa"/>
              <w:end w:w="110" w:type="dxa"/>
            </w:tcMar>
            <w:vAlign w:val="top"/>
            <w:shd w:fill="F2F5F4"/>
          </w:tcPr>
          <w:p>
            <w:pPr>
              <w:spacing w:after="0"/>
            </w:pPr>
            <w:r>
              <w:rPr>
                <w:sz w:val="17"/>
              </w:rPr>
              <w:t>Créer le premier commit, renommer la branche main puis pousser.</w:t>
            </w:r>
          </w:p>
        </w:tc>
      </w:tr>
    </w:tbl>
    <w:p>
      <w:pPr>
        <w:spacing w:after="0"/>
      </w:pPr>
    </w:p>
    <w:p>
      <w:pPr>
        <w:pStyle w:val="Heading1"/>
        <w:keepNext/>
      </w:pPr>
      <w:r>
        <w:t>17. Contrôles réguliers</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4986"/>
        <w:gridCol w:w="4986"/>
      </w:tblGrid>
      <w:tr>
        <w:trPr>
          <w:tblHeader/>
        </w:trPr>
        <w:tc>
          <w:tcPr>
            <w:tcW w:type="dxa" w:w="1984"/>
            <w:shd w:fill="073B34"/>
            <w:tcMar>
              <w:top w:w="90" w:type="dxa"/>
              <w:start w:w="110" w:type="dxa"/>
              <w:bottom w:w="90" w:type="dxa"/>
              <w:end w:w="110" w:type="dxa"/>
            </w:tcMar>
            <w:vAlign w:val="center"/>
          </w:tcPr>
          <w:p>
            <w:r>
              <w:rPr>
                <w:b/>
                <w:color w:val="FFFFFF"/>
                <w:sz w:val="18"/>
              </w:rPr>
              <w:t>Fréquence</w:t>
            </w:r>
          </w:p>
        </w:tc>
        <w:tc>
          <w:tcPr>
            <w:tcW w:type="dxa" w:w="7371"/>
            <w:shd w:fill="073B34"/>
            <w:tcMar>
              <w:top w:w="90" w:type="dxa"/>
              <w:start w:w="110" w:type="dxa"/>
              <w:bottom w:w="90" w:type="dxa"/>
              <w:end w:w="110" w:type="dxa"/>
            </w:tcMar>
            <w:vAlign w:val="center"/>
          </w:tcPr>
          <w:p>
            <w:r>
              <w:rPr>
                <w:b/>
                <w:color w:val="FFFFFF"/>
                <w:sz w:val="18"/>
              </w:rPr>
              <w:t>Contrôles</w:t>
            </w:r>
          </w:p>
        </w:tc>
      </w:tr>
      <w:tr>
        <w:tc>
          <w:tcPr>
            <w:tcW w:type="dxa" w:w="1984"/>
            <w:tcMar>
              <w:top w:w="90" w:type="dxa"/>
              <w:start w:w="110" w:type="dxa"/>
              <w:bottom w:w="90" w:type="dxa"/>
              <w:end w:w="110" w:type="dxa"/>
            </w:tcMar>
            <w:vAlign w:val="top"/>
          </w:tcPr>
          <w:p>
            <w:pPr>
              <w:spacing w:after="0"/>
            </w:pPr>
            <w:r>
              <w:rPr>
                <w:sz w:val="17"/>
              </w:rPr>
              <w:t>Chaque jour</w:t>
            </w:r>
          </w:p>
        </w:tc>
        <w:tc>
          <w:tcPr>
            <w:tcW w:type="dxa" w:w="7371"/>
            <w:tcMar>
              <w:top w:w="90" w:type="dxa"/>
              <w:start w:w="110" w:type="dxa"/>
              <w:bottom w:w="90" w:type="dxa"/>
              <w:end w:w="110" w:type="dxa"/>
            </w:tcMar>
            <w:vAlign w:val="top"/>
          </w:tcPr>
          <w:p>
            <w:pPr>
              <w:spacing w:after="0"/>
            </w:pPr>
            <w:r>
              <w:rPr>
                <w:sz w:val="17"/>
              </w:rPr>
              <w:t>Disponibilité, erreurs 5xx, échecs de relance, échéances en retard, succès des sauvegardes.</w:t>
            </w:r>
          </w:p>
        </w:tc>
      </w:tr>
      <w:tr>
        <w:tc>
          <w:tcPr>
            <w:tcW w:type="dxa" w:w="1984"/>
            <w:tcMar>
              <w:top w:w="90" w:type="dxa"/>
              <w:start w:w="110" w:type="dxa"/>
              <w:bottom w:w="90" w:type="dxa"/>
              <w:end w:w="110" w:type="dxa"/>
            </w:tcMar>
            <w:vAlign w:val="top"/>
            <w:shd w:fill="F2F5F4"/>
          </w:tcPr>
          <w:p>
            <w:pPr>
              <w:spacing w:after="0"/>
            </w:pPr>
            <w:r>
              <w:rPr>
                <w:sz w:val="17"/>
              </w:rPr>
              <w:t>Chaque semaine</w:t>
            </w:r>
          </w:p>
        </w:tc>
        <w:tc>
          <w:tcPr>
            <w:tcW w:type="dxa" w:w="7371"/>
            <w:tcMar>
              <w:top w:w="90" w:type="dxa"/>
              <w:start w:w="110" w:type="dxa"/>
              <w:bottom w:w="90" w:type="dxa"/>
              <w:end w:w="110" w:type="dxa"/>
            </w:tcMar>
            <w:vAlign w:val="top"/>
            <w:shd w:fill="F2F5F4"/>
          </w:tcPr>
          <w:p>
            <w:pPr>
              <w:spacing w:after="0"/>
            </w:pPr>
            <w:r>
              <w:rPr>
                <w:sz w:val="17"/>
              </w:rPr>
              <w:t>Dépendances, stockage Blob, utilisateurs actifs, anomalies d’audit et requêtes lentes.</w:t>
            </w:r>
          </w:p>
        </w:tc>
      </w:tr>
      <w:tr>
        <w:tc>
          <w:tcPr>
            <w:tcW w:type="dxa" w:w="1984"/>
            <w:tcMar>
              <w:top w:w="90" w:type="dxa"/>
              <w:start w:w="110" w:type="dxa"/>
              <w:bottom w:w="90" w:type="dxa"/>
              <w:end w:w="110" w:type="dxa"/>
            </w:tcMar>
            <w:vAlign w:val="top"/>
          </w:tcPr>
          <w:p>
            <w:pPr>
              <w:spacing w:after="0"/>
            </w:pPr>
            <w:r>
              <w:rPr>
                <w:sz w:val="17"/>
              </w:rPr>
              <w:t>Chaque mois</w:t>
            </w:r>
          </w:p>
        </w:tc>
        <w:tc>
          <w:tcPr>
            <w:tcW w:type="dxa" w:w="7371"/>
            <w:tcMar>
              <w:top w:w="90" w:type="dxa"/>
              <w:start w:w="110" w:type="dxa"/>
              <w:bottom w:w="90" w:type="dxa"/>
              <w:end w:w="110" w:type="dxa"/>
            </w:tcMar>
            <w:vAlign w:val="top"/>
          </w:tcPr>
          <w:p>
            <w:pPr>
              <w:spacing w:after="0"/>
            </w:pPr>
            <w:r>
              <w:rPr>
                <w:sz w:val="17"/>
              </w:rPr>
              <w:t>Restauration de test, revue des accès admin, quotas, coûts et cohérence DB/Blob.</w:t>
            </w:r>
          </w:p>
        </w:tc>
      </w:tr>
      <w:tr>
        <w:tc>
          <w:tcPr>
            <w:tcW w:type="dxa" w:w="1984"/>
            <w:tcMar>
              <w:top w:w="90" w:type="dxa"/>
              <w:start w:w="110" w:type="dxa"/>
              <w:bottom w:w="90" w:type="dxa"/>
              <w:end w:w="110" w:type="dxa"/>
            </w:tcMar>
            <w:vAlign w:val="top"/>
            <w:shd w:fill="F2F5F4"/>
          </w:tcPr>
          <w:p>
            <w:pPr>
              <w:spacing w:after="0"/>
            </w:pPr>
            <w:r>
              <w:rPr>
                <w:sz w:val="17"/>
              </w:rPr>
              <w:t>Chaque trimestre</w:t>
            </w:r>
          </w:p>
        </w:tc>
        <w:tc>
          <w:tcPr>
            <w:tcW w:type="dxa" w:w="7371"/>
            <w:tcMar>
              <w:top w:w="90" w:type="dxa"/>
              <w:start w:w="110" w:type="dxa"/>
              <w:bottom w:w="90" w:type="dxa"/>
              <w:end w:w="110" w:type="dxa"/>
            </w:tcMar>
            <w:vAlign w:val="top"/>
            <w:shd w:fill="F2F5F4"/>
          </w:tcPr>
          <w:p>
            <w:pPr>
              <w:spacing w:after="0"/>
            </w:pPr>
            <w:r>
              <w:rPr>
                <w:sz w:val="17"/>
              </w:rPr>
              <w:t>Rotation planifiée, revue de sécurité, capacité, RPO/RTO et mise à jour du présent document.</w:t>
            </w:r>
          </w:p>
        </w:tc>
      </w:tr>
      <w:tr>
        <w:tc>
          <w:tcPr>
            <w:tcW w:type="dxa" w:w="1984"/>
            <w:tcMar>
              <w:top w:w="90" w:type="dxa"/>
              <w:start w:w="110" w:type="dxa"/>
              <w:bottom w:w="90" w:type="dxa"/>
              <w:end w:w="110" w:type="dxa"/>
            </w:tcMar>
            <w:vAlign w:val="top"/>
          </w:tcPr>
          <w:p>
            <w:pPr>
              <w:spacing w:after="0"/>
            </w:pPr>
            <w:r>
              <w:rPr>
                <w:sz w:val="17"/>
              </w:rPr>
              <w:t>Chaque année</w:t>
            </w:r>
          </w:p>
        </w:tc>
        <w:tc>
          <w:tcPr>
            <w:tcW w:type="dxa" w:w="7371"/>
            <w:tcMar>
              <w:top w:w="90" w:type="dxa"/>
              <w:start w:w="110" w:type="dxa"/>
              <w:bottom w:w="90" w:type="dxa"/>
              <w:end w:w="110" w:type="dxa"/>
            </w:tcMar>
            <w:vAlign w:val="top"/>
          </w:tcPr>
          <w:p>
            <w:pPr>
              <w:spacing w:after="0"/>
            </w:pPr>
            <w:r>
              <w:rPr>
                <w:sz w:val="17"/>
              </w:rPr>
              <w:t>Test complet du PRA, audit externe, revue des durées de conservation et des fournisseurs.</w:t>
            </w:r>
          </w:p>
        </w:tc>
      </w:tr>
    </w:tbl>
    <w:p>
      <w:pPr>
        <w:spacing w:after="0"/>
      </w:pPr>
    </w:p>
    <w:p>
      <w:pPr>
        <w:pStyle w:val="Heading2"/>
        <w:keepNext/>
      </w:pPr>
      <w:r>
        <w:t>17.1 Checklist avant mise en production</w:t>
      </w:r>
    </w:p>
    <w:p>
      <w:pPr>
        <w:pStyle w:val="ListBullet"/>
      </w:pPr>
      <w:r>
        <w:t>Tests automatisés réussis sur une base éphémère.</w:t>
      </w:r>
    </w:p>
    <w:p>
      <w:pPr>
        <w:pStyle w:val="ListBullet"/>
      </w:pPr>
      <w:r>
        <w:t>Migration répétée avec succès sur une copie de production.</w:t>
      </w:r>
    </w:p>
    <w:p>
      <w:pPr>
        <w:pStyle w:val="ListBullet"/>
      </w:pPr>
      <w:r>
        <w:t>Sauvegarde récente et restauration vérifiée.</w:t>
      </w:r>
    </w:p>
    <w:p>
      <w:pPr>
        <w:pStyle w:val="ListBullet"/>
      </w:pPr>
      <w:r>
        <w:t>Variables Production correctes, sans secret dans Git.</w:t>
      </w:r>
    </w:p>
    <w:p>
      <w:pPr>
        <w:pStyle w:val="ListBullet"/>
      </w:pPr>
      <w:r>
        <w:t>Compte courtier_app sans privilèges de migration ni BYPASSRLS.</w:t>
      </w:r>
    </w:p>
    <w:p>
      <w:pPr>
        <w:pStyle w:val="ListBullet"/>
      </w:pPr>
      <w:r>
        <w:t>Blob Private connecté et test des trois opérations fichier.</w:t>
      </w:r>
    </w:p>
    <w:p>
      <w:pPr>
        <w:pStyle w:val="ListBullet"/>
      </w:pPr>
      <w:r>
        <w:t>Smoke tests connexion, client, contrat, échéance, paiement et archivage.</w:t>
      </w:r>
    </w:p>
    <w:p>
      <w:pPr>
        <w:pStyle w:val="ListBullet"/>
      </w:pPr>
      <w:r>
        <w:t>Plan de retour arrière défini.</w:t>
      </w:r>
    </w:p>
    <w:p>
      <w:pPr>
        <w:pStyle w:val="ListBullet"/>
      </w:pPr>
      <w:r>
        <w:t>Responsable métier informé de la fenêtre de changement.</w:t>
      </w:r>
    </w:p>
    <w:p>
      <w:pPr>
        <w:pStyle w:val="Heading1"/>
        <w:keepNext/>
      </w:pPr>
      <w:r>
        <w:t>18. API principale</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3324"/>
        <w:gridCol w:w="3324"/>
        <w:gridCol w:w="3324"/>
      </w:tblGrid>
      <w:tr>
        <w:trPr>
          <w:tblHeader/>
        </w:trPr>
        <w:tc>
          <w:tcPr>
            <w:tcW w:type="dxa" w:w="1134"/>
            <w:shd w:fill="073B34"/>
            <w:tcMar>
              <w:top w:w="90" w:type="dxa"/>
              <w:start w:w="110" w:type="dxa"/>
              <w:bottom w:w="90" w:type="dxa"/>
              <w:end w:w="110" w:type="dxa"/>
            </w:tcMar>
            <w:vAlign w:val="center"/>
          </w:tcPr>
          <w:p>
            <w:r>
              <w:rPr>
                <w:b/>
                <w:color w:val="FFFFFF"/>
                <w:sz w:val="18"/>
              </w:rPr>
              <w:t>Méthode</w:t>
            </w:r>
          </w:p>
        </w:tc>
        <w:tc>
          <w:tcPr>
            <w:tcW w:type="dxa" w:w="3969"/>
            <w:shd w:fill="073B34"/>
            <w:tcMar>
              <w:top w:w="90" w:type="dxa"/>
              <w:start w:w="110" w:type="dxa"/>
              <w:bottom w:w="90" w:type="dxa"/>
              <w:end w:w="110" w:type="dxa"/>
            </w:tcMar>
            <w:vAlign w:val="center"/>
          </w:tcPr>
          <w:p>
            <w:r>
              <w:rPr>
                <w:b/>
                <w:color w:val="FFFFFF"/>
                <w:sz w:val="18"/>
              </w:rPr>
              <w:t>Route</w:t>
            </w:r>
          </w:p>
        </w:tc>
        <w:tc>
          <w:tcPr>
            <w:tcW w:type="dxa" w:w="4252"/>
            <w:shd w:fill="073B34"/>
            <w:tcMar>
              <w:top w:w="90" w:type="dxa"/>
              <w:start w:w="110" w:type="dxa"/>
              <w:bottom w:w="90" w:type="dxa"/>
              <w:end w:w="110" w:type="dxa"/>
            </w:tcMar>
            <w:vAlign w:val="center"/>
          </w:tcPr>
          <w:p>
            <w:r>
              <w:rPr>
                <w:b/>
                <w:color w:val="FFFFFF"/>
                <w:sz w:val="18"/>
              </w:rPr>
              <w:t>Usage</w:t>
            </w:r>
          </w:p>
        </w:tc>
      </w:tr>
      <w:tr>
        <w:tc>
          <w:tcPr>
            <w:tcW w:type="dxa" w:w="1134"/>
            <w:tcMar>
              <w:top w:w="90" w:type="dxa"/>
              <w:start w:w="110" w:type="dxa"/>
              <w:bottom w:w="90" w:type="dxa"/>
              <w:end w:w="110" w:type="dxa"/>
            </w:tcMar>
            <w:vAlign w:val="top"/>
          </w:tcPr>
          <w:p>
            <w:pPr>
              <w:spacing w:after="0"/>
            </w:pPr>
            <w:r>
              <w:rPr>
                <w:sz w:val="17"/>
              </w:rPr>
              <w:t>GET</w:t>
            </w:r>
          </w:p>
        </w:tc>
        <w:tc>
          <w:tcPr>
            <w:tcW w:type="dxa" w:w="3969"/>
            <w:tcMar>
              <w:top w:w="90" w:type="dxa"/>
              <w:start w:w="110" w:type="dxa"/>
              <w:bottom w:w="90" w:type="dxa"/>
              <w:end w:w="110" w:type="dxa"/>
            </w:tcMar>
            <w:vAlign w:val="top"/>
          </w:tcPr>
          <w:p>
            <w:pPr>
              <w:spacing w:after="0"/>
            </w:pPr>
            <w:r>
              <w:rPr>
                <w:sz w:val="17"/>
              </w:rPr>
              <w:t>/api/sante</w:t>
            </w:r>
          </w:p>
        </w:tc>
        <w:tc>
          <w:tcPr>
            <w:tcW w:type="dxa" w:w="4252"/>
            <w:tcMar>
              <w:top w:w="90" w:type="dxa"/>
              <w:start w:w="110" w:type="dxa"/>
              <w:bottom w:w="90" w:type="dxa"/>
              <w:end w:w="110" w:type="dxa"/>
            </w:tcMar>
            <w:vAlign w:val="top"/>
          </w:tcPr>
          <w:p>
            <w:pPr>
              <w:spacing w:after="0"/>
            </w:pPr>
            <w:r>
              <w:rPr>
                <w:sz w:val="17"/>
              </w:rPr>
              <w:t>Santé de l’application et de PostgreSQL.</w:t>
            </w:r>
          </w:p>
        </w:tc>
      </w:tr>
      <w:tr>
        <w:tc>
          <w:tcPr>
            <w:tcW w:type="dxa" w:w="1134"/>
            <w:tcMar>
              <w:top w:w="90" w:type="dxa"/>
              <w:start w:w="110" w:type="dxa"/>
              <w:bottom w:w="90" w:type="dxa"/>
              <w:end w:w="110" w:type="dxa"/>
            </w:tcMar>
            <w:vAlign w:val="top"/>
            <w:shd w:fill="F2F5F4"/>
          </w:tcPr>
          <w:p>
            <w:pPr>
              <w:spacing w:after="0"/>
            </w:pPr>
            <w:r>
              <w:rPr>
                <w:sz w:val="17"/>
              </w:rPr>
              <w:t>POST</w:t>
            </w:r>
          </w:p>
        </w:tc>
        <w:tc>
          <w:tcPr>
            <w:tcW w:type="dxa" w:w="3969"/>
            <w:tcMar>
              <w:top w:w="90" w:type="dxa"/>
              <w:start w:w="110" w:type="dxa"/>
              <w:bottom w:w="90" w:type="dxa"/>
              <w:end w:w="110" w:type="dxa"/>
            </w:tcMar>
            <w:vAlign w:val="top"/>
            <w:shd w:fill="F2F5F4"/>
          </w:tcPr>
          <w:p>
            <w:pPr>
              <w:spacing w:after="0"/>
            </w:pPr>
            <w:r>
              <w:rPr>
                <w:sz w:val="17"/>
              </w:rPr>
              <w:t>/api/auth/connexion</w:t>
            </w:r>
          </w:p>
        </w:tc>
        <w:tc>
          <w:tcPr>
            <w:tcW w:type="dxa" w:w="4252"/>
            <w:tcMar>
              <w:top w:w="90" w:type="dxa"/>
              <w:start w:w="110" w:type="dxa"/>
              <w:bottom w:w="90" w:type="dxa"/>
              <w:end w:w="110" w:type="dxa"/>
            </w:tcMar>
            <w:vAlign w:val="top"/>
            <w:shd w:fill="F2F5F4"/>
          </w:tcPr>
          <w:p>
            <w:pPr>
              <w:spacing w:after="0"/>
            </w:pPr>
            <w:r>
              <w:rPr>
                <w:sz w:val="17"/>
              </w:rPr>
              <w:t>Connexion et création du cookie.</w:t>
            </w:r>
          </w:p>
        </w:tc>
      </w:tr>
      <w:tr>
        <w:tc>
          <w:tcPr>
            <w:tcW w:type="dxa" w:w="1134"/>
            <w:tcMar>
              <w:top w:w="90" w:type="dxa"/>
              <w:start w:w="110" w:type="dxa"/>
              <w:bottom w:w="90" w:type="dxa"/>
              <w:end w:w="110" w:type="dxa"/>
            </w:tcMar>
            <w:vAlign w:val="top"/>
          </w:tcPr>
          <w:p>
            <w:pPr>
              <w:spacing w:after="0"/>
            </w:pPr>
            <w:r>
              <w:rPr>
                <w:sz w:val="17"/>
              </w:rPr>
              <w:t>POST</w:t>
            </w:r>
          </w:p>
        </w:tc>
        <w:tc>
          <w:tcPr>
            <w:tcW w:type="dxa" w:w="3969"/>
            <w:tcMar>
              <w:top w:w="90" w:type="dxa"/>
              <w:start w:w="110" w:type="dxa"/>
              <w:bottom w:w="90" w:type="dxa"/>
              <w:end w:w="110" w:type="dxa"/>
            </w:tcMar>
            <w:vAlign w:val="top"/>
          </w:tcPr>
          <w:p>
            <w:pPr>
              <w:spacing w:after="0"/>
            </w:pPr>
            <w:r>
              <w:rPr>
                <w:sz w:val="17"/>
              </w:rPr>
              <w:t>/api/auth/deconnexion</w:t>
            </w:r>
          </w:p>
        </w:tc>
        <w:tc>
          <w:tcPr>
            <w:tcW w:type="dxa" w:w="4252"/>
            <w:tcMar>
              <w:top w:w="90" w:type="dxa"/>
              <w:start w:w="110" w:type="dxa"/>
              <w:bottom w:w="90" w:type="dxa"/>
              <w:end w:w="110" w:type="dxa"/>
            </w:tcMar>
            <w:vAlign w:val="top"/>
          </w:tcPr>
          <w:p>
            <w:pPr>
              <w:spacing w:after="0"/>
            </w:pPr>
            <w:r>
              <w:rPr>
                <w:sz w:val="17"/>
              </w:rPr>
              <w:t>Déconnexion.</w:t>
            </w:r>
          </w:p>
        </w:tc>
      </w:tr>
      <w:tr>
        <w:tc>
          <w:tcPr>
            <w:tcW w:type="dxa" w:w="1134"/>
            <w:tcMar>
              <w:top w:w="90" w:type="dxa"/>
              <w:start w:w="110" w:type="dxa"/>
              <w:bottom w:w="90" w:type="dxa"/>
              <w:end w:w="110" w:type="dxa"/>
            </w:tcMar>
            <w:vAlign w:val="top"/>
            <w:shd w:fill="F2F5F4"/>
          </w:tcPr>
          <w:p>
            <w:pPr>
              <w:spacing w:after="0"/>
            </w:pPr>
            <w:r>
              <w:rPr>
                <w:sz w:val="17"/>
              </w:rPr>
              <w:t>GET</w:t>
            </w:r>
          </w:p>
        </w:tc>
        <w:tc>
          <w:tcPr>
            <w:tcW w:type="dxa" w:w="3969"/>
            <w:tcMar>
              <w:top w:w="90" w:type="dxa"/>
              <w:start w:w="110" w:type="dxa"/>
              <w:bottom w:w="90" w:type="dxa"/>
              <w:end w:w="110" w:type="dxa"/>
            </w:tcMar>
            <w:vAlign w:val="top"/>
            <w:shd w:fill="F2F5F4"/>
          </w:tcPr>
          <w:p>
            <w:pPr>
              <w:spacing w:after="0"/>
            </w:pPr>
            <w:r>
              <w:rPr>
                <w:sz w:val="17"/>
              </w:rPr>
              <w:t>/api/auth/moi</w:t>
            </w:r>
          </w:p>
        </w:tc>
        <w:tc>
          <w:tcPr>
            <w:tcW w:type="dxa" w:w="4252"/>
            <w:tcMar>
              <w:top w:w="90" w:type="dxa"/>
              <w:start w:w="110" w:type="dxa"/>
              <w:bottom w:w="90" w:type="dxa"/>
              <w:end w:w="110" w:type="dxa"/>
            </w:tcMar>
            <w:vAlign w:val="top"/>
            <w:shd w:fill="F2F5F4"/>
          </w:tcPr>
          <w:p>
            <w:pPr>
              <w:spacing w:after="0"/>
            </w:pPr>
            <w:r>
              <w:rPr>
                <w:sz w:val="17"/>
              </w:rPr>
              <w:t>Session courante.</w:t>
            </w:r>
          </w:p>
        </w:tc>
      </w:tr>
      <w:tr>
        <w:tc>
          <w:tcPr>
            <w:tcW w:type="dxa" w:w="1134"/>
            <w:tcMar>
              <w:top w:w="90" w:type="dxa"/>
              <w:start w:w="110" w:type="dxa"/>
              <w:bottom w:w="90" w:type="dxa"/>
              <w:end w:w="110" w:type="dxa"/>
            </w:tcMar>
            <w:vAlign w:val="top"/>
          </w:tcPr>
          <w:p>
            <w:pPr>
              <w:spacing w:after="0"/>
            </w:pPr>
            <w:r>
              <w:rPr>
                <w:sz w:val="17"/>
              </w:rPr>
              <w:t>GET/POST</w:t>
            </w:r>
          </w:p>
        </w:tc>
        <w:tc>
          <w:tcPr>
            <w:tcW w:type="dxa" w:w="3969"/>
            <w:tcMar>
              <w:top w:w="90" w:type="dxa"/>
              <w:start w:w="110" w:type="dxa"/>
              <w:bottom w:w="90" w:type="dxa"/>
              <w:end w:w="110" w:type="dxa"/>
            </w:tcMar>
            <w:vAlign w:val="top"/>
          </w:tcPr>
          <w:p>
            <w:pPr>
              <w:spacing w:after="0"/>
            </w:pPr>
            <w:r>
              <w:rPr>
                <w:sz w:val="17"/>
              </w:rPr>
              <w:t>/api/clients</w:t>
            </w:r>
          </w:p>
        </w:tc>
        <w:tc>
          <w:tcPr>
            <w:tcW w:type="dxa" w:w="4252"/>
            <w:tcMar>
              <w:top w:w="90" w:type="dxa"/>
              <w:start w:w="110" w:type="dxa"/>
              <w:bottom w:w="90" w:type="dxa"/>
              <w:end w:w="110" w:type="dxa"/>
            </w:tcMar>
            <w:vAlign w:val="top"/>
          </w:tcPr>
          <w:p>
            <w:pPr>
              <w:spacing w:after="0"/>
            </w:pPr>
            <w:r>
              <w:rPr>
                <w:sz w:val="17"/>
              </w:rPr>
              <w:t>Liste paginée et création.</w:t>
            </w:r>
          </w:p>
        </w:tc>
      </w:tr>
      <w:tr>
        <w:tc>
          <w:tcPr>
            <w:tcW w:type="dxa" w:w="1134"/>
            <w:tcMar>
              <w:top w:w="90" w:type="dxa"/>
              <w:start w:w="110" w:type="dxa"/>
              <w:bottom w:w="90" w:type="dxa"/>
              <w:end w:w="110" w:type="dxa"/>
            </w:tcMar>
            <w:vAlign w:val="top"/>
            <w:shd w:fill="F2F5F4"/>
          </w:tcPr>
          <w:p>
            <w:pPr>
              <w:spacing w:after="0"/>
            </w:pPr>
            <w:r>
              <w:rPr>
                <w:sz w:val="17"/>
              </w:rPr>
              <w:t>GET/PUT/DELETE</w:t>
            </w:r>
          </w:p>
        </w:tc>
        <w:tc>
          <w:tcPr>
            <w:tcW w:type="dxa" w:w="3969"/>
            <w:tcMar>
              <w:top w:w="90" w:type="dxa"/>
              <w:start w:w="110" w:type="dxa"/>
              <w:bottom w:w="90" w:type="dxa"/>
              <w:end w:w="110" w:type="dxa"/>
            </w:tcMar>
            <w:vAlign w:val="top"/>
            <w:shd w:fill="F2F5F4"/>
          </w:tcPr>
          <w:p>
            <w:pPr>
              <w:spacing w:after="0"/>
            </w:pPr>
            <w:r>
              <w:rPr>
                <w:sz w:val="17"/>
              </w:rPr>
              <w:t>/api/clients/:id</w:t>
            </w:r>
          </w:p>
        </w:tc>
        <w:tc>
          <w:tcPr>
            <w:tcW w:type="dxa" w:w="4252"/>
            <w:tcMar>
              <w:top w:w="90" w:type="dxa"/>
              <w:start w:w="110" w:type="dxa"/>
              <w:bottom w:w="90" w:type="dxa"/>
              <w:end w:w="110" w:type="dxa"/>
            </w:tcMar>
            <w:vAlign w:val="top"/>
            <w:shd w:fill="F2F5F4"/>
          </w:tcPr>
          <w:p>
            <w:pPr>
              <w:spacing w:after="0"/>
            </w:pPr>
            <w:r>
              <w:rPr>
                <w:sz w:val="17"/>
              </w:rPr>
              <w:t>Fiche, modification et archivage.</w:t>
            </w:r>
          </w:p>
        </w:tc>
      </w:tr>
      <w:tr>
        <w:tc>
          <w:tcPr>
            <w:tcW w:type="dxa" w:w="1134"/>
            <w:tcMar>
              <w:top w:w="90" w:type="dxa"/>
              <w:start w:w="110" w:type="dxa"/>
              <w:bottom w:w="90" w:type="dxa"/>
              <w:end w:w="110" w:type="dxa"/>
            </w:tcMar>
            <w:vAlign w:val="top"/>
          </w:tcPr>
          <w:p>
            <w:pPr>
              <w:spacing w:after="0"/>
            </w:pPr>
            <w:r>
              <w:rPr>
                <w:sz w:val="17"/>
              </w:rPr>
              <w:t>POST</w:t>
            </w:r>
          </w:p>
        </w:tc>
        <w:tc>
          <w:tcPr>
            <w:tcW w:type="dxa" w:w="3969"/>
            <w:tcMar>
              <w:top w:w="90" w:type="dxa"/>
              <w:start w:w="110" w:type="dxa"/>
              <w:bottom w:w="90" w:type="dxa"/>
              <w:end w:w="110" w:type="dxa"/>
            </w:tcMar>
            <w:vAlign w:val="top"/>
          </w:tcPr>
          <w:p>
            <w:pPr>
              <w:spacing w:after="0"/>
            </w:pPr>
            <w:r>
              <w:rPr>
                <w:sz w:val="17"/>
              </w:rPr>
              <w:t>/api/clients/:id/restaurer</w:t>
            </w:r>
          </w:p>
        </w:tc>
        <w:tc>
          <w:tcPr>
            <w:tcW w:type="dxa" w:w="4252"/>
            <w:tcMar>
              <w:top w:w="90" w:type="dxa"/>
              <w:start w:w="110" w:type="dxa"/>
              <w:bottom w:w="90" w:type="dxa"/>
              <w:end w:w="110" w:type="dxa"/>
            </w:tcMar>
            <w:vAlign w:val="top"/>
          </w:tcPr>
          <w:p>
            <w:pPr>
              <w:spacing w:after="0"/>
            </w:pPr>
            <w:r>
              <w:rPr>
                <w:sz w:val="17"/>
              </w:rPr>
              <w:t>Restauration admin.</w:t>
            </w:r>
          </w:p>
        </w:tc>
      </w:tr>
      <w:tr>
        <w:tc>
          <w:tcPr>
            <w:tcW w:type="dxa" w:w="1134"/>
            <w:tcMar>
              <w:top w:w="90" w:type="dxa"/>
              <w:start w:w="110" w:type="dxa"/>
              <w:bottom w:w="90" w:type="dxa"/>
              <w:end w:w="110" w:type="dxa"/>
            </w:tcMar>
            <w:vAlign w:val="top"/>
            <w:shd w:fill="F2F5F4"/>
          </w:tcPr>
          <w:p>
            <w:pPr>
              <w:spacing w:after="0"/>
            </w:pPr>
            <w:r>
              <w:rPr>
                <w:sz w:val="17"/>
              </w:rPr>
              <w:t>GET/POST</w:t>
            </w:r>
          </w:p>
        </w:tc>
        <w:tc>
          <w:tcPr>
            <w:tcW w:type="dxa" w:w="3969"/>
            <w:tcMar>
              <w:top w:w="90" w:type="dxa"/>
              <w:start w:w="110" w:type="dxa"/>
              <w:bottom w:w="90" w:type="dxa"/>
              <w:end w:w="110" w:type="dxa"/>
            </w:tcMar>
            <w:vAlign w:val="top"/>
            <w:shd w:fill="F2F5F4"/>
          </w:tcPr>
          <w:p>
            <w:pPr>
              <w:spacing w:after="0"/>
            </w:pPr>
            <w:r>
              <w:rPr>
                <w:sz w:val="17"/>
              </w:rPr>
              <w:t>/api/contrats</w:t>
            </w:r>
          </w:p>
        </w:tc>
        <w:tc>
          <w:tcPr>
            <w:tcW w:type="dxa" w:w="4252"/>
            <w:tcMar>
              <w:top w:w="90" w:type="dxa"/>
              <w:start w:w="110" w:type="dxa"/>
              <w:bottom w:w="90" w:type="dxa"/>
              <w:end w:w="110" w:type="dxa"/>
            </w:tcMar>
            <w:vAlign w:val="top"/>
            <w:shd w:fill="F2F5F4"/>
          </w:tcPr>
          <w:p>
            <w:pPr>
              <w:spacing w:after="0"/>
            </w:pPr>
            <w:r>
              <w:rPr>
                <w:sz w:val="17"/>
              </w:rPr>
              <w:t>Portefeuille paginé et création.</w:t>
            </w:r>
          </w:p>
        </w:tc>
      </w:tr>
      <w:tr>
        <w:tc>
          <w:tcPr>
            <w:tcW w:type="dxa" w:w="1134"/>
            <w:tcMar>
              <w:top w:w="90" w:type="dxa"/>
              <w:start w:w="110" w:type="dxa"/>
              <w:bottom w:w="90" w:type="dxa"/>
              <w:end w:w="110" w:type="dxa"/>
            </w:tcMar>
            <w:vAlign w:val="top"/>
          </w:tcPr>
          <w:p>
            <w:pPr>
              <w:spacing w:after="0"/>
            </w:pPr>
            <w:r>
              <w:rPr>
                <w:sz w:val="17"/>
              </w:rPr>
              <w:t>GET/PUT/DELETE</w:t>
            </w:r>
          </w:p>
        </w:tc>
        <w:tc>
          <w:tcPr>
            <w:tcW w:type="dxa" w:w="3969"/>
            <w:tcMar>
              <w:top w:w="90" w:type="dxa"/>
              <w:start w:w="110" w:type="dxa"/>
              <w:bottom w:w="90" w:type="dxa"/>
              <w:end w:w="110" w:type="dxa"/>
            </w:tcMar>
            <w:vAlign w:val="top"/>
          </w:tcPr>
          <w:p>
            <w:pPr>
              <w:spacing w:after="0"/>
            </w:pPr>
            <w:r>
              <w:rPr>
                <w:sz w:val="17"/>
              </w:rPr>
              <w:t>/api/contrats/:id</w:t>
            </w:r>
          </w:p>
        </w:tc>
        <w:tc>
          <w:tcPr>
            <w:tcW w:type="dxa" w:w="4252"/>
            <w:tcMar>
              <w:top w:w="90" w:type="dxa"/>
              <w:start w:w="110" w:type="dxa"/>
              <w:bottom w:w="90" w:type="dxa"/>
              <w:end w:w="110" w:type="dxa"/>
            </w:tcMar>
            <w:vAlign w:val="top"/>
          </w:tcPr>
          <w:p>
            <w:pPr>
              <w:spacing w:after="0"/>
            </w:pPr>
            <w:r>
              <w:rPr>
                <w:sz w:val="17"/>
              </w:rPr>
              <w:t>Fiche, modification et archivage.</w:t>
            </w:r>
          </w:p>
        </w:tc>
      </w:tr>
      <w:tr>
        <w:tc>
          <w:tcPr>
            <w:tcW w:type="dxa" w:w="1134"/>
            <w:tcMar>
              <w:top w:w="90" w:type="dxa"/>
              <w:start w:w="110" w:type="dxa"/>
              <w:bottom w:w="90" w:type="dxa"/>
              <w:end w:w="110" w:type="dxa"/>
            </w:tcMar>
            <w:vAlign w:val="top"/>
            <w:shd w:fill="F2F5F4"/>
          </w:tcPr>
          <w:p>
            <w:pPr>
              <w:spacing w:after="0"/>
            </w:pPr>
            <w:r>
              <w:rPr>
                <w:sz w:val="17"/>
              </w:rPr>
              <w:t>POST</w:t>
            </w:r>
          </w:p>
        </w:tc>
        <w:tc>
          <w:tcPr>
            <w:tcW w:type="dxa" w:w="3969"/>
            <w:tcMar>
              <w:top w:w="90" w:type="dxa"/>
              <w:start w:w="110" w:type="dxa"/>
              <w:bottom w:w="90" w:type="dxa"/>
              <w:end w:w="110" w:type="dxa"/>
            </w:tcMar>
            <w:vAlign w:val="top"/>
            <w:shd w:fill="F2F5F4"/>
          </w:tcPr>
          <w:p>
            <w:pPr>
              <w:spacing w:after="0"/>
            </w:pPr>
            <w:r>
              <w:rPr>
                <w:sz w:val="17"/>
              </w:rPr>
              <w:t>/api/contrats/:id/renouveler</w:t>
            </w:r>
          </w:p>
        </w:tc>
        <w:tc>
          <w:tcPr>
            <w:tcW w:type="dxa" w:w="4252"/>
            <w:tcMar>
              <w:top w:w="90" w:type="dxa"/>
              <w:start w:w="110" w:type="dxa"/>
              <w:bottom w:w="90" w:type="dxa"/>
              <w:end w:w="110" w:type="dxa"/>
            </w:tcMar>
            <w:vAlign w:val="top"/>
            <w:shd w:fill="F2F5F4"/>
          </w:tcPr>
          <w:p>
            <w:pPr>
              <w:spacing w:after="0"/>
            </w:pPr>
            <w:r>
              <w:rPr>
                <w:sz w:val="17"/>
              </w:rPr>
              <w:t>Renouvellement.</w:t>
            </w:r>
          </w:p>
        </w:tc>
      </w:tr>
      <w:tr>
        <w:tc>
          <w:tcPr>
            <w:tcW w:type="dxa" w:w="1134"/>
            <w:tcMar>
              <w:top w:w="90" w:type="dxa"/>
              <w:start w:w="110" w:type="dxa"/>
              <w:bottom w:w="90" w:type="dxa"/>
              <w:end w:w="110" w:type="dxa"/>
            </w:tcMar>
            <w:vAlign w:val="top"/>
          </w:tcPr>
          <w:p>
            <w:pPr>
              <w:spacing w:after="0"/>
            </w:pPr>
            <w:r>
              <w:rPr>
                <w:sz w:val="17"/>
              </w:rPr>
              <w:t>POST/GET/DELETE</w:t>
            </w:r>
          </w:p>
        </w:tc>
        <w:tc>
          <w:tcPr>
            <w:tcW w:type="dxa" w:w="3969"/>
            <w:tcMar>
              <w:top w:w="90" w:type="dxa"/>
              <w:start w:w="110" w:type="dxa"/>
              <w:bottom w:w="90" w:type="dxa"/>
              <w:end w:w="110" w:type="dxa"/>
            </w:tcMar>
            <w:vAlign w:val="top"/>
          </w:tcPr>
          <w:p>
            <w:pPr>
              <w:spacing w:after="0"/>
            </w:pPr>
            <w:r>
              <w:rPr>
                <w:sz w:val="17"/>
              </w:rPr>
              <w:t>/api/contrats/:id/pieces-jointes/...</w:t>
            </w:r>
          </w:p>
        </w:tc>
        <w:tc>
          <w:tcPr>
            <w:tcW w:type="dxa" w:w="4252"/>
            <w:tcMar>
              <w:top w:w="90" w:type="dxa"/>
              <w:start w:w="110" w:type="dxa"/>
              <w:bottom w:w="90" w:type="dxa"/>
              <w:end w:w="110" w:type="dxa"/>
            </w:tcMar>
            <w:vAlign w:val="top"/>
          </w:tcPr>
          <w:p>
            <w:pPr>
              <w:spacing w:after="0"/>
            </w:pPr>
            <w:r>
              <w:rPr>
                <w:sz w:val="17"/>
              </w:rPr>
              <w:t>Ajouter, télécharger et supprimer un fichier.</w:t>
            </w:r>
          </w:p>
        </w:tc>
      </w:tr>
      <w:tr>
        <w:tc>
          <w:tcPr>
            <w:tcW w:type="dxa" w:w="1134"/>
            <w:tcMar>
              <w:top w:w="90" w:type="dxa"/>
              <w:start w:w="110" w:type="dxa"/>
              <w:bottom w:w="90" w:type="dxa"/>
              <w:end w:w="110" w:type="dxa"/>
            </w:tcMar>
            <w:vAlign w:val="top"/>
            <w:shd w:fill="F2F5F4"/>
          </w:tcPr>
          <w:p>
            <w:pPr>
              <w:spacing w:after="0"/>
            </w:pPr>
            <w:r>
              <w:rPr>
                <w:sz w:val="17"/>
              </w:rPr>
              <w:t>GET</w:t>
            </w:r>
          </w:p>
        </w:tc>
        <w:tc>
          <w:tcPr>
            <w:tcW w:type="dxa" w:w="3969"/>
            <w:tcMar>
              <w:top w:w="90" w:type="dxa"/>
              <w:start w:w="110" w:type="dxa"/>
              <w:bottom w:w="90" w:type="dxa"/>
              <w:end w:w="110" w:type="dxa"/>
            </w:tcMar>
            <w:vAlign w:val="top"/>
            <w:shd w:fill="F2F5F4"/>
          </w:tcPr>
          <w:p>
            <w:pPr>
              <w:spacing w:after="0"/>
            </w:pPr>
            <w:r>
              <w:rPr>
                <w:sz w:val="17"/>
              </w:rPr>
              <w:t>/api/echeances</w:t>
            </w:r>
          </w:p>
        </w:tc>
        <w:tc>
          <w:tcPr>
            <w:tcW w:type="dxa" w:w="4252"/>
            <w:tcMar>
              <w:top w:w="90" w:type="dxa"/>
              <w:start w:w="110" w:type="dxa"/>
              <w:bottom w:w="90" w:type="dxa"/>
              <w:end w:w="110" w:type="dxa"/>
            </w:tcMar>
            <w:vAlign w:val="top"/>
            <w:shd w:fill="F2F5F4"/>
          </w:tcPr>
          <w:p>
            <w:pPr>
              <w:spacing w:after="0"/>
            </w:pPr>
            <w:r>
              <w:rPr>
                <w:sz w:val="17"/>
              </w:rPr>
              <w:t>Agenda paginé et filtré.</w:t>
            </w:r>
          </w:p>
        </w:tc>
      </w:tr>
      <w:tr>
        <w:tc>
          <w:tcPr>
            <w:tcW w:type="dxa" w:w="1134"/>
            <w:tcMar>
              <w:top w:w="90" w:type="dxa"/>
              <w:start w:w="110" w:type="dxa"/>
              <w:bottom w:w="90" w:type="dxa"/>
              <w:end w:w="110" w:type="dxa"/>
            </w:tcMar>
            <w:vAlign w:val="top"/>
          </w:tcPr>
          <w:p>
            <w:pPr>
              <w:spacing w:after="0"/>
            </w:pPr>
            <w:r>
              <w:rPr>
                <w:sz w:val="17"/>
              </w:rPr>
              <w:t>POST</w:t>
            </w:r>
          </w:p>
        </w:tc>
        <w:tc>
          <w:tcPr>
            <w:tcW w:type="dxa" w:w="3969"/>
            <w:tcMar>
              <w:top w:w="90" w:type="dxa"/>
              <w:start w:w="110" w:type="dxa"/>
              <w:bottom w:w="90" w:type="dxa"/>
              <w:end w:w="110" w:type="dxa"/>
            </w:tcMar>
            <w:vAlign w:val="top"/>
          </w:tcPr>
          <w:p>
            <w:pPr>
              <w:spacing w:after="0"/>
            </w:pPr>
            <w:r>
              <w:rPr>
                <w:sz w:val="17"/>
              </w:rPr>
              <w:t>/api/echeances/:id/paiements</w:t>
            </w:r>
          </w:p>
        </w:tc>
        <w:tc>
          <w:tcPr>
            <w:tcW w:type="dxa" w:w="4252"/>
            <w:tcMar>
              <w:top w:w="90" w:type="dxa"/>
              <w:start w:w="110" w:type="dxa"/>
              <w:bottom w:w="90" w:type="dxa"/>
              <w:end w:w="110" w:type="dxa"/>
            </w:tcMar>
            <w:vAlign w:val="top"/>
          </w:tcPr>
          <w:p>
            <w:pPr>
              <w:spacing w:after="0"/>
            </w:pPr>
            <w:r>
              <w:rPr>
                <w:sz w:val="17"/>
              </w:rPr>
              <w:t>Encaissement.</w:t>
            </w:r>
          </w:p>
        </w:tc>
      </w:tr>
      <w:tr>
        <w:tc>
          <w:tcPr>
            <w:tcW w:type="dxa" w:w="1134"/>
            <w:tcMar>
              <w:top w:w="90" w:type="dxa"/>
              <w:start w:w="110" w:type="dxa"/>
              <w:bottom w:w="90" w:type="dxa"/>
              <w:end w:w="110" w:type="dxa"/>
            </w:tcMar>
            <w:vAlign w:val="top"/>
            <w:shd w:fill="F2F5F4"/>
          </w:tcPr>
          <w:p>
            <w:pPr>
              <w:spacing w:after="0"/>
            </w:pPr>
            <w:r>
              <w:rPr>
                <w:sz w:val="17"/>
              </w:rPr>
              <w:t>POST</w:t>
            </w:r>
          </w:p>
        </w:tc>
        <w:tc>
          <w:tcPr>
            <w:tcW w:type="dxa" w:w="3969"/>
            <w:tcMar>
              <w:top w:w="90" w:type="dxa"/>
              <w:start w:w="110" w:type="dxa"/>
              <w:bottom w:w="90" w:type="dxa"/>
              <w:end w:w="110" w:type="dxa"/>
            </w:tcMar>
            <w:vAlign w:val="top"/>
            <w:shd w:fill="F2F5F4"/>
          </w:tcPr>
          <w:p>
            <w:pPr>
              <w:spacing w:after="0"/>
            </w:pPr>
            <w:r>
              <w:rPr>
                <w:sz w:val="17"/>
              </w:rPr>
              <w:t>/api/echeances/:id/relances</w:t>
            </w:r>
          </w:p>
        </w:tc>
        <w:tc>
          <w:tcPr>
            <w:tcW w:type="dxa" w:w="4252"/>
            <w:tcMar>
              <w:top w:w="90" w:type="dxa"/>
              <w:start w:w="110" w:type="dxa"/>
              <w:bottom w:w="90" w:type="dxa"/>
              <w:end w:w="110" w:type="dxa"/>
            </w:tcMar>
            <w:vAlign w:val="top"/>
            <w:shd w:fill="F2F5F4"/>
          </w:tcPr>
          <w:p>
            <w:pPr>
              <w:spacing w:after="0"/>
            </w:pPr>
            <w:r>
              <w:rPr>
                <w:sz w:val="17"/>
              </w:rPr>
              <w:t>Relance.</w:t>
            </w:r>
          </w:p>
        </w:tc>
      </w:tr>
      <w:tr>
        <w:tc>
          <w:tcPr>
            <w:tcW w:type="dxa" w:w="1134"/>
            <w:tcMar>
              <w:top w:w="90" w:type="dxa"/>
              <w:start w:w="110" w:type="dxa"/>
              <w:bottom w:w="90" w:type="dxa"/>
              <w:end w:w="110" w:type="dxa"/>
            </w:tcMar>
            <w:vAlign w:val="top"/>
          </w:tcPr>
          <w:p>
            <w:pPr>
              <w:spacing w:after="0"/>
            </w:pPr>
            <w:r>
              <w:rPr>
                <w:sz w:val="17"/>
              </w:rPr>
              <w:t>GET</w:t>
            </w:r>
          </w:p>
        </w:tc>
        <w:tc>
          <w:tcPr>
            <w:tcW w:type="dxa" w:w="3969"/>
            <w:tcMar>
              <w:top w:w="90" w:type="dxa"/>
              <w:start w:w="110" w:type="dxa"/>
              <w:bottom w:w="90" w:type="dxa"/>
              <w:end w:w="110" w:type="dxa"/>
            </w:tcMar>
            <w:vAlign w:val="top"/>
          </w:tcPr>
          <w:p>
            <w:pPr>
              <w:spacing w:after="0"/>
            </w:pPr>
            <w:r>
              <w:rPr>
                <w:sz w:val="17"/>
              </w:rPr>
              <w:t>/api/tableau-de-bord</w:t>
            </w:r>
          </w:p>
        </w:tc>
        <w:tc>
          <w:tcPr>
            <w:tcW w:type="dxa" w:w="4252"/>
            <w:tcMar>
              <w:top w:w="90" w:type="dxa"/>
              <w:start w:w="110" w:type="dxa"/>
              <w:bottom w:w="90" w:type="dxa"/>
              <w:end w:w="110" w:type="dxa"/>
            </w:tcMar>
            <w:vAlign w:val="top"/>
          </w:tcPr>
          <w:p>
            <w:pPr>
              <w:spacing w:after="0"/>
            </w:pPr>
            <w:r>
              <w:rPr>
                <w:sz w:val="17"/>
              </w:rPr>
              <w:t>Indicateurs et échéances proches.</w:t>
            </w:r>
          </w:p>
        </w:tc>
      </w:tr>
      <w:tr>
        <w:tc>
          <w:tcPr>
            <w:tcW w:type="dxa" w:w="1134"/>
            <w:tcMar>
              <w:top w:w="90" w:type="dxa"/>
              <w:start w:w="110" w:type="dxa"/>
              <w:bottom w:w="90" w:type="dxa"/>
              <w:end w:w="110" w:type="dxa"/>
            </w:tcMar>
            <w:vAlign w:val="top"/>
            <w:shd w:fill="F2F5F4"/>
          </w:tcPr>
          <w:p>
            <w:pPr>
              <w:spacing w:after="0"/>
            </w:pPr>
            <w:r>
              <w:rPr>
                <w:sz w:val="17"/>
              </w:rPr>
              <w:t>GET</w:t>
            </w:r>
          </w:p>
        </w:tc>
        <w:tc>
          <w:tcPr>
            <w:tcW w:type="dxa" w:w="3969"/>
            <w:tcMar>
              <w:top w:w="90" w:type="dxa"/>
              <w:start w:w="110" w:type="dxa"/>
              <w:bottom w:w="90" w:type="dxa"/>
              <w:end w:w="110" w:type="dxa"/>
            </w:tcMar>
            <w:vAlign w:val="top"/>
            <w:shd w:fill="F2F5F4"/>
          </w:tcPr>
          <w:p>
            <w:pPr>
              <w:spacing w:after="0"/>
            </w:pPr>
            <w:r>
              <w:rPr>
                <w:sz w:val="17"/>
              </w:rPr>
              <w:t>/api/journal-audit</w:t>
            </w:r>
          </w:p>
        </w:tc>
        <w:tc>
          <w:tcPr>
            <w:tcW w:type="dxa" w:w="4252"/>
            <w:tcMar>
              <w:top w:w="90" w:type="dxa"/>
              <w:start w:w="110" w:type="dxa"/>
              <w:bottom w:w="90" w:type="dxa"/>
              <w:end w:w="110" w:type="dxa"/>
            </w:tcMar>
            <w:vAlign w:val="top"/>
            <w:shd w:fill="F2F5F4"/>
          </w:tcPr>
          <w:p>
            <w:pPr>
              <w:spacing w:after="0"/>
            </w:pPr>
            <w:r>
              <w:rPr>
                <w:sz w:val="17"/>
              </w:rPr>
              <w:t>Journal global admin.</w:t>
            </w:r>
          </w:p>
        </w:tc>
      </w:tr>
      <w:tr>
        <w:tc>
          <w:tcPr>
            <w:tcW w:type="dxa" w:w="1134"/>
            <w:tcMar>
              <w:top w:w="90" w:type="dxa"/>
              <w:start w:w="110" w:type="dxa"/>
              <w:bottom w:w="90" w:type="dxa"/>
              <w:end w:w="110" w:type="dxa"/>
            </w:tcMar>
            <w:vAlign w:val="top"/>
          </w:tcPr>
          <w:p>
            <w:pPr>
              <w:spacing w:after="0"/>
            </w:pPr>
            <w:r>
              <w:rPr>
                <w:sz w:val="17"/>
              </w:rPr>
              <w:t>GET/DELETE</w:t>
            </w:r>
          </w:p>
        </w:tc>
        <w:tc>
          <w:tcPr>
            <w:tcW w:type="dxa" w:w="3969"/>
            <w:tcMar>
              <w:top w:w="90" w:type="dxa"/>
              <w:start w:w="110" w:type="dxa"/>
              <w:bottom w:w="90" w:type="dxa"/>
              <w:end w:w="110" w:type="dxa"/>
            </w:tcMar>
            <w:vAlign w:val="top"/>
          </w:tcPr>
          <w:p>
            <w:pPr>
              <w:spacing w:after="0"/>
            </w:pPr>
            <w:r>
              <w:rPr>
                <w:sz w:val="17"/>
              </w:rPr>
              <w:t>/api/corbeille/...</w:t>
            </w:r>
          </w:p>
        </w:tc>
        <w:tc>
          <w:tcPr>
            <w:tcW w:type="dxa" w:w="4252"/>
            <w:tcMar>
              <w:top w:w="90" w:type="dxa"/>
              <w:start w:w="110" w:type="dxa"/>
              <w:bottom w:w="90" w:type="dxa"/>
              <w:end w:w="110" w:type="dxa"/>
            </w:tcMar>
            <w:vAlign w:val="top"/>
          </w:tcPr>
          <w:p>
            <w:pPr>
              <w:spacing w:after="0"/>
            </w:pPr>
            <w:r>
              <w:rPr>
                <w:sz w:val="17"/>
              </w:rPr>
              <w:t>Liste et suppression définitive admin.</w:t>
            </w:r>
          </w:p>
        </w:tc>
      </w:tr>
      <w:tr>
        <w:tc>
          <w:tcPr>
            <w:tcW w:type="dxa" w:w="1134"/>
            <w:tcMar>
              <w:top w:w="90" w:type="dxa"/>
              <w:start w:w="110" w:type="dxa"/>
              <w:bottom w:w="90" w:type="dxa"/>
              <w:end w:w="110" w:type="dxa"/>
            </w:tcMar>
            <w:vAlign w:val="top"/>
            <w:shd w:fill="F2F5F4"/>
          </w:tcPr>
          <w:p>
            <w:pPr>
              <w:spacing w:after="0"/>
            </w:pPr>
            <w:r>
              <w:rPr>
                <w:sz w:val="17"/>
              </w:rPr>
              <w:t>GET</w:t>
            </w:r>
          </w:p>
        </w:tc>
        <w:tc>
          <w:tcPr>
            <w:tcW w:type="dxa" w:w="3969"/>
            <w:tcMar>
              <w:top w:w="90" w:type="dxa"/>
              <w:start w:w="110" w:type="dxa"/>
              <w:bottom w:w="90" w:type="dxa"/>
              <w:end w:w="110" w:type="dxa"/>
            </w:tcMar>
            <w:vAlign w:val="top"/>
            <w:shd w:fill="F2F5F4"/>
          </w:tcPr>
          <w:p>
            <w:pPr>
              <w:spacing w:after="0"/>
            </w:pPr>
            <w:r>
              <w:rPr>
                <w:sz w:val="17"/>
              </w:rPr>
              <w:t>/api/export/portefeuille.csv</w:t>
            </w:r>
          </w:p>
        </w:tc>
        <w:tc>
          <w:tcPr>
            <w:tcW w:type="dxa" w:w="4252"/>
            <w:tcMar>
              <w:top w:w="90" w:type="dxa"/>
              <w:start w:w="110" w:type="dxa"/>
              <w:bottom w:w="90" w:type="dxa"/>
              <w:end w:w="110" w:type="dxa"/>
            </w:tcMar>
            <w:vAlign w:val="top"/>
            <w:shd w:fill="F2F5F4"/>
          </w:tcPr>
          <w:p>
            <w:pPr>
              <w:spacing w:after="0"/>
            </w:pPr>
            <w:r>
              <w:rPr>
                <w:sz w:val="17"/>
              </w:rPr>
              <w:t>Export CSV.</w:t>
            </w:r>
          </w:p>
        </w:tc>
      </w:tr>
    </w:tbl>
    <w:p>
      <w:pPr>
        <w:spacing w:after="0"/>
      </w:pPr>
    </w:p>
    <w:p>
      <w:pPr>
        <w:pStyle w:val="Heading1"/>
        <w:keepNext/>
      </w:pPr>
      <w:r>
        <w:t>19. Gouvernance et décisions à formaliser</w:t>
      </w:r>
    </w:p>
    <w:p>
      <w:pPr>
        <w:pStyle w:val="ListBullet"/>
      </w:pPr>
      <w:r>
        <w:t>Qui est propriétaire fonctionnel des règles d’échéance et des exceptions ?</w:t>
      </w:r>
    </w:p>
    <w:p>
      <w:pPr>
        <w:pStyle w:val="ListBullet"/>
      </w:pPr>
      <w:r>
        <w:t>Qui valide une suppression définitive et après quel délai ?</w:t>
      </w:r>
    </w:p>
    <w:p>
      <w:pPr>
        <w:pStyle w:val="ListBullet"/>
      </w:pPr>
      <w:r>
        <w:t>Quelle durée légale et contractuelle de conservation s’applique aux contrats, paiements et journaux ?</w:t>
      </w:r>
    </w:p>
    <w:p>
      <w:pPr>
        <w:pStyle w:val="ListBullet"/>
      </w:pPr>
      <w:r>
        <w:t>Quelles opérations exactes sont autorisées au futur rôle comptable ?</w:t>
      </w:r>
    </w:p>
    <w:p>
      <w:pPr>
        <w:pStyle w:val="ListBullet"/>
      </w:pPr>
      <w:r>
        <w:t>Quel RPO/RTO est accepté et quel budget fournisseur en découle ?</w:t>
      </w:r>
    </w:p>
    <w:p>
      <w:pPr>
        <w:pStyle w:val="ListBullet"/>
      </w:pPr>
      <w:r>
        <w:t>Les commissions historiques doivent-elles être conservées, exportées puis supprimées du schéma ?</w:t>
      </w:r>
    </w:p>
    <w:p>
      <w:pPr>
        <w:pStyle w:val="ListBullet"/>
      </w:pPr>
      <w:r>
        <w:t>Quelle taille maximale de pièce jointe est réellement nécessaire ?</w:t>
      </w:r>
    </w:p>
    <w:p>
      <w:pPr>
        <w:pStyle w:val="ListBullet"/>
      </w:pPr>
      <w:r>
        <w:t>Quels canaux de relance sont autorisés et comment recueillir le consentement ?</w:t>
      </w:r>
    </w:p>
    <w:p>
      <w:pPr>
        <w:pStyle w:val="ListBullet"/>
      </w:pPr>
      <w:r>
        <w:t>Qui reçoit les alertes et qui décide du retour arrière d’un déploiement ?</w:t>
      </w:r>
    </w:p>
    <w:tbl>
      <w:tblPr>
        <w:tblW w:type="auto" w:w="0"/>
        <w:jc w:val="center"/>
        <w:tblLook w:firstColumn="1" w:firstRow="1" w:lastColumn="0" w:lastRow="0" w:noHBand="0" w:noVBand="1" w:val="04A0"/>
        <w:tblBorders>
          <w:top w:val="single" w:sz="8" w:color="0F6B5B"/>
          <w:left w:val="single" w:sz="8" w:color="0F6B5B"/>
          <w:bottom w:val="single" w:sz="8" w:color="0F6B5B"/>
          <w:right w:val="single" w:sz="8" w:color="0F6B5B"/>
          <w:insideH w:val="single" w:sz="8" w:color="0F6B5B"/>
          <w:insideV w:val="single" w:sz="8" w:color="0F6B5B"/>
        </w:tblBorders>
      </w:tblPr>
      <w:tblGrid>
        <w:gridCol w:w="9972"/>
      </w:tblGrid>
      <w:tr>
        <w:tc>
          <w:tcPr>
            <w:tcW w:type="dxa" w:w="9972"/>
            <w:shd w:fill="DDECE7"/>
            <w:tcMar>
              <w:top w:w="140" w:type="dxa"/>
              <w:start w:w="160" w:type="dxa"/>
              <w:bottom w:w="140" w:type="dxa"/>
              <w:end w:w="160" w:type="dxa"/>
            </w:tcMar>
          </w:tcPr>
          <w:p>
            <w:r>
              <w:rPr>
                <w:b/>
                <w:color w:val="0F6B5B"/>
              </w:rPr>
              <w:t>RÈGLE DE GOUVERNANCE</w:t>
            </w:r>
            <w:r>
              <w:br/>
              <w:t>Chaque décision doit avoir un propriétaire, une date, une justification et un critère d’acceptation. Les règles métier ne doivent pas être modifiées uniquement dans le code sans validation et mise à jour documentaire.</w:t>
            </w:r>
          </w:p>
        </w:tc>
      </w:tr>
    </w:tbl>
    <w:p>
      <w:pPr>
        <w:spacing w:after="0"/>
      </w:pPr>
    </w:p>
    <w:p>
      <w:pPr>
        <w:pStyle w:val="Heading1"/>
        <w:keepNext/>
      </w:pPr>
      <w:r>
        <w:t>20. Glossaire</w:t>
      </w:r>
    </w:p>
    <w:tbl>
      <w:tblPr>
        <w:tblW w:type="auto" w:w="0"/>
        <w:jc w:val="center"/>
        <w:tblLayout w:type="autofit"/>
        <w:tblLook w:firstColumn="1" w:firstRow="1" w:lastColumn="0" w:lastRow="0" w:noHBand="0" w:noVBand="1" w:val="04A0"/>
        <w:tblBorders>
          <w:top w:val="single" w:sz="4" w:color="C9D5D1"/>
          <w:left w:val="single" w:sz="4" w:color="C9D5D1"/>
          <w:bottom w:val="single" w:sz="4" w:color="C9D5D1"/>
          <w:right w:val="single" w:sz="4" w:color="C9D5D1"/>
          <w:insideH w:val="single" w:sz="4" w:color="C9D5D1"/>
          <w:insideV w:val="single" w:sz="4" w:color="C9D5D1"/>
        </w:tblBorders>
      </w:tblPr>
      <w:tblGrid>
        <w:gridCol w:w="4986"/>
        <w:gridCol w:w="4986"/>
      </w:tblGrid>
      <w:tr>
        <w:trPr>
          <w:tblHeader/>
        </w:trPr>
        <w:tc>
          <w:tcPr>
            <w:tcW w:type="dxa" w:w="2268"/>
            <w:shd w:fill="073B34"/>
            <w:tcMar>
              <w:top w:w="90" w:type="dxa"/>
              <w:start w:w="110" w:type="dxa"/>
              <w:bottom w:w="90" w:type="dxa"/>
              <w:end w:w="110" w:type="dxa"/>
            </w:tcMar>
            <w:vAlign w:val="center"/>
          </w:tcPr>
          <w:p>
            <w:r>
              <w:rPr>
                <w:b/>
                <w:color w:val="FFFFFF"/>
                <w:sz w:val="18"/>
              </w:rPr>
              <w:t>Terme</w:t>
            </w:r>
          </w:p>
        </w:tc>
        <w:tc>
          <w:tcPr>
            <w:tcW w:type="dxa" w:w="7087"/>
            <w:shd w:fill="073B34"/>
            <w:tcMar>
              <w:top w:w="90" w:type="dxa"/>
              <w:start w:w="110" w:type="dxa"/>
              <w:bottom w:w="90" w:type="dxa"/>
              <w:end w:w="110" w:type="dxa"/>
            </w:tcMar>
            <w:vAlign w:val="center"/>
          </w:tcPr>
          <w:p>
            <w:r>
              <w:rPr>
                <w:b/>
                <w:color w:val="FFFFFF"/>
                <w:sz w:val="18"/>
              </w:rPr>
              <w:t>Définition</w:t>
            </w:r>
          </w:p>
        </w:tc>
      </w:tr>
      <w:tr>
        <w:tc>
          <w:tcPr>
            <w:tcW w:type="dxa" w:w="2268"/>
            <w:tcMar>
              <w:top w:w="90" w:type="dxa"/>
              <w:start w:w="110" w:type="dxa"/>
              <w:bottom w:w="90" w:type="dxa"/>
              <w:end w:w="110" w:type="dxa"/>
            </w:tcMar>
            <w:vAlign w:val="top"/>
          </w:tcPr>
          <w:p>
            <w:pPr>
              <w:spacing w:after="0"/>
            </w:pPr>
            <w:r>
              <w:rPr>
                <w:sz w:val="17"/>
              </w:rPr>
              <w:t>Échéance</w:t>
            </w:r>
          </w:p>
        </w:tc>
        <w:tc>
          <w:tcPr>
            <w:tcW w:type="dxa" w:w="7087"/>
            <w:tcMar>
              <w:top w:w="90" w:type="dxa"/>
              <w:start w:w="110" w:type="dxa"/>
              <w:bottom w:w="90" w:type="dxa"/>
              <w:end w:w="110" w:type="dxa"/>
            </w:tcMar>
            <w:vAlign w:val="top"/>
          </w:tcPr>
          <w:p>
            <w:pPr>
              <w:spacing w:after="0"/>
            </w:pPr>
            <w:r>
              <w:rPr>
                <w:sz w:val="17"/>
              </w:rPr>
              <w:t>Date calculée à laquelle un règlement ou une action métier devient attendu.</w:t>
            </w:r>
          </w:p>
        </w:tc>
      </w:tr>
      <w:tr>
        <w:tc>
          <w:tcPr>
            <w:tcW w:type="dxa" w:w="2268"/>
            <w:tcMar>
              <w:top w:w="90" w:type="dxa"/>
              <w:start w:w="110" w:type="dxa"/>
              <w:bottom w:w="90" w:type="dxa"/>
              <w:end w:w="110" w:type="dxa"/>
            </w:tcMar>
            <w:vAlign w:val="top"/>
            <w:shd w:fill="F2F5F4"/>
          </w:tcPr>
          <w:p>
            <w:pPr>
              <w:spacing w:after="0"/>
            </w:pPr>
            <w:r>
              <w:rPr>
                <w:sz w:val="17"/>
              </w:rPr>
              <w:t>Fractionnement</w:t>
            </w:r>
          </w:p>
        </w:tc>
        <w:tc>
          <w:tcPr>
            <w:tcW w:type="dxa" w:w="7087"/>
            <w:tcMar>
              <w:top w:w="90" w:type="dxa"/>
              <w:start w:w="110" w:type="dxa"/>
              <w:bottom w:w="90" w:type="dxa"/>
              <w:end w:w="110" w:type="dxa"/>
            </w:tcMar>
            <w:vAlign w:val="top"/>
            <w:shd w:fill="F2F5F4"/>
          </w:tcPr>
          <w:p>
            <w:pPr>
              <w:spacing w:after="0"/>
            </w:pPr>
            <w:r>
              <w:rPr>
                <w:sz w:val="17"/>
              </w:rPr>
              <w:t>Fréquence contractuelle utilisée ici pour calculer la date d’échéance : 3, 6 ou 12 mois ; prime unique sans échéance.</w:t>
            </w:r>
          </w:p>
        </w:tc>
      </w:tr>
      <w:tr>
        <w:tc>
          <w:tcPr>
            <w:tcW w:type="dxa" w:w="2268"/>
            <w:tcMar>
              <w:top w:w="90" w:type="dxa"/>
              <w:start w:w="110" w:type="dxa"/>
              <w:bottom w:w="90" w:type="dxa"/>
              <w:end w:w="110" w:type="dxa"/>
            </w:tcMar>
            <w:vAlign w:val="top"/>
          </w:tcPr>
          <w:p>
            <w:pPr>
              <w:spacing w:after="0"/>
            </w:pPr>
            <w:r>
              <w:rPr>
                <w:sz w:val="17"/>
              </w:rPr>
              <w:t>RLS</w:t>
            </w:r>
          </w:p>
        </w:tc>
        <w:tc>
          <w:tcPr>
            <w:tcW w:type="dxa" w:w="7087"/>
            <w:tcMar>
              <w:top w:w="90" w:type="dxa"/>
              <w:start w:w="110" w:type="dxa"/>
              <w:bottom w:w="90" w:type="dxa"/>
              <w:end w:w="110" w:type="dxa"/>
            </w:tcMar>
            <w:vAlign w:val="top"/>
          </w:tcPr>
          <w:p>
            <w:pPr>
              <w:spacing w:after="0"/>
            </w:pPr>
            <w:r>
              <w:rPr>
                <w:sz w:val="17"/>
              </w:rPr>
              <w:t>Row-Level Security : filtrage des lignes imposé par PostgreSQL selon l’organisation.</w:t>
            </w:r>
          </w:p>
        </w:tc>
      </w:tr>
      <w:tr>
        <w:tc>
          <w:tcPr>
            <w:tcW w:type="dxa" w:w="2268"/>
            <w:tcMar>
              <w:top w:w="90" w:type="dxa"/>
              <w:start w:w="110" w:type="dxa"/>
              <w:bottom w:w="90" w:type="dxa"/>
              <w:end w:w="110" w:type="dxa"/>
            </w:tcMar>
            <w:vAlign w:val="top"/>
            <w:shd w:fill="F2F5F4"/>
          </w:tcPr>
          <w:p>
            <w:pPr>
              <w:spacing w:after="0"/>
            </w:pPr>
            <w:r>
              <w:rPr>
                <w:sz w:val="17"/>
              </w:rPr>
              <w:t>JWT</w:t>
            </w:r>
          </w:p>
        </w:tc>
        <w:tc>
          <w:tcPr>
            <w:tcW w:type="dxa" w:w="7087"/>
            <w:tcMar>
              <w:top w:w="90" w:type="dxa"/>
              <w:start w:w="110" w:type="dxa"/>
              <w:bottom w:w="90" w:type="dxa"/>
              <w:end w:w="110" w:type="dxa"/>
            </w:tcMar>
            <w:vAlign w:val="top"/>
            <w:shd w:fill="F2F5F4"/>
          </w:tcPr>
          <w:p>
            <w:pPr>
              <w:spacing w:after="0"/>
            </w:pPr>
            <w:r>
              <w:rPr>
                <w:sz w:val="17"/>
              </w:rPr>
              <w:t>Jeton signé décrivant la session ; ce n’est ni un mot de passe ni une URL de base.</w:t>
            </w:r>
          </w:p>
        </w:tc>
      </w:tr>
      <w:tr>
        <w:tc>
          <w:tcPr>
            <w:tcW w:type="dxa" w:w="2268"/>
            <w:tcMar>
              <w:top w:w="90" w:type="dxa"/>
              <w:start w:w="110" w:type="dxa"/>
              <w:bottom w:w="90" w:type="dxa"/>
              <w:end w:w="110" w:type="dxa"/>
            </w:tcMar>
            <w:vAlign w:val="top"/>
          </w:tcPr>
          <w:p>
            <w:pPr>
              <w:spacing w:after="0"/>
            </w:pPr>
            <w:r>
              <w:rPr>
                <w:sz w:val="17"/>
              </w:rPr>
              <w:t>Blob</w:t>
            </w:r>
          </w:p>
        </w:tc>
        <w:tc>
          <w:tcPr>
            <w:tcW w:type="dxa" w:w="7087"/>
            <w:tcMar>
              <w:top w:w="90" w:type="dxa"/>
              <w:start w:w="110" w:type="dxa"/>
              <w:bottom w:w="90" w:type="dxa"/>
              <w:end w:w="110" w:type="dxa"/>
            </w:tcMar>
            <w:vAlign w:val="top"/>
          </w:tcPr>
          <w:p>
            <w:pPr>
              <w:spacing w:after="0"/>
            </w:pPr>
            <w:r>
              <w:rPr>
                <w:sz w:val="17"/>
              </w:rPr>
              <w:t>Objet binaire stocké séparément de PostgreSQL, par exemple un PDF.</w:t>
            </w:r>
          </w:p>
        </w:tc>
      </w:tr>
      <w:tr>
        <w:tc>
          <w:tcPr>
            <w:tcW w:type="dxa" w:w="2268"/>
            <w:tcMar>
              <w:top w:w="90" w:type="dxa"/>
              <w:start w:w="110" w:type="dxa"/>
              <w:bottom w:w="90" w:type="dxa"/>
              <w:end w:w="110" w:type="dxa"/>
            </w:tcMar>
            <w:vAlign w:val="top"/>
            <w:shd w:fill="F2F5F4"/>
          </w:tcPr>
          <w:p>
            <w:pPr>
              <w:spacing w:after="0"/>
            </w:pPr>
            <w:r>
              <w:rPr>
                <w:sz w:val="17"/>
              </w:rPr>
              <w:t>RPO</w:t>
            </w:r>
          </w:p>
        </w:tc>
        <w:tc>
          <w:tcPr>
            <w:tcW w:type="dxa" w:w="7087"/>
            <w:tcMar>
              <w:top w:w="90" w:type="dxa"/>
              <w:start w:w="110" w:type="dxa"/>
              <w:bottom w:w="90" w:type="dxa"/>
              <w:end w:w="110" w:type="dxa"/>
            </w:tcMar>
            <w:vAlign w:val="top"/>
            <w:shd w:fill="F2F5F4"/>
          </w:tcPr>
          <w:p>
            <w:pPr>
              <w:spacing w:after="0"/>
            </w:pPr>
            <w:r>
              <w:rPr>
                <w:sz w:val="17"/>
              </w:rPr>
              <w:t>Quantité maximale de données qu’une restauration peut faire perdre.</w:t>
            </w:r>
          </w:p>
        </w:tc>
      </w:tr>
      <w:tr>
        <w:tc>
          <w:tcPr>
            <w:tcW w:type="dxa" w:w="2268"/>
            <w:tcMar>
              <w:top w:w="90" w:type="dxa"/>
              <w:start w:w="110" w:type="dxa"/>
              <w:bottom w:w="90" w:type="dxa"/>
              <w:end w:w="110" w:type="dxa"/>
            </w:tcMar>
            <w:vAlign w:val="top"/>
          </w:tcPr>
          <w:p>
            <w:pPr>
              <w:spacing w:after="0"/>
            </w:pPr>
            <w:r>
              <w:rPr>
                <w:sz w:val="17"/>
              </w:rPr>
              <w:t>RTO</w:t>
            </w:r>
          </w:p>
        </w:tc>
        <w:tc>
          <w:tcPr>
            <w:tcW w:type="dxa" w:w="7087"/>
            <w:tcMar>
              <w:top w:w="90" w:type="dxa"/>
              <w:start w:w="110" w:type="dxa"/>
              <w:bottom w:w="90" w:type="dxa"/>
              <w:end w:w="110" w:type="dxa"/>
            </w:tcMar>
            <w:vAlign w:val="top"/>
          </w:tcPr>
          <w:p>
            <w:pPr>
              <w:spacing w:after="0"/>
            </w:pPr>
            <w:r>
              <w:rPr>
                <w:sz w:val="17"/>
              </w:rPr>
              <w:t>Durée maximale acceptable pour rétablir le service.</w:t>
            </w:r>
          </w:p>
        </w:tc>
      </w:tr>
      <w:tr>
        <w:tc>
          <w:tcPr>
            <w:tcW w:type="dxa" w:w="2268"/>
            <w:tcMar>
              <w:top w:w="90" w:type="dxa"/>
              <w:start w:w="110" w:type="dxa"/>
              <w:bottom w:w="90" w:type="dxa"/>
              <w:end w:w="110" w:type="dxa"/>
            </w:tcMar>
            <w:vAlign w:val="top"/>
            <w:shd w:fill="F2F5F4"/>
          </w:tcPr>
          <w:p>
            <w:pPr>
              <w:spacing w:after="0"/>
            </w:pPr>
            <w:r>
              <w:rPr>
                <w:sz w:val="17"/>
              </w:rPr>
              <w:t>PRA</w:t>
            </w:r>
          </w:p>
        </w:tc>
        <w:tc>
          <w:tcPr>
            <w:tcW w:type="dxa" w:w="7087"/>
            <w:tcMar>
              <w:top w:w="90" w:type="dxa"/>
              <w:start w:w="110" w:type="dxa"/>
              <w:bottom w:w="90" w:type="dxa"/>
              <w:end w:w="110" w:type="dxa"/>
            </w:tcMar>
            <w:vAlign w:val="top"/>
            <w:shd w:fill="F2F5F4"/>
          </w:tcPr>
          <w:p>
            <w:pPr>
              <w:spacing w:after="0"/>
            </w:pPr>
            <w:r>
              <w:rPr>
                <w:sz w:val="17"/>
              </w:rPr>
              <w:t>Plan de reprise d’activité après incident majeur.</w:t>
            </w:r>
          </w:p>
        </w:tc>
      </w:tr>
      <w:tr>
        <w:tc>
          <w:tcPr>
            <w:tcW w:type="dxa" w:w="2268"/>
            <w:tcMar>
              <w:top w:w="90" w:type="dxa"/>
              <w:start w:w="110" w:type="dxa"/>
              <w:bottom w:w="90" w:type="dxa"/>
              <w:end w:w="110" w:type="dxa"/>
            </w:tcMar>
            <w:vAlign w:val="top"/>
          </w:tcPr>
          <w:p>
            <w:pPr>
              <w:spacing w:after="0"/>
            </w:pPr>
            <w:r>
              <w:rPr>
                <w:sz w:val="17"/>
              </w:rPr>
              <w:t>Migration</w:t>
            </w:r>
          </w:p>
        </w:tc>
        <w:tc>
          <w:tcPr>
            <w:tcW w:type="dxa" w:w="7087"/>
            <w:tcMar>
              <w:top w:w="90" w:type="dxa"/>
              <w:start w:w="110" w:type="dxa"/>
              <w:bottom w:w="90" w:type="dxa"/>
              <w:end w:w="110" w:type="dxa"/>
            </w:tcMar>
            <w:vAlign w:val="top"/>
          </w:tcPr>
          <w:p>
            <w:pPr>
              <w:spacing w:after="0"/>
            </w:pPr>
            <w:r>
              <w:rPr>
                <w:sz w:val="17"/>
              </w:rPr>
              <w:t>Modification versionnée et reproductible du schéma de base.</w:t>
            </w:r>
          </w:p>
        </w:tc>
      </w:tr>
      <w:tr>
        <w:tc>
          <w:tcPr>
            <w:tcW w:type="dxa" w:w="2268"/>
            <w:tcMar>
              <w:top w:w="90" w:type="dxa"/>
              <w:start w:w="110" w:type="dxa"/>
              <w:bottom w:w="90" w:type="dxa"/>
              <w:end w:w="110" w:type="dxa"/>
            </w:tcMar>
            <w:vAlign w:val="top"/>
            <w:shd w:fill="F2F5F4"/>
          </w:tcPr>
          <w:p>
            <w:pPr>
              <w:spacing w:after="0"/>
            </w:pPr>
            <w:r>
              <w:rPr>
                <w:sz w:val="17"/>
              </w:rPr>
              <w:t>Idempotent</w:t>
            </w:r>
          </w:p>
        </w:tc>
        <w:tc>
          <w:tcPr>
            <w:tcW w:type="dxa" w:w="7087"/>
            <w:tcMar>
              <w:top w:w="90" w:type="dxa"/>
              <w:start w:w="110" w:type="dxa"/>
              <w:bottom w:w="90" w:type="dxa"/>
              <w:end w:w="110" w:type="dxa"/>
            </w:tcMar>
            <w:vAlign w:val="top"/>
            <w:shd w:fill="F2F5F4"/>
          </w:tcPr>
          <w:p>
            <w:pPr>
              <w:spacing w:after="0"/>
            </w:pPr>
            <w:r>
              <w:rPr>
                <w:sz w:val="17"/>
              </w:rPr>
              <w:t>Traitement pouvant être rejoué sans produire de doublons ou incohérences.</w:t>
            </w:r>
          </w:p>
        </w:tc>
      </w:tr>
    </w:tbl>
    <w:p>
      <w:pPr>
        <w:spacing w:after="0"/>
      </w:pPr>
    </w:p>
    <w:p>
      <w:r>
        <w:br w:type="page"/>
      </w:r>
    </w:p>
    <w:p>
      <w:pPr>
        <w:pStyle w:val="Title"/>
        <w:jc w:val="center"/>
      </w:pPr>
      <w:r>
        <w:t>Fin du document</w:t>
      </w:r>
    </w:p>
    <w:p>
      <w:pPr>
        <w:jc w:val="center"/>
      </w:pPr>
      <w:r>
        <w:t>Ce document décrit l’état observé du code au 7 septembre 2026. Toute évolution métier, de sécurité ou d’infrastructure doit entraîner une révision de cette documentation.</w:t>
      </w:r>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B68"/>
        <w:sz w:val="16"/>
      </w:rPr>
      <w:t xml:space="preserve">Documentation interne  •  7 septembre 2026                         </w:t>
    </w: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6B5B"/>
        <w:sz w:val="16"/>
      </w:rPr>
      <w:t>FINASURE  |  COURTIER PORTEFEUILLE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433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73B34"/>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F6B5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B582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073B3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00"/>
    </w:pPr>
    <w:rPr>
      <w:rFonts w:asciiTheme="majorHAnsi" w:eastAsiaTheme="majorEastAsia" w:hAnsiTheme="majorHAnsi" w:cstheme="majorBidi" w:ascii="Aptos Display" w:hAnsi="Aptos Display" w:eastAsia="Aptos Display"/>
      <w:b/>
      <w:i/>
      <w:iCs/>
      <w:color w:val="5D6B6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égendetechnique">
    <w:name w:val="Légende technique"/>
    <w:rPr>
      <w:rFonts w:ascii="Aptos" w:hAnsi="Aptos"/>
      <w:i/>
      <w:color w:val="5D6B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urtier-portefeuill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complète - Courtier Portefeuille</dc:title>
  <dc:subject>Documentation fonctionnelle, technique, exploitation et pérennisation</dc:subject>
  <dc:creator>Finasure Solutions</dc:creator>
  <cp:keywords>assurance, portefeuille, contrats, échéances, Neon, Vercel</cp:keywords>
  <dc:description>generated by python-docx</dc:description>
  <cp:lastModifiedBy/>
  <cp:revision>1</cp:revision>
  <dcterms:created xsi:type="dcterms:W3CDTF">2013-12-23T23:15:00Z</dcterms:created>
  <dcterms:modified xsi:type="dcterms:W3CDTF">2013-12-23T23:15:00Z</dcterms:modified>
  <cp:category/>
</cp:coreProperties>
</file>