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40"/>
      </w:pPr>
      <w:r>
        <w:rPr>
          <w:rFonts w:ascii="Calibri" w:hAnsi="Calibri"/>
          <w:b/>
          <w:color w:val="357984"/>
          <w:sz w:val="24"/>
        </w:rPr>
        <w:t>NUTRISOFT</w:t>
      </w:r>
    </w:p>
    <w:p>
      <w:pPr>
        <w:spacing w:after="160"/>
      </w:pPr>
      <w:r>
        <w:rPr>
          <w:rFonts w:ascii="Calibri" w:hAnsi="Calibri"/>
          <w:b/>
          <w:color w:val="151B22"/>
          <w:sz w:val="62"/>
        </w:rPr>
        <w:t>Documento Maestro</w:t>
      </w:r>
    </w:p>
    <w:p>
      <w:pPr>
        <w:spacing w:after="440"/>
      </w:pPr>
      <w:r>
        <w:rPr>
          <w:rFonts w:ascii="Calibri" w:hAnsi="Calibri"/>
          <w:color w:val="357984"/>
          <w:sz w:val="32"/>
        </w:rPr>
        <w:t>Estilo, producto, requisitos y continuidad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F3F2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57984"/>
                <w:sz w:val="20"/>
              </w:rPr>
              <w:t>Fuente de verdad para continuar, migrar, rediseñar o auditar NutriSoft sin perder decisiones importantes.</w:t>
            </w:r>
          </w:p>
        </w:tc>
      </w:tr>
    </w:tbl>
    <w:p>
      <w:pPr>
        <w:spacing w:after="0"/>
      </w:pPr>
    </w:p>
    <w:p>
      <w:pPr>
        <w:spacing w:before="600" w:after="80"/>
      </w:pPr>
      <w:r>
        <w:rPr>
          <w:rFonts w:ascii="Calibri" w:hAnsi="Calibri"/>
          <w:b/>
          <w:color w:val="66727D"/>
          <w:sz w:val="21"/>
        </w:rPr>
        <w:t>Versión 1.0  ·  13 de agosto de 2026</w:t>
      </w:r>
    </w:p>
    <w:p>
      <w:r>
        <w:rPr>
          <w:rFonts w:ascii="Calibri" w:hAnsi="Calibri"/>
          <w:i/>
          <w:color w:val="8A959D"/>
          <w:sz w:val="19"/>
        </w:rPr>
        <w:t>Prototipo visual estabilizado + backend seguro multi-tenant verificado localmente</w:t>
      </w:r>
    </w:p>
    <w:p>
      <w:r>
        <w:br w:type="page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F3F2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57984"/>
                <w:sz w:val="20"/>
              </w:rPr>
              <w:t>Este documento debe leerse antes de realizar cambios de producto, UI, datos, permisos o arquitectura. No sustituye los contratos técnicos específicos; los referencia y explica en contexto.</w:t>
            </w:r>
          </w:p>
        </w:tc>
      </w:tr>
    </w:tbl>
    <w:p>
      <w:pPr>
        <w:spacing w:after="0"/>
      </w:pPr>
    </w:p>
    <w:p>
      <w:pPr>
        <w:pStyle w:val="Heading1"/>
      </w:pPr>
      <w:r>
        <w:t>1. Cómo usar y mantener este documento</w:t>
      </w:r>
    </w:p>
    <w:p>
      <w:pPr>
        <w:pStyle w:val="Heading2"/>
      </w:pPr>
      <w:r>
        <w:t>1.1 Jerarquía de autoridad</w:t>
      </w:r>
    </w:p>
    <w:p>
      <w:r>
        <w:rPr>
          <w:rFonts w:ascii="Calibri" w:hAnsi="Calibri"/>
          <w:color w:val="151B22"/>
          <w:sz w:val="22"/>
        </w:rPr>
        <w:t>Si dos fuentes parecen contradecirse, resolver en este orden: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Seguridad, privacidad, RLS e invariantes de base de datos.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Contrato de API y modelo de datos vigente.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Código implementado y pruebas automatizadas.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Este documento maestro y decisiones funcionales aprobadas.</w:t>
      </w:r>
    </w:p>
    <w:p>
      <w:pPr>
        <w:numPr>
          <w:ilvl w:val="0"/>
          <w:numId w:val="100"/>
        </w:numPr>
      </w:pPr>
      <w:r>
        <w:rPr>
          <w:rFonts w:ascii="Calibri" w:hAnsi="Calibri"/>
          <w:color w:val="151B22"/>
          <w:sz w:val="22"/>
        </w:rPr>
        <w:t>Backlog, prototipos, mocks y referencias competitivas.</w:t>
      </w:r>
    </w:p>
    <w:p>
      <w:pPr>
        <w:pStyle w:val="Heading2"/>
      </w:pPr>
      <w:r>
        <w:t>1.2 Estados de una función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Estado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Significado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Regla de comunicación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Implementado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Existe y funciona en el frontend o backend actual.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Puede describirse como disponible en el entorno correspondiente.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 xml:space="preserve">Funciona con </w:t>
            </w:r>
            <w:r>
              <w:rPr>
                <w:rFonts w:ascii="Consolas" w:hAnsi="Consolas"/>
                <w:color w:val="357984"/>
                <w:sz w:val="17"/>
                <w:shd w:fill="F2F7F8"/>
              </w:rPr>
              <w:t>MockProvider</w:t>
            </w:r>
            <w:r>
              <w:rPr>
                <w:rFonts w:ascii="Calibri" w:hAnsi="Calibri"/>
                <w:color w:val="151B22"/>
                <w:sz w:val="17"/>
              </w:rPr>
              <w:t xml:space="preserve"> y datos ficticios, sin persistencia o integración real.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Mostrar “Modo demostración — datos ficticios”.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Planificado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Alcance definido, todavía no implementado.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Mostrar “Próximamente” sólo cuando sea útil para anticipar navegación.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Futuro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Idea aprobada conceptualmente pero requiere discovery, arquitectura o validación.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No prometer fecha ni disponibilidad.</w:t>
            </w:r>
          </w:p>
        </w:tc>
      </w:tr>
    </w:tbl>
    <w:p>
      <w:pPr>
        <w:spacing w:after="0"/>
      </w:pPr>
    </w:p>
    <w:p>
      <w:pPr>
        <w:pStyle w:val="Heading2"/>
      </w:pPr>
      <w:r>
        <w:t>1.3 Protocolo de actualización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Toda decisión que cambie navegación, permisos, tokens, estados, datos o un flujo central debe actualizar este archivo.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Registrar la decisión en la sección “Historial de decisiones”.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documentar como definitivo un precio, límite comercial o integración todavía ficticia.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Conservar el motivo de las decisiones sensibles; no limitarse a describir la pantalla.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migrar, comparar la implementación nueva contra los criterios de aceptación de este documento.</w:t>
      </w:r>
    </w:p>
    <w:p>
      <w:pPr>
        <w:pStyle w:val="Heading1"/>
      </w:pPr>
      <w:r>
        <w:t>2. Visión del producto</w:t>
      </w:r>
    </w:p>
    <w:p>
      <w:r>
        <w:rPr>
          <w:rFonts w:ascii="Calibri" w:hAnsi="Calibri"/>
          <w:color w:val="151B22"/>
          <w:sz w:val="22"/>
        </w:rPr>
        <w:t>NutriSoft es una plataforma SaaS clínica y operativa para nutricionistas, consultorios y pacientes en Latinoamérica. Debe reducir carga administrativa, ordenar el seguimiento y elevar la calidad percibida sin deshumanizar la atención ni automatizar decisiones clínicas de forma opaca.</w:t>
      </w:r>
    </w:p>
    <w:p>
      <w:pPr>
        <w:pStyle w:val="Heading2"/>
      </w:pPr>
      <w:r>
        <w:t>2.1 Promesa central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el consultorio: administración clara de profesionales, pacientes, planes, pagos, vencimientos y permisos.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el nutricionista: una práctica ordenada por prioridad, con menos trabajo repetitivo y contexto clínico accesible.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el paciente: una experiencia móvil simple, cercana y comprensible para responder, consultar y sentirse acompañado.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Para NutriSoft: una operación comercial agregada que nunca expone información clínica identificable al Platform Admin.</w:t>
      </w:r>
    </w:p>
    <w:p>
      <w:pPr>
        <w:pStyle w:val="Heading2"/>
      </w:pPr>
      <w:r>
        <w:t>2.2 Principios no negociables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Privacidad por diseño.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Aislamiento multi-tenant estricto.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El criterio profesional prevalece sobre cualquier automatización.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La interfaz explica estados y próximos pasos; no obliga a adivinar.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Los cambios importantes deben ser auditables y, cuando sea posible, reversibles.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Se prioriza claridad y estabilidad sobre acumulación de funciones.</w:t>
      </w:r>
    </w:p>
    <w:p>
      <w:pPr>
        <w:numPr>
          <w:ilvl w:val="0"/>
          <w:numId w:val="101"/>
        </w:numPr>
      </w:pPr>
      <w:r>
        <w:rPr>
          <w:rFonts w:ascii="Calibri" w:hAnsi="Calibri"/>
          <w:color w:val="151B22"/>
          <w:sz w:val="22"/>
        </w:rPr>
        <w:t>El sistema nunca presenta una inferencia como diagnóstico.</w:t>
      </w:r>
    </w:p>
    <w:p>
      <w:pPr>
        <w:pStyle w:val="Heading2"/>
      </w:pPr>
      <w:r>
        <w:t>2.3 Fuera de alcance del Platform Admin</w:t>
      </w:r>
    </w:p>
    <w:p>
      <w:r>
        <w:rPr>
          <w:rFonts w:ascii="Calibri" w:hAnsi="Calibri"/>
          <w:color w:val="151B22"/>
          <w:sz w:val="22"/>
        </w:rPr>
        <w:t>El Platform Admin administra cuentas, consultorios, planes, pagos, vencimientos, estados y métricas agregadas. No accede a historia clínica, check-ins, alertas clínicas, recomendaciones, notas, fotos, mediciones ni contenido identificable del paciente.</w:t>
      </w:r>
    </w:p>
    <w:p>
      <w:pPr>
        <w:pStyle w:val="Heading1"/>
      </w:pPr>
      <w:r>
        <w:t>3. Roles y permisos</w:t>
      </w:r>
    </w:p>
    <w:p>
      <w:pPr>
        <w:pStyle w:val="Heading2"/>
      </w:pPr>
      <w:r>
        <w:t>3.1 Roles de negocio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Rol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Responsabilidad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Acceso esperado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Platform Admin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Opera la plataforma y relación comercial B2B.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Consultorios, planes, pagos, estados, uso y métricas agregadas. Cero datos clínicos.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Responsable/Owner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Administra su consultorio. Puede haber más de uno.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Equipo, pacientes del consultorio, facturación propia y administración según políticas del tenant.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Nutricionista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Atiende pacientes asignados.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Sólo pacientes asignados, sus check-ins, alertas, recomendaciones, recursos y recetas propias.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Assistant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Apoya la operación administrativa.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Directorio básico reducido; sin contenido clínico.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Usa su portal personal.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Su ficha, asignaciones, respuestas y recomendaciones propias.</w:t>
            </w:r>
          </w:p>
        </w:tc>
      </w:tr>
    </w:tbl>
    <w:p>
      <w:pPr>
        <w:spacing w:after="0"/>
      </w:pPr>
    </w:p>
    <w:p>
      <w:pPr>
        <w:pStyle w:val="Heading2"/>
      </w:pPr>
      <w:r>
        <w:t>3.2 Reglas de aislamiento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Todo dato clínico debe estar vinculado a </w:t>
      </w:r>
      <w:r>
        <w:rPr>
          <w:rFonts w:ascii="Consolas" w:hAnsi="Consolas"/>
          <w:color w:val="357984"/>
          <w:sz w:val="20"/>
          <w:shd w:fill="F2F7F8"/>
        </w:rPr>
        <w:t>organization_id</w:t>
      </w:r>
      <w:r>
        <w:rPr>
          <w:rFonts w:ascii="Calibri" w:hAnsi="Calibri"/>
          <w:color w:val="151B22"/>
          <w:sz w:val="22"/>
        </w:rPr>
        <w:t xml:space="preserve"> y, cuando corresponda, a </w:t>
      </w:r>
      <w:r>
        <w:rPr>
          <w:rFonts w:ascii="Consolas" w:hAnsi="Consolas"/>
          <w:color w:val="357984"/>
          <w:sz w:val="20"/>
          <w:shd w:fill="F2F7F8"/>
        </w:rPr>
        <w:t>patient_id</w:t>
      </w:r>
      <w:r>
        <w:rPr>
          <w:rFonts w:ascii="Calibri" w:hAnsi="Calibri"/>
          <w:color w:val="151B22"/>
          <w:sz w:val="22"/>
        </w:rPr>
        <w:t xml:space="preserve"> y profesional asignado.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 nutricionista no ve pacientes, recursos ni recetas de otro profesional, aunque pertenezcan al mismo consultorio, salvo que exista una función explícita de biblioteca compartida y permiso aprobado.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 paciente no ve información de otro paciente ni puede usar un identificador ajeno para abrir un check-in.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Assistant recibe un directorio reducido sin fecha de nacimiento, ciudad, objetivo nutricional ni información clínica.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organización suspendida pierde acceso operacional clínico hasta su reactivación conforme a política.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acciones administrativas y clínicas sensibles deben dejar auditoría sin contenido clínico innecesario.</w:t>
      </w:r>
    </w:p>
    <w:p>
      <w:pPr>
        <w:pStyle w:val="Heading1"/>
      </w:pPr>
      <w:r>
        <w:t>4. Estado técnico y arquitectura</w:t>
      </w:r>
    </w:p>
    <w:p>
      <w:pPr>
        <w:pStyle w:val="Heading2"/>
      </w:pPr>
      <w:r>
        <w:t>4.1 Fases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Fase 1 — Prototipo visual: cerrada y estabilizada como </w:t>
      </w:r>
      <w:r>
        <w:rPr>
          <w:rFonts w:ascii="Consolas" w:hAnsi="Consolas"/>
          <w:color w:val="357984"/>
          <w:sz w:val="20"/>
          <w:shd w:fill="F2F7F8"/>
        </w:rPr>
        <w:t>v0.1.0-prototype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Fase 2.1 — Backend foundation seguro y multi-tenant: verificado localmente con Supabase.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Frontend actual: modo mock funcional mediante </w:t>
      </w:r>
      <w:r>
        <w:rPr>
          <w:rFonts w:ascii="Consolas" w:hAnsi="Consolas"/>
          <w:color w:val="357984"/>
          <w:sz w:val="20"/>
          <w:shd w:fill="F2F7F8"/>
        </w:rPr>
        <w:t>MockProvider</w:t>
      </w:r>
      <w:r>
        <w:rPr>
          <w:rFonts w:ascii="Calibri" w:hAnsi="Calibri"/>
          <w:color w:val="151B22"/>
          <w:sz w:val="22"/>
        </w:rPr>
        <w:t>; todavía no conectado directamente a Supabase.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Siguiente fase recomendada: autenticación e integración segura, preservando contratos y RLS.</w:t>
      </w:r>
    </w:p>
    <w:p>
      <w:pPr>
        <w:pStyle w:val="Heading2"/>
      </w:pPr>
      <w:r>
        <w:t>4.2 Stack vigente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React 19, React DOM 19 y TypeScript 5.7.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Vite 6 y Tailwind CSS 4.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React Router DOM 6.30 con </w:t>
      </w:r>
      <w:r>
        <w:rPr>
          <w:rFonts w:ascii="Consolas" w:hAnsi="Consolas"/>
          <w:color w:val="357984"/>
          <w:sz w:val="20"/>
          <w:shd w:fill="F2F7F8"/>
        </w:rPr>
        <w:t>createHashRouter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Radix UI para Dialog, Switch y Toast; Lucide React para iconografía.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React Hook Form + Zod para formularios.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Vitest + Testing Library + jest-dom para frontend.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Supabase/PostgreSQL con pgTAP para backend.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Node requerido: </w:t>
      </w:r>
      <w:r>
        <w:rPr>
          <w:rFonts w:ascii="Consolas" w:hAnsi="Consolas"/>
          <w:color w:val="357984"/>
          <w:sz w:val="20"/>
          <w:shd w:fill="F2F7F8"/>
        </w:rPr>
        <w:t>&gt;=24 &lt;25</w:t>
      </w:r>
      <w:r>
        <w:rPr>
          <w:rFonts w:ascii="Calibri" w:hAnsi="Calibri"/>
          <w:color w:val="151B22"/>
          <w:sz w:val="22"/>
        </w:rPr>
        <w:t>.</w:t>
      </w:r>
    </w:p>
    <w:p>
      <w:pPr>
        <w:pStyle w:val="Heading2"/>
      </w:pPr>
      <w:r>
        <w:t>4.3 Esquemas de backend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: persistencia interna. Fuera del Data API; sin DML directo para </w:t>
      </w:r>
      <w:r>
        <w:rPr>
          <w:rFonts w:ascii="Consolas" w:hAnsi="Consolas"/>
          <w:color w:val="357984"/>
          <w:sz w:val="20"/>
          <w:shd w:fill="F2F7F8"/>
        </w:rPr>
        <w:t>authenticated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security</w:t>
      </w:r>
      <w:r>
        <w:rPr>
          <w:rFonts w:ascii="Calibri" w:hAnsi="Calibri"/>
          <w:color w:val="151B22"/>
          <w:sz w:val="22"/>
        </w:rPr>
        <w:t xml:space="preserve">: funciones auxiliares basadas en </w:t>
      </w:r>
      <w:r>
        <w:rPr>
          <w:rFonts w:ascii="Consolas" w:hAnsi="Consolas"/>
          <w:color w:val="357984"/>
          <w:sz w:val="20"/>
          <w:shd w:fill="F2F7F8"/>
        </w:rPr>
        <w:t>auth.uid()</w:t>
      </w:r>
      <w:r>
        <w:rPr>
          <w:rFonts w:ascii="Calibri" w:hAnsi="Calibri"/>
          <w:color w:val="151B22"/>
          <w:sz w:val="22"/>
        </w:rPr>
        <w:t xml:space="preserve">, con </w:t>
      </w:r>
      <w:r>
        <w:rPr>
          <w:rFonts w:ascii="Consolas" w:hAnsi="Consolas"/>
          <w:color w:val="357984"/>
          <w:sz w:val="20"/>
          <w:shd w:fill="F2F7F8"/>
        </w:rPr>
        <w:t>SECURITY DEFINER</w:t>
      </w:r>
      <w:r>
        <w:rPr>
          <w:rFonts w:ascii="Calibri" w:hAnsi="Calibri"/>
          <w:color w:val="151B22"/>
          <w:sz w:val="22"/>
        </w:rPr>
        <w:t xml:space="preserve"> y </w:t>
      </w:r>
      <w:r>
        <w:rPr>
          <w:rFonts w:ascii="Consolas" w:hAnsi="Consolas"/>
          <w:color w:val="357984"/>
          <w:sz w:val="20"/>
          <w:shd w:fill="F2F7F8"/>
        </w:rPr>
        <w:t>search_path</w:t>
      </w:r>
      <w:r>
        <w:rPr>
          <w:rFonts w:ascii="Calibri" w:hAnsi="Calibri"/>
          <w:color w:val="151B22"/>
          <w:sz w:val="22"/>
        </w:rPr>
        <w:t xml:space="preserve"> cerrado.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api</w:t>
      </w:r>
      <w:r>
        <w:rPr>
          <w:rFonts w:ascii="Calibri" w:hAnsi="Calibri"/>
          <w:color w:val="151B22"/>
          <w:sz w:val="22"/>
        </w:rPr>
        <w:t xml:space="preserve">: única superficie pública, mediante vistas </w:t>
      </w:r>
      <w:r>
        <w:rPr>
          <w:rFonts w:ascii="Consolas" w:hAnsi="Consolas"/>
          <w:color w:val="357984"/>
          <w:sz w:val="20"/>
          <w:shd w:fill="F2F7F8"/>
        </w:rPr>
        <w:t>security_invoker</w:t>
      </w:r>
      <w:r>
        <w:rPr>
          <w:rFonts w:ascii="Calibri" w:hAnsi="Calibri"/>
          <w:color w:val="151B22"/>
          <w:sz w:val="22"/>
        </w:rPr>
        <w:t xml:space="preserve"> y RPC transaccionales.</w:t>
      </w:r>
    </w:p>
    <w:p>
      <w:pPr>
        <w:pStyle w:val="Heading2"/>
      </w:pPr>
      <w:r>
        <w:t>4.4 Invariantes críticas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check_in_responses</w:t>
      </w:r>
      <w:r>
        <w:rPr>
          <w:rFonts w:ascii="Calibri" w:hAnsi="Calibri"/>
          <w:color w:val="151B22"/>
          <w:sz w:val="22"/>
        </w:rPr>
        <w:t xml:space="preserve"> y </w:t>
      </w:r>
      <w:r>
        <w:rPr>
          <w:rFonts w:ascii="Consolas" w:hAnsi="Consolas"/>
          <w:color w:val="357984"/>
          <w:sz w:val="20"/>
          <w:shd w:fill="F2F7F8"/>
        </w:rPr>
        <w:t>audit_logs</w:t>
      </w:r>
      <w:r>
        <w:rPr>
          <w:rFonts w:ascii="Calibri" w:hAnsi="Calibri"/>
          <w:color w:val="151B22"/>
          <w:sz w:val="22"/>
        </w:rPr>
        <w:t xml:space="preserve"> son inmutables: no se actualizan ni eliminan.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recomendaciones deben referenciar una respuesta del mismo tenant y paciente.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Las asignaciones sólo pueden apuntar a miembros activos con rol </w:t>
      </w:r>
      <w:r>
        <w:rPr>
          <w:rFonts w:ascii="Consolas" w:hAnsi="Consolas"/>
          <w:color w:val="357984"/>
          <w:sz w:val="20"/>
          <w:shd w:fill="F2F7F8"/>
        </w:rPr>
        <w:t>nutritionist</w:t>
      </w:r>
      <w:r>
        <w:rPr>
          <w:rFonts w:ascii="Calibri" w:hAnsi="Calibri"/>
          <w:color w:val="151B22"/>
          <w:sz w:val="22"/>
        </w:rPr>
        <w:t xml:space="preserve"> u </w:t>
      </w:r>
      <w:r>
        <w:rPr>
          <w:rFonts w:ascii="Consolas" w:hAnsi="Consolas"/>
          <w:color w:val="357984"/>
          <w:sz w:val="20"/>
          <w:shd w:fill="F2F7F8"/>
        </w:rPr>
        <w:t>owner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se puede degradar o desactivar un miembro con asignaciones clínicas activas.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Toda escritura real debe pasar por RPC autorizada; el frontend no escribe directamente en tablas internas.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transiciones de alertas y cobros deben ser idempotentes y verificables.</w:t>
      </w:r>
    </w:p>
    <w:p>
      <w:pPr>
        <w:pStyle w:val="Heading2"/>
      </w:pPr>
      <w:r>
        <w:t>4.5 Comandos de verificación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51B22"/>
                <w:sz w:val="17"/>
              </w:rPr>
              <w:t>npm run dev</w:t>
              <w:br/>
              <w:t>npm run verify:frontend</w:t>
              <w:br/>
              <w:t>npm run verify:database</w:t>
              <w:br/>
              <w:t>npm run verify:all</w:t>
            </w:r>
          </w:p>
        </w:tc>
      </w:tr>
    </w:tbl>
    <w:p>
      <w:pPr>
        <w:pStyle w:val="Heading1"/>
      </w:pPr>
      <w:r>
        <w:t>5. Arquitectura de navegación</w:t>
      </w:r>
    </w:p>
    <w:p>
      <w:pPr>
        <w:pStyle w:val="Heading2"/>
      </w:pPr>
      <w:r>
        <w:t>5.1 Rutas actuales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100"/>
        <w:gridCol w:w="3460"/>
      </w:tblGrid>
      <w:tr>
        <w:trPr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Portal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Ruta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Estado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General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Implementado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 xml:space="preserve">Redirige a </w:t>
            </w: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</w:t>
            </w:r>
            <w:r>
              <w:rPr>
                <w:rFonts w:ascii="Calibri" w:hAnsi="Calibri"/>
                <w:color w:val="151B22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Resumen comercial y operativo agregado.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/admin/organizations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Lista y gestión de consultorios.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/admin/organizations/:organizationId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Perfil del consultorio.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/admin/nutritionists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Lista de nutricionistas.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/admin/nutritionists/:nutritionistId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Perfil del nutricionista en tarjetas.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Admin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/admin/nutritionists/:nutritionistId/patients/:patientId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Acceso contextual y limitado desde el profesional.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Inicio del nutricionista.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/professional/inbox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Bandeja de atención.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/professional/patients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Pacientes asignados.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/professional/patients/:patientId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Perfil operativo del paciente.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/professional/resources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Recursos propios.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Profesional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/professional/recipes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Recetario propio.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/patient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Inicio mobile-first.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Paciente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/patient/check-in/:assignmentId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Simulado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Formulario de check-in aislado.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Desarrollo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/design-system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Implementado sólo DEV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Catálogo visual. Debe devolver 404 en producción.</w:t>
            </w:r>
          </w:p>
        </w:tc>
      </w:tr>
    </w:tbl>
    <w:p>
      <w:pPr>
        <w:spacing w:after="0"/>
      </w:pPr>
    </w:p>
    <w:p>
      <w:pPr>
        <w:pStyle w:val="Heading2"/>
      </w:pPr>
      <w:r>
        <w:t>5.2 Navegación planificada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Profesional: Agenda/Citas como primera opción; Check-ins, Recomendaciones, Reportes y Configuración.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Admin: Facturación y Configuración.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Paciente: Recomendaciones y Más.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opciones futuras se muestran deshabilitadas con badge “Próximamente”; no deben parecer clicables.</w:t>
      </w:r>
    </w:p>
    <w:p>
      <w:pPr>
        <w:pStyle w:val="Heading2"/>
      </w:pPr>
      <w:r>
        <w:t>5.3 Regla de acceso contextual del Admin</w:t>
      </w:r>
    </w:p>
    <w:p>
      <w:r>
        <w:rPr>
          <w:rFonts w:ascii="Calibri" w:hAnsi="Calibri"/>
          <w:color w:val="151B22"/>
          <w:sz w:val="22"/>
        </w:rPr>
        <w:t xml:space="preserve">No existe una ruta general de pacientes para el Platform Admin. El acceso administrativo a una ficha reducida se realiza exclusivamente desde el perfil del nutricionista responsable. La ruta </w:t>
      </w:r>
      <w:r>
        <w:rPr>
          <w:rFonts w:ascii="Consolas" w:hAnsi="Consolas"/>
          <w:color w:val="357984"/>
          <w:sz w:val="20"/>
          <w:shd w:fill="F2F7F8"/>
        </w:rPr>
        <w:t>/admin/patients</w:t>
      </w:r>
      <w:r>
        <w:rPr>
          <w:rFonts w:ascii="Calibri" w:hAnsi="Calibri"/>
          <w:color w:val="151B22"/>
          <w:sz w:val="22"/>
        </w:rPr>
        <w:t xml:space="preserve"> debe responder con una explicación de acceso no permitido.</w:t>
      </w:r>
    </w:p>
    <w:p>
      <w:pPr>
        <w:pStyle w:val="Heading1"/>
      </w:pPr>
      <w:r>
        <w:t>6. Dirección visual</w:t>
      </w:r>
    </w:p>
    <w:p>
      <w:pPr>
        <w:pStyle w:val="Heading2"/>
      </w:pPr>
      <w:r>
        <w:t>6.1 Personalidad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SaaS profesional, tecnológico, humano, minimalista y refinado.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Referencias de calidad: Linear, Notion, Stripe y Apple Health.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producto debe sentirse sereno y preciso, no infantil ni hospitalario.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verde médico oscuro, frutas, balanzas, cintas métricas y clichés de dietética.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colores saturados, sombras fuertes, bordes gruesos y decoraciones sin función.</w:t>
      </w:r>
    </w:p>
    <w:p>
      <w:pPr>
        <w:pStyle w:val="Heading2"/>
      </w:pPr>
      <w:r>
        <w:t>6.2 Paleta oficial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Token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Valor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--bg-app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#F7F9FA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Fondo general.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--surface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#FFFFFF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Tarjetas, modales y paneles.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--surface-subtle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7F8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#F2F7F8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Inputs, filtros y fondos secundarios.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--surface-tinted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DF8F7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#EDF8F7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Contenedores suaves de marca.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--text-primary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51B22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  <w:shd w:fill="F2F7F8"/>
              </w:rPr>
              <w:t>#151B22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Títulos, datos y texto principal.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--text-secondary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66727D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  <w:shd w:fill="F2F7F8"/>
              </w:rPr>
              <w:t>#66727D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Explicaciones y etiquetas.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--text-tertiary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8A959D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#8A959D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Metadatos y estados pasivos.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--border-subtle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2E9EC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#E2E9EC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Bordes estándar.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--border-hover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CCD9DE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#CCD9DE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Hover y separación reforzada.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--brand-primary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55AEB8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#55AEB8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Marca e interacción positiva.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--brand-strong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357984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  <w:shd w:fill="F2F7F8"/>
              </w:rPr>
              <w:t>#357984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Texto/ícono de marca y foco.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--brand-soft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DF3F2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#DDF3F2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Fondos suaves de marca.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--aqua-soft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BDE9EA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#BDE9EA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Acento suave.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--sky-soft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CFE8F5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#CFE8F5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Acento informativo visual.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--mint-soft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8F0E8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#D8F0E8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Apoyo positivo.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--butter-soft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5E8A9"/>
          </w:tcPr>
          <w:p>
            <w:pPr>
              <w:spacing w:after="0"/>
            </w:pPr>
            <w:r>
              <w:rPr>
                <w:rFonts w:ascii="Consolas" w:hAnsi="Consolas"/>
                <w:color w:val="151B22"/>
                <w:sz w:val="17"/>
                <w:shd w:fill="F2F7F8"/>
              </w:rPr>
              <w:t>#F5E8A9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Acento cálido y graduaciones.</w:t>
            </w:r>
          </w:p>
        </w:tc>
      </w:tr>
    </w:tbl>
    <w:p>
      <w:pPr>
        <w:spacing w:after="0"/>
      </w:pPr>
    </w:p>
    <w:p>
      <w:pPr>
        <w:pStyle w:val="Heading2"/>
      </w:pPr>
      <w:r>
        <w:t>6.3 Colores semánticos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100"/>
        <w:gridCol w:w="3460"/>
      </w:tblGrid>
      <w:tr>
        <w:trPr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Estado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Texto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Fondo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Información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#5267C7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#EAEFFC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Explicar, no alarmar.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Advertencia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#C98A27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#FDF6E2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Requiere atención, no peligro inmediato.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Crítico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#C95F59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#FCEBEA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Acción prioritaria o destructiva.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Éxito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#39835A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357984"/>
                <w:sz w:val="17"/>
                <w:shd w:fill="F2F7F8"/>
              </w:rPr>
              <w:t>#E8F5EE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Confirmación o estado estable.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51B22"/>
          <w:sz w:val="22"/>
        </w:rPr>
        <w:t>Nunca comunicar un estado sólo mediante color. Combinar color con etiqueta, ícono o descripción.</w:t>
      </w:r>
    </w:p>
    <w:p>
      <w:pPr>
        <w:pStyle w:val="Heading2"/>
      </w:pPr>
      <w:r>
        <w:t>6.4 Gradientes permitidos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Acción principal: </w:t>
      </w:r>
      <w:r>
        <w:rPr>
          <w:rFonts w:ascii="Consolas" w:hAnsi="Consolas"/>
          <w:color w:val="357984"/>
          <w:sz w:val="20"/>
          <w:shd w:fill="F2F7F8"/>
        </w:rPr>
        <w:t>linear-gradient(90deg, #AEE5E8 0%, #CDEAF5 52%, #F5E6A4 100%)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Tarjeta destacada: </w:t>
      </w:r>
      <w:r>
        <w:rPr>
          <w:rFonts w:ascii="Consolas" w:hAnsi="Consolas"/>
          <w:color w:val="357984"/>
          <w:sz w:val="20"/>
          <w:shd w:fill="F2F7F8"/>
        </w:rPr>
        <w:t>linear-gradient(135deg, #E9F8F7 0%, #EEF7FB 58%, #FCF9E8 100%)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CTA paciente: </w:t>
      </w:r>
      <w:r>
        <w:rPr>
          <w:rFonts w:ascii="Consolas" w:hAnsi="Consolas"/>
          <w:color w:val="357984"/>
          <w:sz w:val="20"/>
          <w:shd w:fill="F2F7F8"/>
        </w:rPr>
        <w:t>linear-gradient(90deg, #B9EAEC 0%, #D5EDF6 50%, #F4E5A1 100%)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Navegación activa: </w:t>
      </w:r>
      <w:r>
        <w:rPr>
          <w:rFonts w:ascii="Consolas" w:hAnsi="Consolas"/>
          <w:color w:val="357984"/>
          <w:sz w:val="20"/>
          <w:shd w:fill="F2F7F8"/>
        </w:rPr>
        <w:t>linear-gradient(90deg, #D9F3F2 0%, #E3F1F8 100%)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Ícono de marca: </w:t>
      </w:r>
      <w:r>
        <w:rPr>
          <w:rFonts w:ascii="Consolas" w:hAnsi="Consolas"/>
          <w:color w:val="357984"/>
          <w:sz w:val="20"/>
          <w:shd w:fill="F2F7F8"/>
        </w:rPr>
        <w:t>linear-gradient(135deg, #8EDADD 0%, #A9DFF3 55%, #EDE196 100%)</w:t>
      </w:r>
      <w:r>
        <w:rPr>
          <w:rFonts w:ascii="Calibri" w:hAnsi="Calibri"/>
          <w:color w:val="151B22"/>
          <w:sz w:val="22"/>
        </w:rPr>
        <w:t>.</w:t>
      </w:r>
    </w:p>
    <w:p>
      <w:r>
        <w:rPr>
          <w:rFonts w:ascii="Calibri" w:hAnsi="Calibri"/>
          <w:color w:val="151B22"/>
          <w:sz w:val="22"/>
        </w:rPr>
        <w:t xml:space="preserve">Los gradientes usan texto oscuro </w:t>
      </w:r>
      <w:r>
        <w:rPr>
          <w:rFonts w:ascii="Consolas" w:hAnsi="Consolas"/>
          <w:color w:val="357984"/>
          <w:sz w:val="20"/>
          <w:shd w:fill="F2F7F8"/>
        </w:rPr>
        <w:t>#151B22</w:t>
      </w:r>
      <w:r>
        <w:rPr>
          <w:rFonts w:ascii="Calibri" w:hAnsi="Calibri"/>
          <w:color w:val="151B22"/>
          <w:sz w:val="22"/>
        </w:rPr>
        <w:t>; no deben convertirse en fondos decorativos dominantes.</w:t>
      </w:r>
    </w:p>
    <w:p>
      <w:pPr>
        <w:pStyle w:val="Heading1"/>
      </w:pPr>
      <w:r>
        <w:t>7. Tipografía, espacio y forma</w:t>
      </w:r>
    </w:p>
    <w:p>
      <w:pPr>
        <w:pStyle w:val="Heading2"/>
      </w:pPr>
      <w:r>
        <w:t>7.1 Tipografía</w:t>
      </w:r>
    </w:p>
    <w:p>
      <w:r>
        <w:rPr>
          <w:rFonts w:ascii="Calibri" w:hAnsi="Calibri"/>
          <w:color w:val="151B22"/>
          <w:sz w:val="22"/>
        </w:rPr>
        <w:t xml:space="preserve">Familia: </w:t>
      </w:r>
      <w:r>
        <w:rPr>
          <w:rFonts w:ascii="Consolas" w:hAnsi="Consolas"/>
          <w:color w:val="357984"/>
          <w:sz w:val="20"/>
          <w:shd w:fill="F2F7F8"/>
        </w:rPr>
        <w:t>Inter, ui-sans-serif, system-ui, -apple-system, BlinkMacSystemFont, "Segoe UI", Roboto, sans-serif</w:t>
      </w:r>
      <w:r>
        <w:rPr>
          <w:rFonts w:ascii="Calibri" w:hAnsi="Calibri"/>
          <w:color w:val="151B22"/>
          <w:sz w:val="22"/>
        </w:rPr>
        <w:t>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Rol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Tamaño / línea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Peso recomendado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H1 de página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28/34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700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H2 de sección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22/28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600–700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H3/tarjeta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18/24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600–700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Cuerpo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14/20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400–500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Texto pequeño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12/16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500–600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Microtexto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10–11 px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500–700; sólo metadatos o badges.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51B22"/>
          <w:sz w:val="22"/>
        </w:rPr>
        <w:t>No reducir texto funcional para “hacerlo entrar”. Priorizar ancho, wrapping, scroll horizontal controlado o simplificación.</w:t>
      </w:r>
    </w:p>
    <w:p>
      <w:pPr>
        <w:pStyle w:val="Heading2"/>
      </w:pPr>
      <w:r>
        <w:t>7.2 Espaciado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Unidad base: 4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Separaciones frecuentes: 8, 12, 16, 20, 24, 32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Padding de página: 16 px móvil, 24 px tablet y 32 px desktop.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Máximos de contenido actuales: 1180–1440 px en Admin; </w:t>
      </w:r>
      <w:r>
        <w:rPr>
          <w:rFonts w:ascii="Consolas" w:hAnsi="Consolas"/>
          <w:color w:val="357984"/>
          <w:sz w:val="20"/>
          <w:shd w:fill="F2F7F8"/>
        </w:rPr>
        <w:t>max-w-md</w:t>
      </w:r>
      <w:r>
        <w:rPr>
          <w:rFonts w:ascii="Calibri" w:hAnsi="Calibri"/>
          <w:color w:val="151B22"/>
          <w:sz w:val="22"/>
        </w:rPr>
        <w:t xml:space="preserve"> en Paciente.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Formularios: separación vertical mínima de 12–16 px; acciones separadas por borde o espacio claro.</w:t>
      </w:r>
    </w:p>
    <w:p>
      <w:pPr>
        <w:pStyle w:val="Heading2"/>
      </w:pPr>
      <w:r>
        <w:t>7.3 Radios y elevación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Controles compactos: 8–12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Botones e inputs estándar: 12 px (</w:t>
      </w:r>
      <w:r>
        <w:rPr>
          <w:rFonts w:ascii="Consolas" w:hAnsi="Consolas"/>
          <w:color w:val="357984"/>
          <w:sz w:val="20"/>
          <w:shd w:fill="F2F7F8"/>
        </w:rPr>
        <w:t>rounded-xl</w:t>
      </w:r>
      <w:r>
        <w:rPr>
          <w:rFonts w:ascii="Calibri" w:hAnsi="Calibri"/>
          <w:color w:val="151B22"/>
          <w:sz w:val="22"/>
        </w:rPr>
        <w:t>).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Tarjetas: 16 px (</w:t>
      </w:r>
      <w:r>
        <w:rPr>
          <w:rFonts w:ascii="Consolas" w:hAnsi="Consolas"/>
          <w:color w:val="357984"/>
          <w:sz w:val="20"/>
          <w:shd w:fill="F2F7F8"/>
        </w:rPr>
        <w:t>rounded-2xl</w:t>
      </w:r>
      <w:r>
        <w:rPr>
          <w:rFonts w:ascii="Calibri" w:hAnsi="Calibri"/>
          <w:color w:val="151B22"/>
          <w:sz w:val="22"/>
        </w:rPr>
        <w:t>).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Hero o contenedor principal: 24 px (</w:t>
      </w:r>
      <w:r>
        <w:rPr>
          <w:rFonts w:ascii="Consolas" w:hAnsi="Consolas"/>
          <w:color w:val="357984"/>
          <w:sz w:val="20"/>
          <w:shd w:fill="F2F7F8"/>
        </w:rPr>
        <w:t>rounded-3xl</w:t>
      </w:r>
      <w:r>
        <w:rPr>
          <w:rFonts w:ascii="Calibri" w:hAnsi="Calibri"/>
          <w:color w:val="151B22"/>
          <w:sz w:val="22"/>
        </w:rPr>
        <w:t>).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Pill/badge: radio completo.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Sombras: muy suaves; preferir borde antes que elevación. Modal y menú flotante pueden usar sombra media.</w:t>
      </w:r>
    </w:p>
    <w:p>
      <w:pPr>
        <w:pStyle w:val="Heading2"/>
      </w:pPr>
      <w:r>
        <w:t>7.4 Movimiento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Duración estándar: 150–200 ms.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Animar color, opacidad, sombra o transformación pequeña.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usar animaciones que demoren acciones clínicas ni movimiento ornamental continuo.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Respetar </w:t>
      </w:r>
      <w:r>
        <w:rPr>
          <w:rFonts w:ascii="Consolas" w:hAnsi="Consolas"/>
          <w:color w:val="357984"/>
          <w:sz w:val="20"/>
          <w:shd w:fill="F2F7F8"/>
        </w:rPr>
        <w:t>prefers-reduced-motion</w:t>
      </w:r>
      <w:r>
        <w:rPr>
          <w:rFonts w:ascii="Calibri" w:hAnsi="Calibri"/>
          <w:color w:val="151B22"/>
          <w:sz w:val="22"/>
        </w:rPr>
        <w:t xml:space="preserve"> cuando se incorporen animaciones complejas.</w:t>
      </w:r>
    </w:p>
    <w:p>
      <w:pPr>
        <w:pStyle w:val="Heading1"/>
      </w:pPr>
      <w:r>
        <w:t>8. Diseño responsive por rol</w:t>
      </w:r>
    </w:p>
    <w:p>
      <w:pPr>
        <w:pStyle w:val="Heading2"/>
      </w:pPr>
      <w:r>
        <w:t>8.1 Admin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Desktop-first.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Sidebar fija de 256 px desde </w:t>
      </w:r>
      <w:r>
        <w:rPr>
          <w:rFonts w:ascii="Consolas" w:hAnsi="Consolas"/>
          <w:color w:val="357984"/>
          <w:sz w:val="20"/>
          <w:shd w:fill="F2F7F8"/>
        </w:rPr>
        <w:t>md</w:t>
      </w:r>
      <w:r>
        <w:rPr>
          <w:rFonts w:ascii="Calibri" w:hAnsi="Calibri"/>
          <w:color w:val="151B22"/>
          <w:sz w:val="22"/>
        </w:rPr>
        <w:t>; ocultarla en móvil hasta definir navegación alternativa.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Tablas pueden usar </w:t>
      </w:r>
      <w:r>
        <w:rPr>
          <w:rFonts w:ascii="Consolas" w:hAnsi="Consolas"/>
          <w:color w:val="357984"/>
          <w:sz w:val="20"/>
          <w:shd w:fill="F2F7F8"/>
        </w:rPr>
        <w:t>overflow-x-auto</w:t>
      </w:r>
      <w:r>
        <w:rPr>
          <w:rFonts w:ascii="Calibri" w:hAnsi="Calibri"/>
          <w:color w:val="151B22"/>
          <w:sz w:val="22"/>
        </w:rPr>
        <w:t xml:space="preserve"> y ancho mínimo explícito.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Priorizar datos agregados, filtros, estados y acciones de gestión.</w:t>
      </w:r>
    </w:p>
    <w:p>
      <w:pPr>
        <w:pStyle w:val="Heading2"/>
      </w:pPr>
      <w:r>
        <w:t>8.2 Profesional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Desktop-first con adaptación tablet.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Sidebar textual; contador de alertas sin resolver.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Dashboard y bandeja orientados a acción, no a decoración.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Fichas de detalle en tarjetas y secciones; evitar navegación por pestañas excesivamente fragmentada.</w:t>
      </w:r>
    </w:p>
    <w:p>
      <w:pPr>
        <w:pStyle w:val="Heading2"/>
      </w:pPr>
      <w:r>
        <w:t>8.3 Paciente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Mobile-first, ancho de lectura limitado.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Navegación inferior fija con objetivos principales.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Targets táctiles mínimos de 44 × 44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Lenguaje cotidiano, frases cortas y una acción principal por pantalla.</w:t>
      </w:r>
    </w:p>
    <w:p>
      <w:pPr>
        <w:pStyle w:val="Heading1"/>
      </w:pPr>
      <w:r>
        <w:t>9. Componentes y patrones</w:t>
      </w:r>
    </w:p>
    <w:p>
      <w:pPr>
        <w:pStyle w:val="Heading2"/>
      </w:pPr>
      <w:r>
        <w:t>9.1 Botones</w:t>
      </w:r>
    </w:p>
    <w:p>
      <w:r>
        <w:rPr>
          <w:rFonts w:ascii="Calibri" w:hAnsi="Calibri"/>
          <w:color w:val="151B22"/>
          <w:sz w:val="22"/>
        </w:rPr>
        <w:t>Variantes vigentes: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primary</w:t>
      </w:r>
      <w:r>
        <w:rPr>
          <w:rFonts w:ascii="Calibri" w:hAnsi="Calibri"/>
          <w:color w:val="151B22"/>
          <w:sz w:val="22"/>
        </w:rPr>
        <w:t>: gradiente de marca; acción principal de la pantalla o modal.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brand</w:t>
      </w:r>
      <w:r>
        <w:rPr>
          <w:rFonts w:ascii="Calibri" w:hAnsi="Calibri"/>
          <w:color w:val="151B22"/>
          <w:sz w:val="22"/>
        </w:rPr>
        <w:t>: aqua sólido; acción de marca secundaria.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secondary</w:t>
      </w:r>
      <w:r>
        <w:rPr>
          <w:rFonts w:ascii="Calibri" w:hAnsi="Calibri"/>
          <w:color w:val="151B22"/>
          <w:sz w:val="22"/>
        </w:rPr>
        <w:t>: superficie suave con borde.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outline</w:t>
      </w:r>
      <w:r>
        <w:rPr>
          <w:rFonts w:ascii="Calibri" w:hAnsi="Calibri"/>
          <w:color w:val="151B22"/>
          <w:sz w:val="22"/>
        </w:rPr>
        <w:t>: acción secundaria transparente.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ghost</w:t>
      </w:r>
      <w:r>
        <w:rPr>
          <w:rFonts w:ascii="Calibri" w:hAnsi="Calibri"/>
          <w:color w:val="151B22"/>
          <w:sz w:val="22"/>
        </w:rPr>
        <w:t>: navegación o acción de baja jerarquía.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destructive</w:t>
      </w:r>
      <w:r>
        <w:rPr>
          <w:rFonts w:ascii="Calibri" w:hAnsi="Calibri"/>
          <w:color w:val="151B22"/>
          <w:sz w:val="22"/>
        </w:rPr>
        <w:t>: fondo crítico suave; cerrar, suspender o acción irreversible.</w:t>
      </w:r>
    </w:p>
    <w:p>
      <w:r>
        <w:rPr>
          <w:rFonts w:ascii="Calibri" w:hAnsi="Calibri"/>
          <w:color w:val="151B22"/>
          <w:sz w:val="22"/>
        </w:rPr>
        <w:t>Reglas: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Máximo una acción visualmente primaria por bloque.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Tamaños: sm 36 px, md 44 px, lg 48 px de altura mínima.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Toda acción sólo con ícono necesita </w:t>
      </w:r>
      <w:r>
        <w:rPr>
          <w:rFonts w:ascii="Consolas" w:hAnsi="Consolas"/>
          <w:color w:val="357984"/>
          <w:sz w:val="20"/>
          <w:shd w:fill="F2F7F8"/>
        </w:rPr>
        <w:t>aria-label</w:t>
      </w:r>
      <w:r>
        <w:rPr>
          <w:rFonts w:ascii="Calibri" w:hAnsi="Calibri"/>
          <w:color w:val="151B22"/>
          <w:sz w:val="22"/>
        </w:rPr>
        <w:t xml:space="preserve"> y tooltip cuando su significado no sea universal.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Deshabilitado debe comunicar también la razón mediante texto cercano cuando la acción sea importante.</w:t>
      </w:r>
    </w:p>
    <w:p>
      <w:pPr>
        <w:pStyle w:val="Heading2"/>
      </w:pPr>
      <w:r>
        <w:t>9.2 Tarjetas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Superficie blanca, borde sutil, radio 16 px, sombra mínima.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highlighted</w:t>
      </w:r>
      <w:r>
        <w:rPr>
          <w:rFonts w:ascii="Calibri" w:hAnsi="Calibri"/>
          <w:color w:val="151B22"/>
          <w:sz w:val="22"/>
        </w:rPr>
        <w:t xml:space="preserve"> usa gradiente suave aprobado.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tarjeta debe agrupar una unidad coherente: métrica, estado, persona, recurso o acción.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usar tarjetas como contenedor de cada línea; evitar fragmentación visual.</w:t>
      </w:r>
    </w:p>
    <w:p>
      <w:pPr>
        <w:pStyle w:val="Heading2"/>
      </w:pPr>
      <w:r>
        <w:t>9.3 Badges y estados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Badges generales: </w:t>
      </w:r>
      <w:r>
        <w:rPr>
          <w:rFonts w:ascii="Consolas" w:hAnsi="Consolas"/>
          <w:color w:val="357984"/>
          <w:sz w:val="20"/>
          <w:shd w:fill="F2F7F8"/>
        </w:rPr>
        <w:t>high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medium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normal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active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suspended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pending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info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neutral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de consultorio mediante badge-trigger interactivo: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Activo: verde.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Pago pendiente: amarillo.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Suspendido: naranja.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Cerrado: rojo.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badge actual actúa como disparador de menú compacto en español.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opción actual y actualizar etiqueta/color inmediatamente después de confirmar.</w:t>
      </w:r>
    </w:p>
    <w:p>
      <w:pPr>
        <w:pStyle w:val="Heading2"/>
      </w:pPr>
      <w:r>
        <w:t>9.4 Inputs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Label visible sobre el control.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Fondo </w:t>
      </w:r>
      <w:r>
        <w:rPr>
          <w:rFonts w:ascii="Consolas" w:hAnsi="Consolas"/>
          <w:color w:val="357984"/>
          <w:sz w:val="20"/>
          <w:shd w:fill="F2F7F8"/>
        </w:rPr>
        <w:t>surface-subtle</w:t>
      </w:r>
      <w:r>
        <w:rPr>
          <w:rFonts w:ascii="Calibri" w:hAnsi="Calibri"/>
          <w:color w:val="151B22"/>
          <w:sz w:val="22"/>
        </w:rPr>
        <w:t xml:space="preserve">, borde </w:t>
      </w:r>
      <w:r>
        <w:rPr>
          <w:rFonts w:ascii="Consolas" w:hAnsi="Consolas"/>
          <w:color w:val="357984"/>
          <w:sz w:val="20"/>
          <w:shd w:fill="F2F7F8"/>
        </w:rPr>
        <w:t>border-subtle</w:t>
      </w:r>
      <w:r>
        <w:rPr>
          <w:rFonts w:ascii="Calibri" w:hAnsi="Calibri"/>
          <w:color w:val="151B22"/>
          <w:sz w:val="22"/>
        </w:rPr>
        <w:t>, radio 12 px.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Focus con </w:t>
      </w:r>
      <w:r>
        <w:rPr>
          <w:rFonts w:ascii="Consolas" w:hAnsi="Consolas"/>
          <w:color w:val="357984"/>
          <w:sz w:val="20"/>
          <w:shd w:fill="F2F7F8"/>
        </w:rPr>
        <w:t>brand-strong</w:t>
      </w:r>
      <w:r>
        <w:rPr>
          <w:rFonts w:ascii="Calibri" w:hAnsi="Calibri"/>
          <w:color w:val="151B22"/>
          <w:sz w:val="22"/>
        </w:rPr>
        <w:t xml:space="preserve"> y superficie blanca.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Error mediante texto específico y asociación </w:t>
      </w:r>
      <w:r>
        <w:rPr>
          <w:rFonts w:ascii="Consolas" w:hAnsi="Consolas"/>
          <w:color w:val="357984"/>
          <w:sz w:val="20"/>
          <w:shd w:fill="F2F7F8"/>
        </w:rPr>
        <w:t>aria-describedby</w:t>
      </w:r>
      <w:r>
        <w:rPr>
          <w:rFonts w:ascii="Calibri" w:hAnsi="Calibri"/>
          <w:color w:val="151B22"/>
          <w:sz w:val="22"/>
        </w:rPr>
        <w:t>; nunca sólo borde rojo.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 obligatorios identificados de forma consistente.</w:t>
      </w:r>
    </w:p>
    <w:p>
      <w:pPr>
        <w:pStyle w:val="Heading2"/>
      </w:pPr>
      <w:r>
        <w:t>9.5 Dialog/Modal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Radix Dialog con overlay oscuro suave, backdrop blur, trampa y restauración de foco, cierre con Escape.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Ancho máximo estándar </w:t>
      </w:r>
      <w:r>
        <w:rPr>
          <w:rFonts w:ascii="Consolas" w:hAnsi="Consolas"/>
          <w:color w:val="357984"/>
          <w:sz w:val="20"/>
          <w:shd w:fill="F2F7F8"/>
        </w:rPr>
        <w:t>max-w-lg</w:t>
      </w:r>
      <w:r>
        <w:rPr>
          <w:rFonts w:ascii="Calibri" w:hAnsi="Calibri"/>
          <w:color w:val="151B22"/>
          <w:sz w:val="22"/>
        </w:rPr>
        <w:t>; alto máximo 85 vh con scroll interno.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Encabezado con título, descripción y cerrar accesible.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Acciones: cancelar a la izquierda de confirmar; acción destructiva claramente diferenciada.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cerrar exitosamente, limpiar formulario y devolver foco al disparador.</w:t>
      </w:r>
    </w:p>
    <w:p>
      <w:pPr>
        <w:pStyle w:val="Heading2"/>
      </w:pPr>
      <w:r>
        <w:t>9.6 Toast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Tipos: éxito, error e información.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Ícono, título y descripción opcional.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 muestra abajo a la derecha en desktop; debe adaptarse sin salirse del viewport móvil.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usar toast como único lugar para información necesaria para corregir un formulario.</w:t>
      </w:r>
    </w:p>
    <w:p>
      <w:pPr>
        <w:pStyle w:val="Heading2"/>
      </w:pPr>
      <w:r>
        <w:t>9.7 Tablas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Encabezados legibles y </w:t>
      </w:r>
      <w:r>
        <w:rPr>
          <w:rFonts w:ascii="Consolas" w:hAnsi="Consolas"/>
          <w:color w:val="357984"/>
          <w:sz w:val="20"/>
          <w:shd w:fill="F2F7F8"/>
        </w:rPr>
        <w:t>scope="col"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Datos alineados por tipo; números y acciones mantienen consistencia.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Filas con separación sutil; no cuadrícula pesada.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Mobile/tablet: contenedor con scroll horizontal y ancho mínimo explícito.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Acciones principales deben seguir disponibles por teclado.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 vacío visible debajo del encabezado o como bloque reemplazo.</w:t>
      </w:r>
    </w:p>
    <w:p>
      <w:pPr>
        <w:pStyle w:val="Heading2"/>
      </w:pPr>
      <w:r>
        <w:t>9.8 Menús flotantes de badge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Trigger con </w:t>
      </w:r>
      <w:r>
        <w:rPr>
          <w:rFonts w:ascii="Consolas" w:hAnsi="Consolas"/>
          <w:color w:val="357984"/>
          <w:sz w:val="20"/>
          <w:shd w:fill="F2F7F8"/>
        </w:rPr>
        <w:t>aria-haspopup="menu"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aria-expanded</w:t>
      </w:r>
      <w:r>
        <w:rPr>
          <w:rFonts w:ascii="Calibri" w:hAnsi="Calibri"/>
          <w:color w:val="151B22"/>
          <w:sz w:val="22"/>
        </w:rPr>
        <w:t xml:space="preserve"> y label contextual.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Menú absoluto con ancho cercano a 12 rem, superficie blanca, borde y sombra.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Elementos con rol </w:t>
      </w:r>
      <w:r>
        <w:rPr>
          <w:rFonts w:ascii="Consolas" w:hAnsi="Consolas"/>
          <w:color w:val="357984"/>
          <w:sz w:val="20"/>
          <w:shd w:fill="F2F7F8"/>
        </w:rPr>
        <w:t>menuitem</w:t>
      </w:r>
      <w:r>
        <w:rPr>
          <w:rFonts w:ascii="Calibri" w:hAnsi="Calibri"/>
          <w:color w:val="151B22"/>
          <w:sz w:val="22"/>
        </w:rPr>
        <w:t>; indicar opción actual con texto, no sólo color.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Cerrar al seleccionar, Escape o click exterior cuando se incorpore implementación completa.</w:t>
      </w:r>
    </w:p>
    <w:p>
      <w:pPr>
        <w:pStyle w:val="Heading2"/>
      </w:pPr>
      <w:r>
        <w:t>9.9 Escalas 1–5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Usar </w:t>
      </w:r>
      <w:r>
        <w:rPr>
          <w:rFonts w:ascii="Consolas" w:hAnsi="Consolas"/>
          <w:color w:val="357984"/>
          <w:sz w:val="20"/>
          <w:shd w:fill="F2F7F8"/>
        </w:rPr>
        <w:t>fieldset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legend</w:t>
      </w:r>
      <w:r>
        <w:rPr>
          <w:rFonts w:ascii="Calibri" w:hAnsi="Calibri"/>
          <w:color w:val="151B22"/>
          <w:sz w:val="22"/>
        </w:rPr>
        <w:t xml:space="preserve"> e inputs radio reales.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Cada opción tiene 44 × 44 px como mínimo.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Selección visible mediante fondo, contraste y cambio de forma/elevación.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error se asocia al grupo completo.</w:t>
      </w:r>
    </w:p>
    <w:p>
      <w:pPr>
        <w:pStyle w:val="Heading2"/>
      </w:pPr>
      <w:r>
        <w:t>9.10 Estado vacío, carga y error</w:t>
      </w:r>
    </w:p>
    <w:p>
      <w:r>
        <w:rPr>
          <w:rFonts w:ascii="Calibri" w:hAnsi="Calibri"/>
          <w:color w:val="151B22"/>
          <w:sz w:val="22"/>
        </w:rPr>
        <w:t>Cada módulo debe definir: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Cargando: skeleton o texto que conserve jerarquía.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Vacío inicial: qué es el módulo y acción para crear el primer elemento.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Vacío por filtro: “No encontramos…” y opción de limpiar filtros.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Error recuperable: causa comprensible y reintentar.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Sin permiso: explicar límite sin revelar existencia de datos.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Requiere plan/verificación: condición, beneficio y próximo paso.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Próximamente: deshabilitado, no fingir una función disponible.</w:t>
      </w:r>
    </w:p>
    <w:p>
      <w:pPr>
        <w:pStyle w:val="Heading1"/>
      </w:pPr>
      <w:r>
        <w:t>10. Lenguaje y contenido</w:t>
      </w:r>
    </w:p>
    <w:p>
      <w:pPr>
        <w:pStyle w:val="Heading2"/>
      </w:pPr>
      <w:r>
        <w:t>10.1 Voz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Profesional, clara, cálida y directa.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Español rioplatense coherente en portales internos: “Gestioná”, “Confirmá”, “Ingresá”.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Paciente puede usarse español neutral o cercano, pero no mezclar tratamientos dentro de una misma experiencia.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jerga técnica, culpabilización, diagnósticos automáticos y promesas clínicas.</w:t>
      </w:r>
    </w:p>
    <w:p>
      <w:pPr>
        <w:pStyle w:val="Heading2"/>
      </w:pPr>
      <w:r>
        <w:t>10.2 Convenciones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“Consultorio” en UI; “organization” sólo en código/arquitectura.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“Nutricionista” o “profesional” según contexto; no usar términos ingleses visibles.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Estados: Activo, Pago pendiente, Suspendido, Cerrado.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Fechas visibles en formato local </w:t>
      </w:r>
      <w:r>
        <w:rPr>
          <w:rFonts w:ascii="Consolas" w:hAnsi="Consolas"/>
          <w:color w:val="357984"/>
          <w:sz w:val="20"/>
          <w:shd w:fill="F2F7F8"/>
        </w:rPr>
        <w:t>es-AR</w:t>
      </w:r>
      <w:r>
        <w:rPr>
          <w:rFonts w:ascii="Calibri" w:hAnsi="Calibri"/>
          <w:color w:val="151B22"/>
          <w:sz w:val="22"/>
        </w:rPr>
        <w:t>; fechas de sistema en ISO.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Importes en ARS con </w:t>
      </w:r>
      <w:r>
        <w:rPr>
          <w:rFonts w:ascii="Consolas" w:hAnsi="Consolas"/>
          <w:color w:val="357984"/>
          <w:sz w:val="20"/>
          <w:shd w:fill="F2F7F8"/>
        </w:rPr>
        <w:t>Intl.NumberFormat</w:t>
      </w:r>
      <w:r>
        <w:rPr>
          <w:rFonts w:ascii="Calibri" w:hAnsi="Calibri"/>
          <w:color w:val="151B22"/>
          <w:sz w:val="22"/>
        </w:rPr>
        <w:t>, sin centavos salvo necesidad real.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“Última actividad” incluye fecha, hora y valor relativo.</w:t>
      </w:r>
    </w:p>
    <w:p>
      <w:pPr>
        <w:pStyle w:val="Heading2"/>
      </w:pPr>
      <w:r>
        <w:t>10.3 Microcopy clínica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check-in confirma recepción de datos, no interpreta ni diagnostica.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alerta explica hecho, importancia y acción sugerida.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recomendación pertenece a un profesional identificable.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IA debe declararse como asistencia y nunca hablar con autoridad clínica autónoma.</w:t>
      </w:r>
    </w:p>
    <w:p>
      <w:pPr>
        <w:pStyle w:val="Heading1"/>
      </w:pPr>
      <w:r>
        <w:t>11. Accesibilidad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Objetivo mínimo: WCAG 2.1 AA.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Foco global visible: anillo de 2 px sobre superficie + 2 px </w:t>
      </w:r>
      <w:r>
        <w:rPr>
          <w:rFonts w:ascii="Consolas" w:hAnsi="Consolas"/>
          <w:color w:val="357984"/>
          <w:sz w:val="20"/>
          <w:shd w:fill="F2F7F8"/>
        </w:rPr>
        <w:t>brand-strong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Targets táctiles de 44 px en móvil y controles importantes.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HTML semántico: landmarks, títulos jerárquicos, listas, tablas, labels y botones reales.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No usar </w:t>
      </w:r>
      <w:r>
        <w:rPr>
          <w:rFonts w:ascii="Consolas" w:hAnsi="Consolas"/>
          <w:color w:val="357984"/>
          <w:sz w:val="20"/>
          <w:shd w:fill="F2F7F8"/>
        </w:rPr>
        <w:t>div</w:t>
      </w:r>
      <w:r>
        <w:rPr>
          <w:rFonts w:ascii="Calibri" w:hAnsi="Calibri"/>
          <w:color w:val="151B22"/>
          <w:sz w:val="22"/>
        </w:rPr>
        <w:t xml:space="preserve"> clicable sin rol/teclado.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Contraste suficiente en texto, badges y botones.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Iconos decorativos no duplican texto para lectores de pantalla.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Modales gestionan foco y Escape.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Errores se anuncian y enlazan al campo.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no dependen sólo del color.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Controles y navegación deben funcionar con teclado.</w:t>
      </w:r>
    </w:p>
    <w:p>
      <w:pPr>
        <w:pStyle w:val="Heading1"/>
      </w:pPr>
      <w:r>
        <w:t>12. Requisitos del portal Admin</w:t>
      </w:r>
    </w:p>
    <w:p>
      <w:pPr>
        <w:pStyle w:val="Heading2"/>
      </w:pPr>
      <w:r>
        <w:t>12.1 Resumen general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Encabezado “Super Admin · Vista comercial”.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Métricas: consultorios activos, nutricionistas y pacientes activos agregados.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Botón </w:t>
      </w:r>
      <w:r>
        <w:rPr>
          <w:rFonts w:ascii="Consolas" w:hAnsi="Consolas"/>
          <w:color w:val="357984"/>
          <w:sz w:val="20"/>
          <w:shd w:fill="F2F7F8"/>
        </w:rPr>
        <w:t>+ Nuevo consultorio</w:t>
      </w:r>
      <w:r>
        <w:rPr>
          <w:rFonts w:ascii="Calibri" w:hAnsi="Calibri"/>
          <w:color w:val="151B22"/>
          <w:sz w:val="22"/>
        </w:rPr>
        <w:t xml:space="preserve"> visible.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Mensaje permanente de privacidad por diseño.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métricas jamás deben contener información clínica identificable.</w:t>
      </w:r>
    </w:p>
    <w:p>
      <w:pPr>
        <w:pStyle w:val="Heading2"/>
      </w:pPr>
      <w:r>
        <w:t>12.2 Atención comercial</w:t>
      </w:r>
    </w:p>
    <w:p>
      <w:r>
        <w:rPr>
          <w:rFonts w:ascii="Calibri" w:hAnsi="Calibri"/>
          <w:color w:val="151B22"/>
          <w:sz w:val="22"/>
        </w:rPr>
        <w:t>Tarjetas: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Vencen en 3 días.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Pendiente de pago.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Próximo a suspensión.</w:t>
      </w:r>
    </w:p>
    <w:p>
      <w:pPr>
        <w:numPr>
          <w:ilvl w:val="0"/>
          <w:numId w:val="102"/>
        </w:numPr>
      </w:pPr>
      <w:r>
        <w:rPr>
          <w:rFonts w:ascii="Calibri" w:hAnsi="Calibri"/>
          <w:color w:val="151B22"/>
          <w:sz w:val="22"/>
        </w:rPr>
        <w:t>Suspendidos.</w:t>
      </w:r>
    </w:p>
    <w:p>
      <w:r>
        <w:rPr>
          <w:rFonts w:ascii="Calibri" w:hAnsi="Calibri"/>
          <w:color w:val="151B22"/>
          <w:sz w:val="22"/>
        </w:rPr>
        <w:t>Reglas: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Listar nombres de consultorios cuando el conteo es mayor que cero.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Cuando el conteo es cero, no mostrar separador, etiquetas ni nombres vacíos.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Permitir “Registrar pago” directamente donde corresponda.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incluir botón redundante “Ver consultorios”; la navegación principal ya resuelve ese acceso.</w:t>
      </w:r>
    </w:p>
    <w:p>
      <w:pPr>
        <w:pStyle w:val="Heading2"/>
      </w:pPr>
      <w:r>
        <w:t>12.3 Gráfico de evolución de plataforma</w:t>
      </w:r>
    </w:p>
    <w:p>
      <w:r>
        <w:rPr>
          <w:rFonts w:ascii="Calibri" w:hAnsi="Calibri"/>
          <w:color w:val="151B22"/>
          <w:sz w:val="22"/>
        </w:rPr>
        <w:t>Estado actual: simulado y estilizado.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Estética limpia, sobria y minimalista.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Sin ejes Y ni unidades visibles en laterales.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Conservar sólo meses en eje X.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Series: Consultorios activos, Pacientes activos y Cobros reales.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Filtros de tiempo obligatorios: Mes actual, 3 meses, 6 meses, Todo y Personalizado.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Los filtros de serie actúan como toggles accesibles y deben mostrar una diferencia inequívoca entre activo/inactivo.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Tooltip por mes con valores exactos.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hay varias series activas, tooltip con desglose; si hay una, mostrar sólo esa serie.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filtro personalizado define inicio y fin válidos y comunica el rango aplicado.</w:t>
      </w:r>
    </w:p>
    <w:p>
      <w:pPr>
        <w:pStyle w:val="Heading2"/>
      </w:pPr>
      <w:r>
        <w:t>12.4 Lista de consultorios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Búsqueda y filtros de estado/plan.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Tabla con consultorio, estado, plan/tarifa, nutricionistas, pacientes, vencimiento, facturación, almacenamiento y detalle.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+ Nuevo consultorio</w:t>
      </w:r>
      <w:r>
        <w:rPr>
          <w:rFonts w:ascii="Calibri" w:hAnsi="Calibri"/>
          <w:color w:val="151B22"/>
          <w:sz w:val="22"/>
        </w:rPr>
        <w:t xml:space="preserve"> también en la cabecera de esta sección.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 mediante badge-dropdown en español, no select tradicional.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Plan/tarifa mediante badge-dropdown editable on-the-fly.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cambiar plan, actualizar precio y almacenamiento asociados sin recarga.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Registrar pago disponible por fila.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Mantener scroll horizontal controlado en viewports estrechos.</w:t>
      </w:r>
    </w:p>
    <w:p>
      <w:pPr>
        <w:pStyle w:val="Heading2"/>
      </w:pPr>
      <w:r>
        <w:t>12.5 Alta de consultorio</w:t>
      </w:r>
    </w:p>
    <w:p>
      <w:r>
        <w:rPr>
          <w:rFonts w:ascii="Calibri" w:hAnsi="Calibri"/>
          <w:color w:val="151B22"/>
          <w:sz w:val="22"/>
        </w:rPr>
        <w:t>Estado actual: simulado; envío real de email pendiente de backend.</w:t>
      </w:r>
    </w:p>
    <w:p>
      <w:r>
        <w:rPr>
          <w:rFonts w:ascii="Calibri" w:hAnsi="Calibri"/>
          <w:color w:val="151B22"/>
          <w:sz w:val="22"/>
        </w:rPr>
        <w:t>Campos obligatorios: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Nombre del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Ubicación.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Plan inicial.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Nombre completo del responsable.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Email del responsable.</w:t>
      </w:r>
    </w:p>
    <w:p>
      <w:r>
        <w:rPr>
          <w:rFonts w:ascii="Calibri" w:hAnsi="Calibri"/>
          <w:color w:val="151B22"/>
          <w:sz w:val="22"/>
        </w:rPr>
        <w:t>Resultado esperado: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Crear consultorio con plan y ubicación.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Crear responsable principal vinculado.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Dejar invitación en estado pendiente.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backend real, enviar email transaccional para configurar acceso.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Redirigir al perfil del consultorio y mostrar confirmación.</w:t>
      </w:r>
    </w:p>
    <w:p>
      <w:pPr>
        <w:pStyle w:val="Heading2"/>
      </w:pPr>
      <w:r>
        <w:t>12.6 Perfil del consultorio</w:t>
      </w:r>
    </w:p>
    <w:p>
      <w:r>
        <w:rPr>
          <w:rFonts w:ascii="Calibri" w:hAnsi="Calibri"/>
          <w:color w:val="151B22"/>
          <w:sz w:val="22"/>
        </w:rPr>
        <w:t>Estado actual: simulado en formato de tarjetas.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Hero con nombre, ubicación, plan, estado e invitación pendiente.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Tarjetas resumen: tarifa, vencimiento, profesionales y pacientes.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Responsables: principal y adicionales, con estado de invitación.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Acción </w:t>
      </w:r>
      <w:r>
        <w:rPr>
          <w:rFonts w:ascii="Consolas" w:hAnsi="Consolas"/>
          <w:color w:val="357984"/>
          <w:sz w:val="20"/>
          <w:shd w:fill="F2F7F8"/>
        </w:rPr>
        <w:t>+ Agregar responsable adicional</w:t>
      </w:r>
      <w:r>
        <w:rPr>
          <w:rFonts w:ascii="Calibri" w:hAnsi="Calibri"/>
          <w:color w:val="151B22"/>
          <w:sz w:val="22"/>
        </w:rPr>
        <w:t xml:space="preserve"> disponible para Platform Admin y responsable principal/actual.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Profesionales: listado e invitaciones pendientes.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Acción </w:t>
      </w:r>
      <w:r>
        <w:rPr>
          <w:rFonts w:ascii="Consolas" w:hAnsi="Consolas"/>
          <w:color w:val="357984"/>
          <w:sz w:val="20"/>
          <w:shd w:fill="F2F7F8"/>
        </w:rPr>
        <w:t>+ Agregar profesionales al consultorio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Facturación/pagos: registrar pago e historial.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Almacenamiento: usado, límite y porcentaje; Custom puede ser flexible.</w:t>
      </w:r>
    </w:p>
    <w:p>
      <w:pPr>
        <w:pStyle w:val="Heading2"/>
      </w:pPr>
      <w:r>
        <w:t>12.7 Invitaciones</w:t>
      </w:r>
    </w:p>
    <w:p>
      <w:r>
        <w:rPr>
          <w:rFonts w:ascii="Calibri" w:hAnsi="Calibri"/>
          <w:color w:val="151B22"/>
          <w:sz w:val="22"/>
        </w:rPr>
        <w:t>Responsable adicional: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Campos: Nombre y apellido, correo electrónico.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confirmar: crear invitación pendiente; backend real envía email.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aceptar: mismo rol de Responsable del Consultorio, sujeto a matriz de permisos.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email duplicado dentro del consultorio.</w:t>
      </w:r>
    </w:p>
    <w:p>
      <w:r>
        <w:rPr>
          <w:rFonts w:ascii="Calibri" w:hAnsi="Calibri"/>
          <w:color w:val="151B22"/>
          <w:sz w:val="22"/>
        </w:rPr>
        <w:t>Profesional: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Campos: Nombre completo, correo electrónico.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confirmar: invitación pendiente y email real en backend.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aceptar: completa datos básicos y queda vinculado al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asignar pacientes automáticamente sin una acción explícita.</w:t>
      </w:r>
    </w:p>
    <w:p>
      <w:pPr>
        <w:pStyle w:val="Heading2"/>
      </w:pPr>
      <w:r>
        <w:t>12.8 Pagos y vencimientos</w:t>
      </w:r>
    </w:p>
    <w:p>
      <w:r>
        <w:rPr>
          <w:rFonts w:ascii="Calibri" w:hAnsi="Calibri"/>
          <w:color w:val="151B22"/>
          <w:sz w:val="22"/>
        </w:rPr>
        <w:t>Estado actual: registro manual simulado.</w:t>
      </w:r>
    </w:p>
    <w:p>
      <w:r>
        <w:rPr>
          <w:rFonts w:ascii="Calibri" w:hAnsi="Calibri"/>
          <w:color w:val="151B22"/>
          <w:sz w:val="22"/>
        </w:rPr>
        <w:t xml:space="preserve">Modal </w:t>
      </w:r>
      <w:r>
        <w:rPr>
          <w:rFonts w:ascii="Consolas" w:hAnsi="Consolas"/>
          <w:color w:val="357984"/>
          <w:sz w:val="20"/>
          <w:shd w:fill="F2F7F8"/>
        </w:rPr>
        <w:t>Registrar pago</w:t>
      </w:r>
      <w:r>
        <w:rPr>
          <w:rFonts w:ascii="Calibri" w:hAnsi="Calibri"/>
          <w:color w:val="151B22"/>
          <w:sz w:val="22"/>
        </w:rPr>
        <w:t>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Consultorio y plan precargados.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Monto del plan precargado, editable sólo si la política lo permite.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Fecha de pago por defecto hoy, editable.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Próximo vencimiento calculado desde el vencimiento actual sumando un mes y preservando el día cuando exista.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Método y nota/comprobante opcional.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 confirmar: estado Activo, limpiar suspensión, avanzar vencimiento, crear historial y retirar alertas comerciales derivadas.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Reactivar desde Suspendido o Cerrado requiere pago confirmado.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backend real, operación transaccional e idempotente.</w:t>
      </w:r>
    </w:p>
    <w:p>
      <w:pPr>
        <w:pStyle w:val="Heading2"/>
      </w:pPr>
      <w:r>
        <w:t>12.9 Lista y perfil de nutricionistas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Lista con nutricionista, organización, pacientes asignados, fecha de alta, última actividad, estado y acción.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Última actividad muestra día, horario y valor relativo.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Perfil individual en tarjetas, no en una navegación de “fichas” incómoda.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Aplicar el formato a todos los nutricionistas, no sólo al ejemplo.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resumen, organizaciones, pacientes asignados, actividad operativa y estado de cuenta mediante bloques claros.</w:t>
      </w:r>
    </w:p>
    <w:p>
      <w:pPr>
        <w:pStyle w:val="Heading1"/>
      </w:pPr>
      <w:r>
        <w:t>13. Requisitos del portal Nutricionista</w:t>
      </w:r>
    </w:p>
    <w:p>
      <w:pPr>
        <w:pStyle w:val="Heading2"/>
      </w:pPr>
      <w:r>
        <w:t>13.1 Inicio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Saludo y contexto del profesional/consultorio seleccionado.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Resumen de pacientes y alertas relevantes.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Acceso directo a Bandeja de atención y pacientes.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métricas sin acción asociada.</w:t>
      </w:r>
    </w:p>
    <w:p>
      <w:pPr>
        <w:pStyle w:val="Heading2"/>
      </w:pPr>
      <w:r>
        <w:t>13.2 Agenda / Citas</w:t>
      </w:r>
    </w:p>
    <w:p>
      <w:r>
        <w:rPr>
          <w:rFonts w:ascii="Calibri" w:hAnsi="Calibri"/>
          <w:color w:val="151B22"/>
          <w:sz w:val="22"/>
        </w:rPr>
        <w:t>Estado: planificado fase 2; visible deshabilitado como primera opción.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Día, semana y mes.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Próximas citas, disponibilidad y estados.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 fases posteriores: tipos de consulta, sedes, profesionales, reservas públicas, recordatorios y sincronización externa.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agenda debe seguir funcionando si falla una integración de calendario externa.</w:t>
      </w:r>
    </w:p>
    <w:p>
      <w:pPr>
        <w:pStyle w:val="Heading2"/>
      </w:pPr>
      <w:r>
        <w:t>13.3 Bandeja de atención</w:t>
      </w:r>
    </w:p>
    <w:p>
      <w:r>
        <w:rPr>
          <w:rFonts w:ascii="Calibri" w:hAnsi="Calibri"/>
          <w:color w:val="151B22"/>
          <w:sz w:val="22"/>
        </w:rPr>
        <w:t>Estado actual: simulada con reglas determinísticas.</w:t>
      </w:r>
    </w:p>
    <w:p>
      <w:r>
        <w:rPr>
          <w:rFonts w:ascii="Calibri" w:hAnsi="Calibri"/>
          <w:color w:val="151B22"/>
          <w:sz w:val="22"/>
        </w:rPr>
        <w:t>Debe responder: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¿Qué paciente necesita atención?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¿Qué ocurrió?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¿Por qué importa?</w:t>
      </w:r>
    </w:p>
    <w:p>
      <w:pPr>
        <w:numPr>
          <w:ilvl w:val="0"/>
          <w:numId w:val="103"/>
        </w:numPr>
      </w:pPr>
      <w:r>
        <w:rPr>
          <w:rFonts w:ascii="Calibri" w:hAnsi="Calibri"/>
          <w:color w:val="151B22"/>
          <w:sz w:val="22"/>
        </w:rPr>
        <w:t>¿Qué acción debería realizar el nutricionista?</w:t>
      </w:r>
    </w:p>
    <w:p>
      <w:r>
        <w:rPr>
          <w:rFonts w:ascii="Calibri" w:hAnsi="Calibri"/>
          <w:color w:val="151B22"/>
          <w:sz w:val="22"/>
        </w:rPr>
        <w:t>Reglas actuales: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Pedido explícito de ayuda: prioridad alta.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Energía ≤ 2/5: prioridad alta.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Adherencia ≤ 2/5: prioridad alta.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Código </w:t>
      </w:r>
      <w:r>
        <w:rPr>
          <w:rFonts w:ascii="Consolas" w:hAnsi="Consolas"/>
          <w:color w:val="357984"/>
          <w:sz w:val="20"/>
          <w:shd w:fill="F2F7F8"/>
        </w:rPr>
        <w:t>DELAYED_CHECKIN</w:t>
      </w:r>
      <w:r>
        <w:rPr>
          <w:rFonts w:ascii="Calibri" w:hAnsi="Calibri"/>
          <w:color w:val="151B22"/>
          <w:sz w:val="22"/>
        </w:rPr>
        <w:t xml:space="preserve"> reservado para desarrollo posterior.</w:t>
      </w:r>
    </w:p>
    <w:p>
      <w:r>
        <w:rPr>
          <w:rFonts w:ascii="Calibri" w:hAnsi="Calibri"/>
          <w:color w:val="151B22"/>
          <w:sz w:val="22"/>
        </w:rPr>
        <w:t>Estados: sin resolver, reconocida y resuelta. Resolver conserva autor y fecha. Nunca descartar silenciosamente una alerta.</w:t>
      </w:r>
    </w:p>
    <w:p>
      <w:pPr>
        <w:pStyle w:val="Heading2"/>
      </w:pPr>
      <w:r>
        <w:t>13.4 Pacientes</w:t>
      </w:r>
    </w:p>
    <w:p>
      <w:r>
        <w:rPr>
          <w:rFonts w:ascii="Calibri" w:hAnsi="Calibri"/>
          <w:color w:val="151B22"/>
          <w:sz w:val="22"/>
        </w:rPr>
        <w:t>Estado actual: simulado.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únicamente pacientes asignados al nutricionista activo y del mismo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Búsqueda y alta rápida con validación.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Columnas/información relevante: contacto, objetivo, plan actual, última actividad y acceso al portal.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Perfil con resumen, check-ins y recomendaciones.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Acciones: asignar check-in, emitir recomendación y consultar historial.</w:t>
      </w:r>
    </w:p>
    <w:p>
      <w:pPr>
        <w:pStyle w:val="Heading2"/>
      </w:pPr>
      <w:r>
        <w:t>13.5 Check-ins</w:t>
      </w:r>
    </w:p>
    <w:p>
      <w:r>
        <w:rPr>
          <w:rFonts w:ascii="Calibri" w:hAnsi="Calibri"/>
          <w:color w:val="151B22"/>
          <w:sz w:val="22"/>
        </w:rPr>
        <w:t>Estado actual: flujo simulado; módulo general planificado.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profesional asigna un check-in a un paciente propio.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El paciente responde energía 1–5, adherencia 1–5, pedido de ayuda y notas opcionales de hasta 500 caracteres.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respuesta se registra una sola vez.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Las reglas generan alertas sin producir diagnóstico.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Respuestas reales serán inmutables en base de datos.</w:t>
      </w:r>
    </w:p>
    <w:p>
      <w:pPr>
        <w:pStyle w:val="Heading2"/>
      </w:pPr>
      <w:r>
        <w:t>13.6 Recomendaciones</w:t>
      </w:r>
    </w:p>
    <w:p>
      <w:r>
        <w:rPr>
          <w:rFonts w:ascii="Calibri" w:hAnsi="Calibri"/>
          <w:color w:val="151B22"/>
          <w:sz w:val="22"/>
        </w:rPr>
        <w:t>Estado actual: emisión desde perfil; módulo general planificado.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Texto obligatorio, creado por profesional autorizado.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Puede vincularse al check-in que originó el seguimiento.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Visible sólo para paciente y equipo clínico autorizado.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Conservar fecha, autor y vínculo de origen.</w:t>
      </w:r>
    </w:p>
    <w:p>
      <w:pPr>
        <w:pStyle w:val="Heading2"/>
      </w:pPr>
      <w:r>
        <w:t>13.7 Recursos / Biblioteca</w:t>
      </w:r>
    </w:p>
    <w:p>
      <w:r>
        <w:rPr>
          <w:rFonts w:ascii="Calibri" w:hAnsi="Calibri"/>
          <w:color w:val="151B22"/>
          <w:sz w:val="22"/>
        </w:rPr>
        <w:t>Estado actual: simulado básico.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Botón principal para agregar recurso.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Tipos iniciales: documento y enlace/video.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Campos: título, categoría y archivo o URL.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Todo recurso pertenece a </w:t>
      </w:r>
      <w:r>
        <w:rPr>
          <w:rFonts w:ascii="Consolas" w:hAnsi="Consolas"/>
          <w:color w:val="357984"/>
          <w:sz w:val="20"/>
          <w:shd w:fill="F2F7F8"/>
        </w:rPr>
        <w:t>organization_id</w:t>
      </w:r>
      <w:r>
        <w:rPr>
          <w:rFonts w:ascii="Calibri" w:hAnsi="Calibri"/>
          <w:color w:val="151B22"/>
          <w:sz w:val="22"/>
        </w:rPr>
        <w:t xml:space="preserve"> y </w:t>
      </w:r>
      <w:r>
        <w:rPr>
          <w:rFonts w:ascii="Consolas" w:hAnsi="Consolas"/>
          <w:color w:val="357984"/>
          <w:sz w:val="20"/>
          <w:shd w:fill="F2F7F8"/>
        </w:rPr>
        <w:t>ownerNutritionistId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 comparte automáticamente y exclusivamente con pacientes propios/asignados cuando se publique.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visible para pacientes de otro profesional, incluso en el mismo consultorio.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Aislamiento total entre consultorios.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Fases posteriores: versiones, miniaturas, retiro, analítica y biblioteca del consultorio aprobada.</w:t>
      </w:r>
    </w:p>
    <w:p>
      <w:pPr>
        <w:pStyle w:val="Heading2"/>
      </w:pPr>
      <w:r>
        <w:t>13.8 Recetario</w:t>
      </w:r>
    </w:p>
    <w:p>
      <w:r>
        <w:rPr>
          <w:rFonts w:ascii="Calibri" w:hAnsi="Calibri"/>
          <w:color w:val="151B22"/>
          <w:sz w:val="22"/>
        </w:rPr>
        <w:t>Estado actual: simulado con ejemplos; formateo IA futuro.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Vista en grilla de tarjetas.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Foto principal, categoría, tags de dieta, tiempo, porciones, calorías y macros.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Buscador y filtros por nombre, categoría y etiquetas.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Categorías iniciales: Desayunos, Almuerzos, Cenas y Snacks.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Alta con título, ingredientes, preparación, porciones y datos nutricionales.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Recetas publicadas disponibles para pacientes propios.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Nunca modificar una receta ajena al copiar; crear versión propia con procedencia.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Ejemplos demostrativos: 4–5 recetas variadas para que la vista sea útil desde el inicio.</w:t>
      </w:r>
    </w:p>
    <w:p>
      <w:r>
        <w:rPr>
          <w:rFonts w:ascii="Calibri" w:hAnsi="Calibri"/>
          <w:color w:val="151B22"/>
          <w:sz w:val="22"/>
        </w:rPr>
        <w:t>IA futura para recetas: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Recibe borrador del profesional.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Propone título, ingredientes estructurados, pasos, porciones, etiquetas y formato visual.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inventa cantidades ni macros sin marcar incertidumbre.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Entrega borrador editable; publicación exige aprobación humana.</w:t>
      </w:r>
    </w:p>
    <w:p>
      <w:pPr>
        <w:pStyle w:val="Heading2"/>
      </w:pPr>
      <w:r>
        <w:t>13.9 Reportes</w:t>
      </w:r>
    </w:p>
    <w:p>
      <w:r>
        <w:rPr>
          <w:rFonts w:ascii="Calibri" w:hAnsi="Calibri"/>
          <w:color w:val="151B22"/>
          <w:sz w:val="22"/>
        </w:rPr>
        <w:t>Estado: futuro recomendado.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Seleccionar paciente, período y plantilla.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Activar, desactivar, editar y ordenar secciones.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Preview y PDF coherentes.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Secciones posibles: identidad, resumen, peso, medidas, antropometría, macros, adherencia, bienestar, plan, consultas, notas, recomendaciones y firma.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Guardar snapshot de datos, versión, autor y registro de entrega.</w:t>
      </w:r>
    </w:p>
    <w:p>
      <w:pPr>
        <w:pStyle w:val="Heading1"/>
      </w:pPr>
      <w:r>
        <w:t>14. Requisitos del portal Paciente</w:t>
      </w:r>
    </w:p>
    <w:p>
      <w:pPr>
        <w:pStyle w:val="Heading2"/>
      </w:pPr>
      <w:r>
        <w:t>14.1 Inicio</w:t>
      </w:r>
    </w:p>
    <w:p>
      <w:r>
        <w:rPr>
          <w:rFonts w:ascii="Calibri" w:hAnsi="Calibri"/>
          <w:color w:val="151B22"/>
          <w:sz w:val="22"/>
        </w:rPr>
        <w:t>Estado actual: simulado y mobile-first.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Saludo con primer nombre.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 del check-in: pendiente, vencido o al día.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Una acción principal para responder cuando esté pendiente.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Recomendaciones del profesional.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Consultorio, nutricionista asignado y estado de acceso al portal.</w:t>
      </w:r>
    </w:p>
    <w:p>
      <w:pPr>
        <w:pStyle w:val="Heading2"/>
      </w:pPr>
      <w:r>
        <w:t>14.2 Check-in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Validar que la asignación exista y pertenezca al paciente autenticado.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es ajena o inválida, responder sin revelar datos.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está vencida, explicar y volver al portal.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Si ya fue completada, impedir segunda respuesta.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Confirmación neutral: “recibido/registrado”; no sugerir diagnóstico ni interpretación.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Accesibilidad completa de escalas, switch, errores y submit.</w:t>
      </w:r>
    </w:p>
    <w:p>
      <w:pPr>
        <w:pStyle w:val="Heading2"/>
      </w:pPr>
      <w:r>
        <w:t>14.3 Contenido sincronizado futuro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Recursos y recetas publicados por su nutricionista asignado.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Plan y recomendaciones vigentes.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La reasignación de profesional debe recalcular acceso sin filtrar contenido anterior indebido.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Definir explícitamente qué contenido histórico permanece visible después de una reasignación.</w:t>
      </w:r>
    </w:p>
    <w:p>
      <w:pPr>
        <w:pStyle w:val="Heading1"/>
      </w:pPr>
      <w:r>
        <w:t>15. IA embebida: política y requisitos</w:t>
      </w:r>
    </w:p>
    <w:p>
      <w:pPr>
        <w:pStyle w:val="Heading2"/>
      </w:pPr>
      <w:r>
        <w:t>15.1 Principio</w:t>
      </w:r>
    </w:p>
    <w:p>
      <w:r>
        <w:rPr>
          <w:rFonts w:ascii="Calibri" w:hAnsi="Calibri"/>
          <w:color w:val="151B22"/>
          <w:sz w:val="22"/>
        </w:rPr>
        <w:t>La IA se inserta dentro de una tarea concreta; no se usa un chat genérico como arquitectura principal.</w:t>
      </w:r>
    </w:p>
    <w:p>
      <w:pPr>
        <w:pStyle w:val="Heading2"/>
      </w:pPr>
      <w:r>
        <w:t>15.2 Niveles de autonomía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Nivel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Comportamiento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Uso aceptable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Consulta y explicación.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Ayuda contextual, sin cambios.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Genera borrador.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Recetas, resúmenes, reportes y mensajes.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Propone una acción.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Sugiere plan, etiqueta o seguimiento.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Ejecuta sólo con confirmación.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Crear entidad o enviar contenido revisado.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Automatización reversible preautorizada.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Recordatorios de bajo riesgo con reglas claras.</w:t>
            </w:r>
          </w:p>
        </w:tc>
      </w:tr>
    </w:tbl>
    <w:p>
      <w:pPr>
        <w:spacing w:after="0"/>
      </w:pPr>
    </w:p>
    <w:p>
      <w:pPr>
        <w:pStyle w:val="Heading2"/>
      </w:pPr>
      <w:r>
        <w:t>15.3 Prohibiciones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diagnosticar ni prescribir autónomamente.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publicar o enviar contenido clínico sin aprobación profesional.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mezclar datos entre tenants.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entrenar modelos con datos clínicos por defecto.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ocultar fuentes, incertidumbre o autoría asistida.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ejecutar acciones irreversibles en modo autónomo.</w:t>
      </w:r>
    </w:p>
    <w:p>
      <w:pPr>
        <w:pStyle w:val="Heading2"/>
      </w:pPr>
      <w:r>
        <w:t>15.4 Auditoría de IA</w:t>
      </w:r>
    </w:p>
    <w:p>
      <w:r>
        <w:rPr>
          <w:rFonts w:ascii="Calibri" w:hAnsi="Calibri"/>
          <w:color w:val="151B22"/>
          <w:sz w:val="22"/>
        </w:rPr>
        <w:t>Conservar propósito, modelo/versión, fuentes utilizadas, salida, campos inciertos, costo, aprobador y versión final. Toda salida debe poder descartarse y existir una alternativa manual.</w:t>
      </w:r>
    </w:p>
    <w:p>
      <w:pPr>
        <w:pStyle w:val="Heading1"/>
      </w:pPr>
      <w:r>
        <w:t>16. Reglas comerciales y datos mock actuales</w:t>
      </w:r>
    </w:p>
    <w:p>
      <w:r>
        <w:rPr>
          <w:rFonts w:ascii="Calibri" w:hAnsi="Calibri"/>
          <w:color w:val="151B22"/>
          <w:sz w:val="22"/>
        </w:rPr>
        <w:t>Los siguientes valores sirven para la demostración y no constituyen una política comercial definitiva: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Plan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Precio mock mensual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7"/>
              </w:rPr>
              <w:t>Almacenamiento mock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Basic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30.000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 GB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Pro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60.000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5 GB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Ultra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100.000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15 GB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Custom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ARS 200.000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7"/>
              </w:rPr>
              <w:t>Flexible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51B22"/>
          <w:sz w:val="22"/>
        </w:rPr>
        <w:t>Antes de producción, definir moneda, impuestos, actualización, límites, prorrateo, período, reembolsos y tratamiento de cambios de plan.</w:t>
      </w:r>
    </w:p>
    <w:p>
      <w:pPr>
        <w:pStyle w:val="Heading1"/>
      </w:pPr>
      <w:r>
        <w:t>17. Formularios y validación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Preferir React Hook Form + Zod.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Normalizar email a minúsculas y trim.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Validar campos obligatorios antes de mutar estado.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Mostrar mensajes específicos y recuperables.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cerrar un modal ante error.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Deshabilitar doble submit y diseñar idempotencia para backend real.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Fechas de entrada locales; persistencia en ISO con zona horaria definida.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Archivos: tipo, tamaño, antivirus, URL firmada y política de retención.</w:t>
      </w:r>
    </w:p>
    <w:p>
      <w:pPr>
        <w:pStyle w:val="Heading1"/>
      </w:pPr>
      <w:r>
        <w:t>18. Testing y definición de terminado</w:t>
      </w:r>
    </w:p>
    <w:p>
      <w:pPr>
        <w:pStyle w:val="Heading2"/>
      </w:pPr>
      <w:r>
        <w:t>18.1 Frontend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Lint sin errores.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Typecheck sin errores.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Tests Vitest/Testing Library en verde.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Build de producción exitoso.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Flujos por rol y aislamiento cubiertos.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Estados vacío, error, sin permiso y éxito verificados.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Prueba por teclado de formularios y modales.</w:t>
      </w:r>
    </w:p>
    <w:p>
      <w:pPr>
        <w:pStyle w:val="Heading2"/>
      </w:pPr>
      <w:r>
        <w:t>18.2 Backend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Reset de base reproducible.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pgTAP en verde.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Lint de esquemas </w:t>
      </w:r>
      <w:r>
        <w:rPr>
          <w:rFonts w:ascii="Consolas" w:hAnsi="Consolas"/>
          <w:color w:val="357984"/>
          <w:sz w:val="20"/>
          <w:shd w:fill="F2F7F8"/>
        </w:rPr>
        <w:t>api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security</w:t>
      </w:r>
      <w:r>
        <w:rPr>
          <w:rFonts w:ascii="Calibri" w:hAnsi="Calibri"/>
          <w:color w:val="151B22"/>
          <w:sz w:val="22"/>
        </w:rPr>
        <w:t xml:space="preserve"> sin errores.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Tipos generados alineados con migraciones.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Pruebas negativas cross-tenant y de privilegio mínimo.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RPC transaccional, idempotente cuando corresponda y con auditoría.</w:t>
      </w:r>
    </w:p>
    <w:p>
      <w:pPr>
        <w:pStyle w:val="Heading2"/>
      </w:pPr>
      <w:r>
        <w:t>18.3 UI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Comparar contra </w:t>
      </w:r>
      <w:r>
        <w:rPr>
          <w:rFonts w:ascii="Consolas" w:hAnsi="Consolas"/>
          <w:color w:val="357984"/>
          <w:sz w:val="20"/>
          <w:shd w:fill="F2F7F8"/>
        </w:rPr>
        <w:t>/design-system</w:t>
      </w:r>
      <w:r>
        <w:rPr>
          <w:rFonts w:ascii="Calibri" w:hAnsi="Calibri"/>
          <w:color w:val="151B22"/>
          <w:sz w:val="22"/>
        </w:rPr>
        <w:t xml:space="preserve"> en desarrollo.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introducir hex aislados si existe token adecuado.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Validar desktop y mobile según rol.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Verificar contraste, foco, targets, labels, overflow y textos largos.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romper flujos existentes al realizar ajustes estéticos.</w:t>
      </w:r>
    </w:p>
    <w:p>
      <w:pPr>
        <w:pStyle w:val="Heading1"/>
      </w:pPr>
      <w:r>
        <w:t>19. Convenciones de implementación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Componentes UI reutilizables en </w:t>
      </w:r>
      <w:r>
        <w:rPr>
          <w:rFonts w:ascii="Consolas" w:hAnsi="Consolas"/>
          <w:color w:val="357984"/>
          <w:sz w:val="20"/>
          <w:shd w:fill="F2F7F8"/>
        </w:rPr>
        <w:t>src/components/ui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Componentes de dominio en </w:t>
      </w:r>
      <w:r>
        <w:rPr>
          <w:rFonts w:ascii="Consolas" w:hAnsi="Consolas"/>
          <w:color w:val="357984"/>
          <w:sz w:val="20"/>
          <w:shd w:fill="F2F7F8"/>
        </w:rPr>
        <w:t>src/components/domain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Layouts y rutas agrupados por rol en </w:t>
      </w:r>
      <w:r>
        <w:rPr>
          <w:rFonts w:ascii="Consolas" w:hAnsi="Consolas"/>
          <w:color w:val="357984"/>
          <w:sz w:val="20"/>
          <w:shd w:fill="F2F7F8"/>
        </w:rPr>
        <w:t>src/app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Tipos compartidos en </w:t>
      </w:r>
      <w:r>
        <w:rPr>
          <w:rFonts w:ascii="Consolas" w:hAnsi="Consolas"/>
          <w:color w:val="357984"/>
          <w:sz w:val="20"/>
          <w:shd w:fill="F2F7F8"/>
        </w:rPr>
        <w:t>src/types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Funciones puras de negocio en </w:t>
      </w:r>
      <w:r>
        <w:rPr>
          <w:rFonts w:ascii="Consolas" w:hAnsi="Consolas"/>
          <w:color w:val="357984"/>
          <w:sz w:val="20"/>
          <w:shd w:fill="F2F7F8"/>
        </w:rPr>
        <w:t>src/lib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Mocks y motor de reglas en </w:t>
      </w:r>
      <w:r>
        <w:rPr>
          <w:rFonts w:ascii="Consolas" w:hAnsi="Consolas"/>
          <w:color w:val="357984"/>
          <w:sz w:val="20"/>
          <w:shd w:fill="F2F7F8"/>
        </w:rPr>
        <w:t>src/mocks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Tokens globales en </w:t>
      </w:r>
      <w:r>
        <w:rPr>
          <w:rFonts w:ascii="Consolas" w:hAnsi="Consolas"/>
          <w:color w:val="357984"/>
          <w:sz w:val="20"/>
          <w:shd w:fill="F2F7F8"/>
        </w:rPr>
        <w:t>src/styles/globals.css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Evitar lógica clínica/comercial duplicada dentro de páginas.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Contadores derivados no deben guardarse como fuente paralela de verdad.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Usar IDs y firmas públicas que no permitan al cliente elegir arbitrariamente otro usuario o tenant.</w:t>
      </w:r>
    </w:p>
    <w:p>
      <w:pPr>
        <w:pStyle w:val="Heading1"/>
      </w:pPr>
      <w:r>
        <w:t>20. Checklist de migración</w:t>
      </w:r>
    </w:p>
    <w:p>
      <w:pPr>
        <w:pStyle w:val="Heading2"/>
      </w:pPr>
      <w:r>
        <w:t>20.1 Código y entorno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Copiar repositorio completo, historial Git y tags.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Usar Node 24 y lockfile vigente.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Verificar variables de entorno sin copiarlas a documentación o repositorio.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Ejecutar </w:t>
      </w:r>
      <w:r>
        <w:rPr>
          <w:rFonts w:ascii="Consolas" w:hAnsi="Consolas"/>
          <w:color w:val="357984"/>
          <w:sz w:val="20"/>
          <w:shd w:fill="F2F7F8"/>
        </w:rPr>
        <w:t>npm run verify:frontend</w:t>
      </w:r>
      <w:r>
        <w:rPr>
          <w:rFonts w:ascii="Calibri" w:hAnsi="Calibri"/>
          <w:color w:val="151B22"/>
          <w:sz w:val="22"/>
        </w:rPr>
        <w:t xml:space="preserve"> antes y después.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Levantar Supabase local, aplicar migraciones y ejecutar </w:t>
      </w:r>
      <w:r>
        <w:rPr>
          <w:rFonts w:ascii="Consolas" w:hAnsi="Consolas"/>
          <w:color w:val="357984"/>
          <w:sz w:val="20"/>
          <w:shd w:fill="F2F7F8"/>
        </w:rPr>
        <w:t>npm run verify:database</w:t>
      </w:r>
      <w:r>
        <w:rPr>
          <w:rFonts w:ascii="Calibri" w:hAnsi="Calibri"/>
          <w:color w:val="151B22"/>
          <w:sz w:val="22"/>
        </w:rPr>
        <w:t>.</w:t>
      </w:r>
    </w:p>
    <w:p>
      <w:pPr>
        <w:pStyle w:val="Heading2"/>
      </w:pPr>
      <w:r>
        <w:t>20.2 Datos y seguridad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Migrar esquemas </w:t>
      </w: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security</w:t>
      </w:r>
      <w:r>
        <w:rPr>
          <w:rFonts w:ascii="Calibri" w:hAnsi="Calibri"/>
          <w:color w:val="151B22"/>
          <w:sz w:val="22"/>
        </w:rPr>
        <w:t xml:space="preserve"> y </w:t>
      </w:r>
      <w:r>
        <w:rPr>
          <w:rFonts w:ascii="Consolas" w:hAnsi="Consolas"/>
          <w:color w:val="357984"/>
          <w:sz w:val="20"/>
          <w:shd w:fill="F2F7F8"/>
        </w:rPr>
        <w:t>api</w:t>
      </w:r>
      <w:r>
        <w:rPr>
          <w:rFonts w:ascii="Calibri" w:hAnsi="Calibri"/>
          <w:color w:val="151B22"/>
          <w:sz w:val="22"/>
        </w:rPr>
        <w:t xml:space="preserve"> sin exponer </w:t>
      </w:r>
      <w:r>
        <w:rPr>
          <w:rFonts w:ascii="Consolas" w:hAnsi="Consolas"/>
          <w:color w:val="357984"/>
          <w:sz w:val="20"/>
          <w:shd w:fill="F2F7F8"/>
        </w:rPr>
        <w:t>app</w:t>
      </w:r>
      <w:r>
        <w:rPr>
          <w:rFonts w:ascii="Calibri" w:hAnsi="Calibri"/>
          <w:color w:val="151B22"/>
          <w:sz w:val="22"/>
        </w:rPr>
        <w:t xml:space="preserve"> en Data API.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Confirmar RLS activo en todas las tablas.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Confirmar revocación de DML directo para </w:t>
      </w:r>
      <w:r>
        <w:rPr>
          <w:rFonts w:ascii="Consolas" w:hAnsi="Consolas"/>
          <w:color w:val="357984"/>
          <w:sz w:val="20"/>
          <w:shd w:fill="F2F7F8"/>
        </w:rPr>
        <w:t>authenticated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Revisar funciones </w:t>
      </w:r>
      <w:r>
        <w:rPr>
          <w:rFonts w:ascii="Consolas" w:hAnsi="Consolas"/>
          <w:color w:val="357984"/>
          <w:sz w:val="20"/>
          <w:shd w:fill="F2F7F8"/>
        </w:rPr>
        <w:t>SECURITY DEFINER</w:t>
      </w:r>
      <w:r>
        <w:rPr>
          <w:rFonts w:ascii="Calibri" w:hAnsi="Calibri"/>
          <w:color w:val="151B22"/>
          <w:sz w:val="22"/>
        </w:rPr>
        <w:t xml:space="preserve">, </w:t>
      </w:r>
      <w:r>
        <w:rPr>
          <w:rFonts w:ascii="Consolas" w:hAnsi="Consolas"/>
          <w:color w:val="357984"/>
          <w:sz w:val="20"/>
          <w:shd w:fill="F2F7F8"/>
        </w:rPr>
        <w:t>search_path</w:t>
      </w:r>
      <w:r>
        <w:rPr>
          <w:rFonts w:ascii="Calibri" w:hAnsi="Calibri"/>
          <w:color w:val="151B22"/>
          <w:sz w:val="22"/>
        </w:rPr>
        <w:t xml:space="preserve"> y grants.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Ejecutar suites negativas cross-tenant y Platform Admin privacy.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No migrar datos reales a un entorno de prueba sin anonimización.</w:t>
      </w:r>
    </w:p>
    <w:p>
      <w:pPr>
        <w:pStyle w:val="Heading2"/>
      </w:pPr>
      <w:r>
        <w:t>20.3 Producto y diseño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Comparar rutas y menús contra este documento.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 xml:space="preserve">Copiar </w:t>
      </w:r>
      <w:r>
        <w:rPr>
          <w:rFonts w:ascii="Consolas" w:hAnsi="Consolas"/>
          <w:color w:val="357984"/>
          <w:sz w:val="20"/>
          <w:shd w:fill="F2F7F8"/>
        </w:rPr>
        <w:t>globals.css</w:t>
      </w:r>
      <w:r>
        <w:rPr>
          <w:rFonts w:ascii="Calibri" w:hAnsi="Calibri"/>
          <w:color w:val="151B22"/>
          <w:sz w:val="22"/>
        </w:rPr>
        <w:t xml:space="preserve"> y catálogo </w:t>
      </w:r>
      <w:r>
        <w:rPr>
          <w:rFonts w:ascii="Consolas" w:hAnsi="Consolas"/>
          <w:color w:val="357984"/>
          <w:sz w:val="20"/>
          <w:shd w:fill="F2F7F8"/>
        </w:rPr>
        <w:t>/design-system</w:t>
      </w:r>
      <w:r>
        <w:rPr>
          <w:rFonts w:ascii="Calibri" w:hAnsi="Calibri"/>
          <w:color w:val="151B22"/>
          <w:sz w:val="22"/>
        </w:rPr>
        <w:t>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Verificar fuentes, tokens, iconos y Radix UI.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Revisar tablas, modales, badges interactivos y responsive por rol.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Mantener banner de modo demostración mientras se usen datos ficticios.</w:t>
      </w:r>
    </w:p>
    <w:p>
      <w:pPr>
        <w:pStyle w:val="Heading2"/>
      </w:pPr>
      <w:r>
        <w:t>20.4 Integraciones futuras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Email transaccional: invitaciones y recuperación, con expiración y revocación.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Storage: archivos privados y URLs firmadas.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Calendario: OAuth de mínimo alcance y operación degradada.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Pagos: webhooks firmados, idempotencia y conciliación.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151B22"/>
          <w:sz w:val="22"/>
        </w:rPr>
        <w:t>IA: proveedor, región, retención, evaluación, costos y auditoría.</w:t>
      </w:r>
    </w:p>
    <w:p>
      <w:pPr>
        <w:pStyle w:val="Heading1"/>
      </w:pPr>
      <w:r>
        <w:t>21. Preguntas obligatorias antes de una nueva función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rol la usa y qué problema concreto resuelve?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¿Es clínica, administrativa, comercial o de plataforma?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datos necesita y cuál es la fuente de verdad?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¿Quién puede crear, leer, editar, compartir, aprobar y eliminar?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¿Cómo se impide el cruce entre consultorios, profesionales y pacientes?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ocurre vacío, cargando, con error, sin permiso, sin plan y sin conexión?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cambio requiere auditoría, confirmación o posibilidad de deshacer?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¿Puede resolverse con reglas antes de usar IA?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¿Cuál es el MVP y qué se deja explícitamente para después?</w:t>
      </w:r>
    </w:p>
    <w:p>
      <w:pPr>
        <w:numPr>
          <w:ilvl w:val="0"/>
          <w:numId w:val="104"/>
        </w:numPr>
      </w:pPr>
      <w:r>
        <w:rPr>
          <w:rFonts w:ascii="Calibri" w:hAnsi="Calibri"/>
          <w:color w:val="151B22"/>
          <w:sz w:val="22"/>
        </w:rPr>
        <w:t>¿Qué criterios de aceptación y pruebas demuestran que funciona sin romper lo anterior?</w:t>
      </w:r>
    </w:p>
    <w:p>
      <w:pPr>
        <w:pStyle w:val="Heading1"/>
      </w:pPr>
      <w:r>
        <w:t>22. Referencias internas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docs/design-system.md</w:t>
      </w:r>
      <w:r>
        <w:rPr>
          <w:rFonts w:ascii="Calibri" w:hAnsi="Calibri"/>
          <w:color w:val="151B22"/>
          <w:sz w:val="22"/>
        </w:rPr>
        <w:t>: tokens visuales resumidos.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docs/ui-principles.md</w:t>
      </w:r>
      <w:r>
        <w:rPr>
          <w:rFonts w:ascii="Calibri" w:hAnsi="Calibri"/>
          <w:color w:val="151B22"/>
          <w:sz w:val="22"/>
        </w:rPr>
        <w:t>: principios por rol.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docs/security-model.md</w:t>
      </w:r>
      <w:r>
        <w:rPr>
          <w:rFonts w:ascii="Calibri" w:hAnsi="Calibri"/>
          <w:color w:val="151B22"/>
          <w:sz w:val="22"/>
        </w:rPr>
        <w:t>: matriz RLS y privacidad.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docs/backend-architecture.md</w:t>
      </w:r>
      <w:r>
        <w:rPr>
          <w:rFonts w:ascii="Calibri" w:hAnsi="Calibri"/>
          <w:color w:val="151B22"/>
          <w:sz w:val="22"/>
        </w:rPr>
        <w:t>: esquemas y límites.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docs/data-model.md</w:t>
      </w:r>
      <w:r>
        <w:rPr>
          <w:rFonts w:ascii="Calibri" w:hAnsi="Calibri"/>
          <w:color w:val="151B22"/>
          <w:sz w:val="22"/>
        </w:rPr>
        <w:t>: relaciones e invariantes.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docs/api-contract.md</w:t>
      </w:r>
      <w:r>
        <w:rPr>
          <w:rFonts w:ascii="Calibri" w:hAnsi="Calibri"/>
          <w:color w:val="151B22"/>
          <w:sz w:val="22"/>
        </w:rPr>
        <w:t>: vistas y RPC públicas.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docs/product-backlog.md</w:t>
      </w:r>
      <w:r>
        <w:rPr>
          <w:rFonts w:ascii="Calibri" w:hAnsi="Calibri"/>
          <w:color w:val="151B22"/>
          <w:sz w:val="22"/>
        </w:rPr>
        <w:t>: priorización.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docs/Informe_competitivo_NutriSoft_2026-08-12.docx</w:t>
      </w:r>
      <w:r>
        <w:rPr>
          <w:rFonts w:ascii="Calibri" w:hAnsi="Calibri"/>
          <w:color w:val="151B22"/>
          <w:sz w:val="22"/>
        </w:rPr>
        <w:t>: investigación competitiva.</w:t>
      </w:r>
    </w:p>
    <w:p>
      <w:pPr>
        <w:numPr>
          <w:ilvl w:val="0"/>
          <w:numId w:val="51"/>
        </w:numPr>
      </w:pPr>
      <w:r>
        <w:rPr>
          <w:rFonts w:ascii="Consolas" w:hAnsi="Consolas"/>
          <w:color w:val="357984"/>
          <w:sz w:val="20"/>
          <w:shd w:fill="F2F7F8"/>
        </w:rPr>
        <w:t>/design-system</w:t>
      </w:r>
      <w:r>
        <w:rPr>
          <w:rFonts w:ascii="Calibri" w:hAnsi="Calibri"/>
          <w:color w:val="151B22"/>
          <w:sz w:val="22"/>
        </w:rPr>
        <w:t>: catálogo interactivo disponible sólo en desarrollo.</w:t>
      </w:r>
    </w:p>
    <w:p>
      <w:pPr>
        <w:pStyle w:val="Heading1"/>
      </w:pPr>
      <w:r>
        <w:t>23. Historial de decisiones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cantSplit/>
        </w:trPr>
        <w:tc>
          <w:tcPr>
            <w:tcW w:type="dxa" w:w="23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6"/>
              </w:rPr>
              <w:t>Fecha</w:t>
            </w:r>
          </w:p>
        </w:tc>
        <w:tc>
          <w:tcPr>
            <w:tcW w:type="dxa" w:w="250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6"/>
              </w:rPr>
              <w:t>Decisión</w:t>
            </w:r>
          </w:p>
        </w:tc>
        <w:tc>
          <w:tcPr>
            <w:tcW w:type="dxa" w:w="4560"/>
            <w:shd w:fill="E8EEF5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1B22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2026-08-04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Separar persistencia, seguridad y API en tres esquemas.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Privilegio mínimo y contrato controlado.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2026-08-04/05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Endurecer integridad, RLS, RPC, auditoría y pruebas negativas.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Evitar acceso transversal y mutaciones inseguras.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Mantener frontend mock hasta cerrar foundation backend.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Preservar estabilidad visual y no integrar auth prematuramente.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El Platform Admin sólo ve métricas agregadas y operación comercial.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Privacidad clínica por diseño.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Reemplazar selects de estado por badges interactivos en español.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Mejor jerarquía, comprensión y actualización inmediata.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Rediseñar el gráfico sin ejes Y y con filtros/tooltip dinámicos.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Claridad visual y lectura exacta por mes.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Perfiles de nutricionistas en tarjetas, no fichas horizontales.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Mejor exploración y consistencia con el resto del producto.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Empezar HITO Nutricionista antes de ampliar Paciente.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Validar primero el flujo profesional que genera contenido y acciones.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Recursos y recetas son propiedad del profesional y se aíslan por asignación.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Privacidad multi-tenant y control de autoría.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IA contextual, auditable y con aprobación humana.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Ahorrar tiempo sin delegar criterio clínico.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2026-08-13</w:t>
            </w:r>
          </w:p>
        </w:tc>
        <w:tc>
          <w:tcPr>
            <w:tcW w:type="dxa" w:w="250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 xml:space="preserve">Crear este documento maestro y </w:t>
            </w:r>
            <w:r>
              <w:rPr>
                <w:rFonts w:ascii="Consolas" w:hAnsi="Consolas"/>
                <w:color w:val="357984"/>
                <w:sz w:val="17"/>
                <w:shd w:fill="F2F7F8"/>
              </w:rPr>
              <w:t>AGENTS.md</w:t>
            </w:r>
            <w:r>
              <w:rPr>
                <w:rFonts w:ascii="Calibri" w:hAnsi="Calibri"/>
                <w:color w:val="151B22"/>
                <w:sz w:val="15"/>
              </w:rPr>
              <w:t>.</w:t>
            </w:r>
          </w:p>
        </w:tc>
        <w:tc>
          <w:tcPr>
            <w:tcW w:type="dxa" w:w="4560"/>
            <w:tcMar>
              <w:top w:w="45" w:type="dxa"/>
              <w:bottom w:w="45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51B22"/>
                <w:sz w:val="15"/>
              </w:rPr>
              <w:t>Conservar contexto entre sesiones, migraciones y colaboradores.</w:t>
            </w:r>
          </w:p>
        </w:tc>
      </w:tr>
    </w:tbl>
    <w:p>
      <w:pPr>
        <w:spacing w:after="0"/>
      </w:pPr>
    </w:p>
    <w:p>
      <w:pPr>
        <w:spacing w:before="2500" w:after="240"/>
      </w:pPr>
      <w:r>
        <w:rPr>
          <w:rFonts w:ascii="Calibri" w:hAnsi="Calibri"/>
          <w:b/>
          <w:color w:val="357984"/>
          <w:sz w:val="18"/>
        </w:rPr>
        <w:t>CRITERIO DE CIERRE</w:t>
      </w:r>
    </w:p>
    <w:p>
      <w:pPr>
        <w:spacing w:after="400" w:line="276" w:lineRule="auto"/>
      </w:pPr>
      <w:r>
        <w:rPr>
          <w:rFonts w:ascii="Calibri" w:hAnsi="Calibri"/>
          <w:b/>
          <w:color w:val="151B22"/>
          <w:sz w:val="38"/>
        </w:rPr>
        <w:t>si un cambio se ve mejor pero debilita claridad, accesibilidad, privacidad, consistencia o estabilidad, no es una mejora para NutriSoft.</w:t>
      </w:r>
    </w:p>
    <w:tbl>
      <w:tblPr>
        <w:tblW w:type="dxa" w:w="170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</w:tblGrid>
      <w:tr>
        <w:tc>
          <w:tcPr>
            <w:tcW w:type="dxa" w:w="1700"/>
            <w:shd w:fill="55AEB8"/>
            <w:tcMar>
              <w:top w:w="18" w:type="dxa"/>
              <w:bottom w:w="18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A959D"/>
        <w:sz w:val="16"/>
      </w:rPr>
      <w:t xml:space="preserve">NutriSoft · Documento maestro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8A959D"/>
        <w:sz w:val="17"/>
      </w:rPr>
      <w:t>NUTRISOFT  /  PRODUCT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1">
    <w:abstractNumId w:val="50"/>
  </w:num>
  <w:abstractNum w:abstractNumId="6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61">
    <w:abstractNumId w:val="60"/>
  </w:num>
  <w:num w:numId="100">
    <w:abstractNumId w:val="60"/>
    <w:lvlOverride w:ilvl="0">
      <w:startOverride w:val="1"/>
    </w:lvlOverride>
  </w:num>
  <w:num w:numId="101">
    <w:abstractNumId w:val="60"/>
    <w:lvlOverride w:ilvl="0">
      <w:startOverride w:val="1"/>
    </w:lvlOverride>
  </w:num>
  <w:num w:numId="102">
    <w:abstractNumId w:val="60"/>
    <w:lvlOverride w:ilvl="0">
      <w:startOverride w:val="1"/>
    </w:lvlOverride>
  </w:num>
  <w:num w:numId="103">
    <w:abstractNumId w:val="60"/>
    <w:lvlOverride w:ilvl="0">
      <w:startOverride w:val="1"/>
    </w:lvlOverride>
  </w:num>
  <w:num w:numId="104">
    <w:abstractNumId w:val="6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51B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NutriSoft — Documento Maestro de Estilo, Producto y Continuidad</dc:title>
  <dc:subject>Fuente de verdad de diseño, requisitos, seguridad y migración</dc:subject>
  <dc:creator>NutriSoft</dc:creator>
  <cp:keywords>NutriSoft, design system, requisitos, seguridad, multi-tenant, continuidad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