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JORGE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XIAO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Subgroup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* This is the ___ class from the citicide package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* @author Jorge Blanco Rey jorge.blancor@estudiante.uam.es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* @author Angel Casanova Bienzobas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angel.casanova@estudiante.uam.es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* @author S. Xiao Fernández Marín sofiax.fernandez@estudiante.uam.es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* This is the constructor class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* @param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* @return the X of the name_class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public String getX()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* This method sets the X of the name_class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* @param X the new X to be set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public void setX(String X)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this.x = X;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gel.casanova@estudiante.uam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