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jpeg" ContentType="image/jpeg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notes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20"/>
        <w:rPr/>
      </w:pPr>
      <w:r>
        <w:rPr>
          <w:rFonts w:ascii="Bahnschrift" w:hAnsi="Bahnschrift"/>
          <w:b/>
          <w:bCs/>
          <w:sz w:val="20"/>
          <w:szCs w:val="20"/>
          <w:lang w:val="es-ES"/>
        </w:rPr>
        <w:t>UD3- CASO PRÁCTICO 1:</w:t>
      </w:r>
      <w:r>
        <w:rPr>
          <w:rFonts w:ascii="Bahnschrift" w:hAnsi="Bahnschrift"/>
          <w:sz w:val="20"/>
          <w:szCs w:val="20"/>
          <w:lang w:val="es-ES"/>
        </w:rPr>
        <w:t xml:space="preserve"> NUESTRO PRIMER ERP.</w:t>
      </w:r>
    </w:p>
    <w:p>
      <w:pPr>
        <w:pStyle w:val="Normal"/>
        <w:spacing w:before="0" w:after="120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</w:r>
    </w:p>
    <w:p>
      <w:pPr>
        <w:pStyle w:val="Normal"/>
        <w:spacing w:before="0" w:after="120"/>
        <w:rPr>
          <w:rFonts w:ascii="Bahnschrift" w:hAnsi="Bahnschrift"/>
          <w:b/>
          <w:b/>
          <w:bCs/>
          <w:color w:val="0070C0"/>
          <w:sz w:val="20"/>
          <w:szCs w:val="20"/>
          <w:lang w:val="es-ES"/>
        </w:rPr>
      </w:pPr>
      <w:r>
        <w:rPr>
          <w:rFonts w:ascii="Bahnschrift" w:hAnsi="Bahnschrift"/>
          <w:b/>
          <w:bCs/>
          <w:color w:val="0070C0"/>
          <w:sz w:val="20"/>
          <w:szCs w:val="20"/>
          <w:lang w:val="es-ES"/>
        </w:rPr>
        <w:t>1. REDACCIÓN DEL CASO PRÁCTICO.</w:t>
      </w:r>
    </w:p>
    <w:p>
      <w:pPr>
        <w:pStyle w:val="Normal"/>
        <w:spacing w:before="0" w:after="120"/>
        <w:rPr>
          <w:rFonts w:ascii="Bahnschrift" w:hAnsi="Bahnschrift"/>
          <w:b/>
          <w:b/>
          <w:bCs/>
          <w:color w:val="0070C0"/>
          <w:sz w:val="20"/>
          <w:szCs w:val="20"/>
          <w:lang w:val="es-ES"/>
        </w:rPr>
      </w:pPr>
      <w:r>
        <w:rPr>
          <w:rFonts w:ascii="Bahnschrift" w:hAnsi="Bahnschrift"/>
          <w:b/>
          <w:bCs/>
          <w:color w:val="0070C0"/>
          <w:sz w:val="20"/>
          <w:szCs w:val="20"/>
          <w:lang w:val="es-ES"/>
        </w:rPr>
        <w:t>2. CONSIDERACIONES.</w:t>
      </w:r>
    </w:p>
    <w:p>
      <w:pPr>
        <w:pStyle w:val="Normal"/>
        <w:spacing w:before="0" w:after="120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</w:r>
    </w:p>
    <w:p>
      <w:pPr>
        <w:pStyle w:val="Normal"/>
        <w:spacing w:before="0" w:after="120"/>
        <w:rPr>
          <w:rFonts w:ascii="Bahnschrift" w:hAnsi="Bahnschrift"/>
          <w:b/>
          <w:b/>
          <w:bCs/>
          <w:sz w:val="40"/>
          <w:szCs w:val="40"/>
          <w:lang w:val="es-ES"/>
        </w:rPr>
      </w:pPr>
      <w:r>
        <w:rPr>
          <w:rFonts w:ascii="Bahnschrift" w:hAnsi="Bahnschrift"/>
          <w:b/>
          <w:bCs/>
          <w:sz w:val="40"/>
          <w:szCs w:val="40"/>
          <w:lang w:val="es-ES"/>
        </w:rPr>
        <w:t>Fernando Moreno Hergueta</w:t>
      </w:r>
    </w:p>
    <w:p>
      <w:pPr>
        <w:pStyle w:val="Normal"/>
        <w:spacing w:before="0" w:after="120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</w:r>
    </w:p>
    <w:p>
      <w:pPr>
        <w:pStyle w:val="Normal"/>
        <w:spacing w:before="0" w:after="120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</w:r>
    </w:p>
    <w:p>
      <w:pPr>
        <w:pStyle w:val="Normal"/>
        <w:spacing w:before="0" w:after="120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</w:r>
    </w:p>
    <w:p>
      <w:pPr>
        <w:pStyle w:val="Normal"/>
        <w:spacing w:before="0" w:after="120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</w:r>
    </w:p>
    <w:p>
      <w:pPr>
        <w:pStyle w:val="Normal"/>
        <w:spacing w:before="0" w:after="120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</w:r>
    </w:p>
    <w:p>
      <w:pPr>
        <w:pStyle w:val="Normal"/>
        <w:spacing w:before="0" w:after="120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</w:r>
    </w:p>
    <w:p>
      <w:pPr>
        <w:pStyle w:val="Normal"/>
        <w:spacing w:before="0" w:after="120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</w:r>
    </w:p>
    <w:p>
      <w:pPr>
        <w:pStyle w:val="Normal"/>
        <w:spacing w:lineRule="auto" w:line="276" w:before="0" w:after="200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</w:r>
      <w:r>
        <w:br w:type="page"/>
      </w:r>
    </w:p>
    <w:p>
      <w:pPr>
        <w:pStyle w:val="Normal"/>
        <w:spacing w:before="0" w:after="120"/>
        <w:rPr>
          <w:rFonts w:ascii="Bahnschrift" w:hAnsi="Bahnschrift"/>
          <w:b/>
          <w:b/>
          <w:bCs/>
          <w:color w:val="0070C0"/>
          <w:sz w:val="20"/>
          <w:szCs w:val="20"/>
          <w:lang w:val="es-ES"/>
        </w:rPr>
      </w:pPr>
      <w:r>
        <w:rPr>
          <w:rFonts w:ascii="Bahnschrift" w:hAnsi="Bahnschrift"/>
          <w:b/>
          <w:bCs/>
          <w:color w:val="0070C0"/>
          <w:sz w:val="20"/>
          <w:szCs w:val="20"/>
          <w:lang w:val="es-ES"/>
        </w:rPr>
        <w:t>1. REDACCIÓN DEL CASO PRÁCTICO.</w:t>
      </w:r>
    </w:p>
    <w:p>
      <w:pPr>
        <w:pStyle w:val="Normal"/>
        <w:spacing w:before="0" w:after="120"/>
        <w:rPr>
          <w:rFonts w:ascii="Bahnschrift" w:hAnsi="Bahnschrift"/>
          <w:b/>
          <w:b/>
          <w:bCs/>
          <w:color w:val="595959"/>
          <w:sz w:val="20"/>
          <w:szCs w:val="20"/>
          <w:lang w:val="es-ES"/>
        </w:rPr>
      </w:pPr>
      <w:r>
        <w:rPr>
          <w:rFonts w:ascii="Bahnschrift" w:hAnsi="Bahnschrift"/>
          <w:b/>
          <w:bCs/>
          <w:color w:val="595959"/>
          <w:sz w:val="20"/>
          <w:szCs w:val="20"/>
          <w:lang w:val="es-ES"/>
        </w:rPr>
      </w:r>
    </w:p>
    <w:p>
      <w:pPr>
        <w:pStyle w:val="Normal"/>
        <w:spacing w:before="0" w:after="120"/>
        <w:rPr>
          <w:rFonts w:ascii="Bahnschrift" w:hAnsi="Bahnschrift"/>
          <w:b/>
          <w:b/>
          <w:bCs/>
          <w:color w:val="595959"/>
          <w:sz w:val="20"/>
          <w:szCs w:val="20"/>
          <w:lang w:val="es-ES"/>
        </w:rPr>
      </w:pPr>
      <w:r>
        <w:rPr>
          <w:rFonts w:ascii="Bahnschrift" w:hAnsi="Bahnschrift"/>
          <w:b/>
          <w:bCs/>
          <w:color w:val="595959"/>
          <w:sz w:val="20"/>
          <w:szCs w:val="20"/>
          <w:lang w:val="es-ES"/>
        </w:rPr>
      </w:r>
    </w:p>
    <w:p>
      <w:pPr>
        <w:pStyle w:val="Normal"/>
        <w:spacing w:before="0" w:after="120"/>
        <w:rPr>
          <w:rFonts w:ascii="Bahnschrift" w:hAnsi="Bahnschrift"/>
          <w:b/>
          <w:b/>
          <w:bCs/>
          <w:color w:val="595959"/>
          <w:sz w:val="20"/>
          <w:szCs w:val="20"/>
          <w:lang w:val="es-ES"/>
        </w:rPr>
      </w:pPr>
      <w:r>
        <w:rPr>
          <w:rFonts w:ascii="Bahnschrift" w:hAnsi="Bahnschrift"/>
          <w:b/>
          <w:bCs/>
          <w:color w:val="595959"/>
          <w:sz w:val="20"/>
          <w:szCs w:val="20"/>
          <w:lang w:val="es-ES"/>
        </w:rPr>
        <w:t>Lo que se sabe de MADERAS CILPE, S.L. en cuanto a:</w:t>
      </w:r>
    </w:p>
    <w:p>
      <w:pPr>
        <w:pStyle w:val="Normal"/>
        <w:spacing w:before="0" w:after="120"/>
        <w:rPr>
          <w:rFonts w:ascii="Bahnschrift" w:hAnsi="Bahnschrift"/>
          <w:color w:val="0070C0"/>
          <w:sz w:val="20"/>
          <w:szCs w:val="20"/>
          <w:lang w:val="es-ES"/>
        </w:rPr>
      </w:pPr>
      <w:r>
        <w:rPr>
          <w:rFonts w:ascii="Bahnschrift" w:hAnsi="Bahnschrift"/>
          <w:color w:val="0070C0"/>
          <w:sz w:val="20"/>
          <w:szCs w:val="20"/>
          <w:lang w:val="es-ES"/>
        </w:rPr>
        <w:t>Organigrama:</w:t>
      </w:r>
    </w:p>
    <w:p>
      <w:pPr>
        <w:pStyle w:val="ListParagraph"/>
        <w:numPr>
          <w:ilvl w:val="0"/>
          <w:numId w:val="5"/>
        </w:numPr>
        <w:spacing w:before="0" w:after="120"/>
        <w:ind w:left="720" w:right="0" w:hanging="360"/>
        <w:contextualSpacing/>
        <w:rPr/>
      </w:pPr>
      <w:r>
        <w:rPr>
          <w:rFonts w:ascii="Bahnschrift" w:hAnsi="Bahnschrift"/>
          <w:b/>
          <w:bCs/>
          <w:sz w:val="20"/>
          <w:szCs w:val="20"/>
          <w:lang w:val="es-ES"/>
        </w:rPr>
        <w:t>Órgano ejecutivo</w:t>
      </w:r>
      <w:r>
        <w:rPr>
          <w:rFonts w:ascii="Bahnschrift" w:hAnsi="Bahnschrift"/>
          <w:sz w:val="20"/>
          <w:szCs w:val="20"/>
          <w:lang w:val="es-ES"/>
        </w:rPr>
        <w:t xml:space="preserve"> compuesto por tres socios: Economista, Graduado Social y Producción.</w:t>
      </w:r>
    </w:p>
    <w:p>
      <w:pPr>
        <w:pStyle w:val="ListParagraph"/>
        <w:numPr>
          <w:ilvl w:val="0"/>
          <w:numId w:val="5"/>
        </w:numPr>
        <w:spacing w:before="0" w:after="120"/>
        <w:ind w:left="720" w:right="0" w:hanging="360"/>
        <w:contextualSpacing/>
        <w:rPr/>
      </w:pPr>
      <w:r>
        <w:rPr>
          <w:rFonts w:ascii="Bahnschrift" w:hAnsi="Bahnschrift"/>
          <w:b/>
          <w:bCs/>
          <w:sz w:val="20"/>
          <w:szCs w:val="20"/>
          <w:lang w:val="es-ES"/>
        </w:rPr>
        <w:t xml:space="preserve">Gerente: </w:t>
      </w:r>
      <w:r>
        <w:rPr>
          <w:rFonts w:ascii="Bahnschrift" w:hAnsi="Bahnschrift"/>
          <w:sz w:val="20"/>
          <w:szCs w:val="20"/>
          <w:lang w:val="es-ES"/>
        </w:rPr>
        <w:t>Supervisa y Gestiona áreas y funciones de la empresa. No tiene poder en la toma de decisiones estratégicas.</w:t>
      </w:r>
    </w:p>
    <w:p>
      <w:pPr>
        <w:pStyle w:val="ListParagraph"/>
        <w:numPr>
          <w:ilvl w:val="0"/>
          <w:numId w:val="5"/>
        </w:numPr>
        <w:spacing w:before="0" w:after="120"/>
        <w:ind w:left="720" w:right="0" w:hanging="360"/>
        <w:contextualSpacing/>
        <w:rPr/>
      </w:pPr>
      <w:r>
        <w:rPr>
          <w:rFonts w:ascii="Bahnschrift" w:hAnsi="Bahnschrift"/>
          <w:b/>
          <w:bCs/>
          <w:sz w:val="20"/>
          <w:szCs w:val="20"/>
          <w:lang w:val="es-ES"/>
        </w:rPr>
        <w:t>Delegado de Protección de Datos:</w:t>
      </w:r>
      <w:r>
        <w:rPr>
          <w:rFonts w:ascii="Bahnschrift" w:hAnsi="Bahnschrift"/>
          <w:sz w:val="20"/>
          <w:szCs w:val="20"/>
          <w:lang w:val="es-ES"/>
        </w:rPr>
        <w:t xml:space="preserve"> Colateral a Gerencia (Servicio externalizado).</w:t>
      </w:r>
    </w:p>
    <w:p>
      <w:pPr>
        <w:pStyle w:val="ListParagraph"/>
        <w:numPr>
          <w:ilvl w:val="0"/>
          <w:numId w:val="5"/>
        </w:numPr>
        <w:spacing w:before="0" w:after="120"/>
        <w:ind w:left="720" w:right="0" w:hanging="360"/>
        <w:contextualSpacing/>
        <w:rPr/>
      </w:pPr>
      <w:r>
        <w:rPr>
          <w:rFonts w:ascii="Bahnschrift" w:hAnsi="Bahnschrift"/>
          <w:b/>
          <w:bCs/>
          <w:sz w:val="20"/>
          <w:szCs w:val="20"/>
          <w:lang w:val="es-ES"/>
        </w:rPr>
        <w:t>Funciones/Áreas:</w:t>
      </w:r>
      <w:r>
        <w:rPr>
          <w:rFonts w:ascii="Bahnschrift" w:hAnsi="Bahnschrift"/>
          <w:sz w:val="20"/>
          <w:szCs w:val="20"/>
          <w:lang w:val="es-ES"/>
        </w:rPr>
        <w:t xml:space="preserve"> </w:t>
      </w:r>
    </w:p>
    <w:p>
      <w:pPr>
        <w:pStyle w:val="ListParagraph"/>
        <w:numPr>
          <w:ilvl w:val="0"/>
          <w:numId w:val="6"/>
        </w:numPr>
        <w:spacing w:before="0" w:after="120"/>
        <w:ind w:left="1418" w:right="0" w:hanging="284"/>
        <w:contextualSpacing/>
        <w:rPr/>
      </w:pPr>
      <w:r>
        <w:rPr>
          <w:rFonts w:ascii="Bahnschrift" w:hAnsi="Bahnschrift"/>
          <w:color w:val="C00000"/>
          <w:sz w:val="20"/>
          <w:szCs w:val="20"/>
          <w:lang w:val="es-ES"/>
        </w:rPr>
        <w:t>Área Administración</w:t>
      </w:r>
      <w:r>
        <w:rPr>
          <w:rFonts w:ascii="Bahnschrift" w:hAnsi="Bahnschrift"/>
          <w:sz w:val="20"/>
          <w:szCs w:val="20"/>
          <w:lang w:val="es-ES"/>
        </w:rPr>
        <w:t xml:space="preserve">: 1. Función Contabilidad; 2. Función compras; 3. Fuerza de Ventas: (Subáreas: Comerciales, servicio post venta, Marketing Digital); 4) Recursos Humanos; </w:t>
      </w:r>
    </w:p>
    <w:p>
      <w:pPr>
        <w:pStyle w:val="ListParagraph"/>
        <w:numPr>
          <w:ilvl w:val="0"/>
          <w:numId w:val="6"/>
        </w:numPr>
        <w:spacing w:before="0" w:after="120"/>
        <w:ind w:left="1418" w:right="0" w:hanging="284"/>
        <w:contextualSpacing/>
        <w:rPr/>
      </w:pPr>
      <w:r>
        <w:rPr>
          <w:rFonts w:ascii="Bahnschrift" w:hAnsi="Bahnschrift"/>
          <w:color w:val="C00000"/>
          <w:sz w:val="20"/>
          <w:szCs w:val="20"/>
          <w:lang w:val="es-ES"/>
        </w:rPr>
        <w:t>Área de producción:</w:t>
      </w:r>
      <w:r>
        <w:rPr>
          <w:rFonts w:ascii="Bahnschrift" w:hAnsi="Bahnschrift"/>
          <w:sz w:val="20"/>
          <w:szCs w:val="20"/>
          <w:lang w:val="es-ES"/>
        </w:rPr>
        <w:t xml:space="preserve"> (Recepción materias primas, Corte, ensamblado)</w:t>
      </w:r>
    </w:p>
    <w:p>
      <w:pPr>
        <w:pStyle w:val="ListParagraph"/>
        <w:numPr>
          <w:ilvl w:val="0"/>
          <w:numId w:val="6"/>
        </w:numPr>
        <w:spacing w:before="0" w:after="120"/>
        <w:ind w:left="1418" w:right="0" w:hanging="284"/>
        <w:contextualSpacing/>
        <w:rPr/>
      </w:pPr>
      <w:r>
        <w:rPr>
          <w:rFonts w:ascii="Bahnschrift" w:hAnsi="Bahnschrift"/>
          <w:color w:val="C00000"/>
          <w:sz w:val="20"/>
          <w:szCs w:val="20"/>
          <w:lang w:val="es-ES"/>
        </w:rPr>
        <w:t>Logistica.</w:t>
      </w:r>
      <w:r>
        <w:rPr>
          <w:rFonts w:ascii="Bahnschrift" w:hAnsi="Bahnschrift"/>
          <w:sz w:val="20"/>
          <w:szCs w:val="20"/>
          <w:lang w:val="es-ES"/>
        </w:rPr>
        <w:t xml:space="preserve"> Reparto.</w:t>
      </w:r>
    </w:p>
    <w:p>
      <w:pPr>
        <w:pStyle w:val="Normal"/>
        <w:spacing w:before="0" w:after="120"/>
        <w:rPr/>
      </w:pPr>
      <w:r>
        <w:rPr>
          <w:rFonts w:ascii="Bahnschrift" w:hAnsi="Bahnschrift"/>
          <w:color w:val="0070C0"/>
          <w:sz w:val="20"/>
          <w:szCs w:val="20"/>
          <w:lang w:val="es-ES"/>
        </w:rPr>
        <w:t>Valores Económicos</w:t>
      </w:r>
      <w:r>
        <w:rPr>
          <w:rStyle w:val="Ancladenotaalpie"/>
          <w:rFonts w:ascii="Bahnschrift" w:hAnsi="Bahnschrift"/>
          <w:color w:val="0070C0"/>
          <w:sz w:val="20"/>
          <w:szCs w:val="20"/>
          <w:lang w:val="es-ES"/>
        </w:rPr>
        <w:footnoteReference w:id="2"/>
      </w:r>
      <w:r>
        <w:rPr>
          <w:rFonts w:ascii="Bahnschrift" w:hAnsi="Bahnschrift"/>
          <w:color w:val="0070C0"/>
          <w:sz w:val="20"/>
          <w:szCs w:val="20"/>
          <w:lang w:val="es-ES"/>
        </w:rPr>
        <w:t>:</w:t>
      </w:r>
    </w:p>
    <w:p>
      <w:pPr>
        <w:pStyle w:val="ListParagraph"/>
        <w:numPr>
          <w:ilvl w:val="0"/>
          <w:numId w:val="7"/>
        </w:numPr>
        <w:spacing w:before="0" w:after="120"/>
        <w:ind w:left="720" w:right="0" w:hanging="360"/>
        <w:contextualSpacing/>
        <w:rPr/>
      </w:pPr>
      <w:r>
        <w:rPr>
          <w:rFonts w:ascii="Bahnschrift" w:hAnsi="Bahnschrift"/>
          <w:b/>
          <w:bCs/>
          <w:sz w:val="20"/>
          <w:szCs w:val="20"/>
          <w:lang w:val="es-ES"/>
        </w:rPr>
        <w:t xml:space="preserve">Patrimonio neto: </w:t>
      </w:r>
      <w:r>
        <w:rPr>
          <w:rFonts w:ascii="Bahnschrift" w:hAnsi="Bahnschrift"/>
          <w:sz w:val="20"/>
          <w:szCs w:val="20"/>
          <w:lang w:val="es-ES"/>
        </w:rPr>
        <w:t>1.986.692€</w:t>
      </w:r>
    </w:p>
    <w:p>
      <w:pPr>
        <w:pStyle w:val="ListParagraph"/>
        <w:numPr>
          <w:ilvl w:val="0"/>
          <w:numId w:val="7"/>
        </w:numPr>
        <w:spacing w:before="0" w:after="120"/>
        <w:ind w:left="720" w:right="0" w:hanging="360"/>
        <w:contextualSpacing/>
        <w:rPr/>
      </w:pPr>
      <w:r>
        <w:rPr>
          <w:rFonts w:ascii="Bahnschrift" w:hAnsi="Bahnschrift"/>
          <w:b/>
          <w:bCs/>
          <w:sz w:val="20"/>
          <w:szCs w:val="20"/>
          <w:lang w:val="es-ES"/>
        </w:rPr>
        <w:t>Ventas:</w:t>
      </w:r>
      <w:r>
        <w:rPr>
          <w:rFonts w:ascii="Bahnschrift" w:hAnsi="Bahnschrift"/>
          <w:sz w:val="20"/>
          <w:szCs w:val="20"/>
          <w:lang w:val="es-ES"/>
        </w:rPr>
        <w:t xml:space="preserve"> 2.280.322€</w:t>
      </w:r>
    </w:p>
    <w:p>
      <w:pPr>
        <w:pStyle w:val="ListParagraph"/>
        <w:numPr>
          <w:ilvl w:val="0"/>
          <w:numId w:val="7"/>
        </w:numPr>
        <w:spacing w:before="0" w:after="120"/>
        <w:ind w:left="720" w:right="0" w:hanging="360"/>
        <w:contextualSpacing/>
        <w:rPr/>
      </w:pPr>
      <w:r>
        <w:rPr>
          <w:rFonts w:ascii="Bahnschrift" w:hAnsi="Bahnschrift"/>
          <w:b/>
          <w:bCs/>
          <w:sz w:val="20"/>
          <w:szCs w:val="20"/>
          <w:lang w:val="es-ES"/>
        </w:rPr>
        <w:t>Compras:</w:t>
      </w:r>
      <w:r>
        <w:rPr>
          <w:rFonts w:ascii="Bahnschrift" w:hAnsi="Bahnschrift"/>
          <w:sz w:val="20"/>
          <w:szCs w:val="20"/>
          <w:lang w:val="es-ES"/>
        </w:rPr>
        <w:t xml:space="preserve"> 1.925.939€</w:t>
      </w:r>
    </w:p>
    <w:p>
      <w:pPr>
        <w:pStyle w:val="Normal"/>
        <w:spacing w:before="0" w:after="120"/>
        <w:rPr>
          <w:rFonts w:ascii="Bahnschrift" w:hAnsi="Bahnschrift"/>
          <w:color w:val="0070C0"/>
          <w:sz w:val="20"/>
          <w:szCs w:val="20"/>
          <w:lang w:val="es-ES"/>
        </w:rPr>
      </w:pPr>
      <w:r>
        <w:rPr>
          <w:rFonts w:ascii="Bahnschrift" w:hAnsi="Bahnschrift"/>
          <w:color w:val="0070C0"/>
          <w:sz w:val="20"/>
          <w:szCs w:val="20"/>
          <w:lang w:val="es-ES"/>
        </w:rPr>
        <w:t>RRHH:</w:t>
      </w:r>
    </w:p>
    <w:p>
      <w:pPr>
        <w:pStyle w:val="ListParagraph"/>
        <w:numPr>
          <w:ilvl w:val="0"/>
          <w:numId w:val="8"/>
        </w:numPr>
        <w:spacing w:before="0" w:after="120"/>
        <w:ind w:left="720" w:right="0" w:hanging="360"/>
        <w:contextualSpacing/>
        <w:rPr/>
      </w:pPr>
      <w:r>
        <w:rPr>
          <w:rFonts w:ascii="Bahnschrift" w:hAnsi="Bahnschrift"/>
          <w:b/>
          <w:bCs/>
          <w:sz w:val="20"/>
          <w:szCs w:val="20"/>
          <w:lang w:val="es-ES"/>
        </w:rPr>
        <w:t>Trabajadores:</w:t>
      </w:r>
      <w:r>
        <w:rPr>
          <w:rFonts w:ascii="Bahnschrift" w:hAnsi="Bahnschrift"/>
          <w:sz w:val="20"/>
          <w:szCs w:val="20"/>
          <w:lang w:val="es-ES"/>
        </w:rPr>
        <w:t xml:space="preserve"> 35</w:t>
      </w:r>
    </w:p>
    <w:p>
      <w:pPr>
        <w:pStyle w:val="Normal"/>
        <w:spacing w:before="0" w:after="120"/>
        <w:rPr>
          <w:rFonts w:ascii="Bahnschrift" w:hAnsi="Bahnschrift"/>
          <w:color w:val="0070C0"/>
          <w:sz w:val="20"/>
          <w:szCs w:val="20"/>
          <w:lang w:val="es-ES"/>
        </w:rPr>
      </w:pPr>
      <w:r>
        <w:rPr>
          <w:rFonts w:ascii="Bahnschrift" w:hAnsi="Bahnschrift"/>
          <w:color w:val="0070C0"/>
          <w:sz w:val="20"/>
          <w:szCs w:val="20"/>
          <w:lang w:val="es-ES"/>
        </w:rPr>
        <w:t>IT:</w:t>
      </w:r>
    </w:p>
    <w:p>
      <w:pPr>
        <w:pStyle w:val="ListParagraph"/>
        <w:numPr>
          <w:ilvl w:val="0"/>
          <w:numId w:val="9"/>
        </w:numPr>
        <w:spacing w:before="0" w:after="120"/>
        <w:ind w:left="720" w:right="0" w:hanging="360"/>
        <w:contextualSpacing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>Servidor (Administración): 1</w:t>
      </w:r>
    </w:p>
    <w:p>
      <w:pPr>
        <w:pStyle w:val="ListParagraph"/>
        <w:numPr>
          <w:ilvl w:val="0"/>
          <w:numId w:val="9"/>
        </w:numPr>
        <w:spacing w:before="0" w:after="120"/>
        <w:ind w:left="720" w:right="0" w:hanging="360"/>
        <w:contextualSpacing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>Servidor (Fuerza de ventas): 1</w:t>
      </w:r>
    </w:p>
    <w:p>
      <w:pPr>
        <w:pStyle w:val="ListParagraph"/>
        <w:numPr>
          <w:ilvl w:val="0"/>
          <w:numId w:val="9"/>
        </w:numPr>
        <w:spacing w:before="0" w:after="120"/>
        <w:ind w:left="720" w:right="0" w:hanging="360"/>
        <w:contextualSpacing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>Administración: 6</w:t>
      </w:r>
    </w:p>
    <w:p>
      <w:pPr>
        <w:pStyle w:val="ListParagraph"/>
        <w:numPr>
          <w:ilvl w:val="0"/>
          <w:numId w:val="9"/>
        </w:numPr>
        <w:spacing w:before="0" w:after="120"/>
        <w:ind w:left="720" w:right="0" w:hanging="360"/>
        <w:contextualSpacing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>Taller: 2</w:t>
      </w:r>
    </w:p>
    <w:p>
      <w:pPr>
        <w:pStyle w:val="ListParagraph"/>
        <w:numPr>
          <w:ilvl w:val="0"/>
          <w:numId w:val="9"/>
        </w:numPr>
        <w:spacing w:before="0" w:after="120"/>
        <w:ind w:left="720" w:right="0" w:hanging="360"/>
        <w:contextualSpacing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>Fuerzas de ventas: 4</w:t>
      </w:r>
    </w:p>
    <w:p>
      <w:pPr>
        <w:pStyle w:val="Normal"/>
        <w:spacing w:before="0" w:after="120"/>
        <w:rPr>
          <w:rFonts w:ascii="Bahnschrift" w:hAnsi="Bahnschrift"/>
          <w:color w:val="0070C0"/>
          <w:sz w:val="20"/>
          <w:szCs w:val="20"/>
          <w:lang w:val="es-ES"/>
        </w:rPr>
      </w:pPr>
      <w:r>
        <w:rPr>
          <w:rFonts w:ascii="Bahnschrift" w:hAnsi="Bahnschrift"/>
          <w:color w:val="0070C0"/>
          <w:sz w:val="20"/>
          <w:szCs w:val="20"/>
          <w:lang w:val="es-ES"/>
        </w:rPr>
        <w:t>Plataformas:</w:t>
      </w:r>
    </w:p>
    <w:p>
      <w:pPr>
        <w:pStyle w:val="ListParagraph"/>
        <w:numPr>
          <w:ilvl w:val="0"/>
          <w:numId w:val="11"/>
        </w:numPr>
        <w:spacing w:before="0" w:after="120"/>
        <w:ind w:left="720" w:right="0" w:hanging="360"/>
        <w:contextualSpacing/>
        <w:rPr/>
      </w:pPr>
      <w:r>
        <w:rPr>
          <w:rFonts w:ascii="Bahnschrift" w:hAnsi="Bahnschrift"/>
          <w:b/>
          <w:bCs/>
          <w:sz w:val="20"/>
          <w:szCs w:val="20"/>
          <w:lang w:val="es-ES"/>
        </w:rPr>
        <w:t>Arquitecturas:</w:t>
      </w:r>
      <w:r>
        <w:rPr>
          <w:rFonts w:ascii="Bahnschrift" w:hAnsi="Bahnschrift"/>
          <w:sz w:val="20"/>
          <w:szCs w:val="20"/>
          <w:lang w:val="es-ES"/>
        </w:rPr>
        <w:t xml:space="preserve"> predomina X86 – 64 bits</w:t>
      </w:r>
    </w:p>
    <w:p>
      <w:pPr>
        <w:pStyle w:val="ListParagraph"/>
        <w:numPr>
          <w:ilvl w:val="0"/>
          <w:numId w:val="11"/>
        </w:numPr>
        <w:spacing w:before="0" w:after="120"/>
        <w:ind w:left="720" w:right="0" w:hanging="360"/>
        <w:contextualSpacing/>
        <w:rPr/>
      </w:pPr>
      <w:r>
        <w:rPr>
          <w:rFonts w:ascii="Bahnschrift" w:hAnsi="Bahnschrift"/>
          <w:b/>
          <w:bCs/>
          <w:sz w:val="20"/>
          <w:szCs w:val="20"/>
          <w:lang w:val="es-ES"/>
        </w:rPr>
        <w:t>Sistemas Operativos:</w:t>
      </w:r>
      <w:r>
        <w:rPr>
          <w:rFonts w:ascii="Bahnschrift" w:hAnsi="Bahnschrift"/>
          <w:sz w:val="20"/>
          <w:szCs w:val="20"/>
          <w:lang w:val="es-ES"/>
        </w:rPr>
        <w:t xml:space="preserve"> Windows© Server 2016®; Android; Windows© 10</w:t>
      </w:r>
    </w:p>
    <w:p>
      <w:pPr>
        <w:pStyle w:val="ListParagraph"/>
        <w:numPr>
          <w:ilvl w:val="0"/>
          <w:numId w:val="11"/>
        </w:numPr>
        <w:spacing w:before="0" w:after="120"/>
        <w:ind w:left="720" w:right="0" w:hanging="360"/>
        <w:contextualSpacing/>
        <w:rPr/>
      </w:pPr>
      <w:r>
        <w:rPr>
          <w:rFonts w:ascii="Bahnschrift" w:hAnsi="Bahnschrift"/>
          <w:b/>
          <w:bCs/>
          <w:sz w:val="20"/>
          <w:szCs w:val="20"/>
          <w:lang w:val="es-ES"/>
        </w:rPr>
        <w:t>Impresoras:</w:t>
      </w:r>
      <w:r>
        <w:rPr>
          <w:rFonts w:ascii="Bahnschrift" w:hAnsi="Bahnschrift"/>
          <w:sz w:val="20"/>
          <w:szCs w:val="20"/>
          <w:lang w:val="es-ES"/>
        </w:rPr>
        <w:t xml:space="preserve"> Matriciales (180 col.); Laser (Color y B&amp;N).</w:t>
      </w:r>
    </w:p>
    <w:p>
      <w:pPr>
        <w:pStyle w:val="Normal"/>
        <w:spacing w:before="0" w:after="120"/>
        <w:rPr>
          <w:rFonts w:ascii="Bahnschrift" w:hAnsi="Bahnschrift"/>
          <w:color w:val="0070C0"/>
          <w:sz w:val="20"/>
          <w:szCs w:val="20"/>
          <w:lang w:val="es-ES"/>
        </w:rPr>
      </w:pPr>
      <w:r>
        <w:rPr>
          <w:rFonts w:ascii="Bahnschrift" w:hAnsi="Bahnschrift"/>
          <w:color w:val="0070C0"/>
          <w:sz w:val="20"/>
          <w:szCs w:val="20"/>
          <w:lang w:val="es-ES"/>
        </w:rPr>
        <w:t>Competencias de los RRHH:</w:t>
      </w:r>
    </w:p>
    <w:p>
      <w:pPr>
        <w:pStyle w:val="ListParagraph"/>
        <w:numPr>
          <w:ilvl w:val="0"/>
          <w:numId w:val="10"/>
        </w:numPr>
        <w:spacing w:before="0" w:after="120"/>
        <w:ind w:left="720" w:right="0" w:hanging="360"/>
        <w:contextualSpacing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 xml:space="preserve">Se sigue los estándares de capacitaciones profesionales en España. </w:t>
      </w:r>
    </w:p>
    <w:p>
      <w:pPr>
        <w:pStyle w:val="Normal"/>
        <w:spacing w:before="0" w:after="120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</w:r>
    </w:p>
    <w:p>
      <w:pPr>
        <w:pStyle w:val="Normal"/>
        <w:spacing w:lineRule="auto" w:line="276" w:before="0" w:after="200"/>
        <w:rPr>
          <w:rFonts w:ascii="Bahnschrift" w:hAnsi="Bahnschrift"/>
          <w:b/>
          <w:b/>
          <w:bCs/>
          <w:color w:val="595959"/>
          <w:sz w:val="20"/>
          <w:szCs w:val="20"/>
          <w:lang w:val="es-ES"/>
        </w:rPr>
      </w:pPr>
      <w:r>
        <w:rPr>
          <w:rFonts w:ascii="Bahnschrift" w:hAnsi="Bahnschrift"/>
          <w:b/>
          <w:bCs/>
          <w:color w:val="595959"/>
          <w:sz w:val="20"/>
          <w:szCs w:val="20"/>
          <w:lang w:val="es-ES"/>
        </w:rPr>
      </w:r>
      <w:r>
        <w:br w:type="page"/>
      </w:r>
    </w:p>
    <w:p>
      <w:pPr>
        <w:pStyle w:val="Normal"/>
        <w:spacing w:before="0" w:after="120"/>
        <w:rPr>
          <w:rFonts w:ascii="Bahnschrift" w:hAnsi="Bahnschrift"/>
          <w:b/>
          <w:b/>
          <w:bCs/>
          <w:color w:val="595959"/>
          <w:sz w:val="20"/>
          <w:szCs w:val="20"/>
          <w:lang w:val="es-ES"/>
        </w:rPr>
      </w:pPr>
      <w:r>
        <w:rPr>
          <w:rFonts w:ascii="Bahnschrift" w:hAnsi="Bahnschrift"/>
          <w:b/>
          <w:bCs/>
          <w:color w:val="595959"/>
          <w:sz w:val="20"/>
          <w:szCs w:val="20"/>
          <w:lang w:val="es-ES"/>
        </w:rPr>
        <w:t>Lo que se pide por parte de MADERAS CILPE, S.L. en cuanto a:</w:t>
      </w:r>
    </w:p>
    <w:p>
      <w:pPr>
        <w:pStyle w:val="ListParagraph"/>
        <w:spacing w:before="0" w:after="120"/>
        <w:ind w:left="720" w:right="0" w:hanging="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</w:r>
    </w:p>
    <w:p>
      <w:pPr>
        <w:pStyle w:val="Normal"/>
        <w:spacing w:lineRule="auto" w:line="276" w:before="0" w:after="200"/>
        <w:rPr>
          <w:rFonts w:ascii="Bahnschrift" w:hAnsi="Bahnschrift"/>
          <w:b/>
          <w:b/>
          <w:bCs/>
          <w:color w:val="0070C0"/>
          <w:sz w:val="20"/>
          <w:szCs w:val="20"/>
          <w:lang w:val="es-ES"/>
        </w:rPr>
      </w:pPr>
      <w:r>
        <w:rPr>
          <w:rFonts w:ascii="Bahnschrift" w:hAnsi="Bahnschrift"/>
          <w:b/>
          <w:bCs/>
          <w:color w:val="0070C0"/>
          <w:sz w:val="20"/>
          <w:szCs w:val="20"/>
          <w:lang w:val="es-ES"/>
        </w:rPr>
      </w:r>
    </w:p>
    <w:p>
      <w:pPr>
        <w:pStyle w:val="ListParagraph"/>
        <w:spacing w:before="0" w:after="120"/>
        <w:ind w:left="720" w:right="0" w:hanging="0"/>
        <w:contextualSpacing/>
        <w:jc w:val="both"/>
        <w:rPr/>
      </w:pPr>
      <w:r>
        <w:rPr>
          <w:rFonts w:ascii="Bahnschrift" w:hAnsi="Bahnschrift"/>
          <w:sz w:val="20"/>
          <w:szCs w:val="20"/>
          <w:lang w:val="es-ES"/>
        </w:rPr>
        <w:t xml:space="preserve">5. Conseguida la </w:t>
      </w:r>
      <w:r>
        <w:rPr>
          <w:rFonts w:ascii="Bahnschrift" w:hAnsi="Bahnschrift"/>
          <w:b/>
          <w:bCs/>
          <w:sz w:val="20"/>
          <w:szCs w:val="20"/>
          <w:lang w:val="es-ES"/>
        </w:rPr>
        <w:t>certificación ISO 9000</w:t>
      </w:r>
      <w:r>
        <w:rPr>
          <w:rStyle w:val="Ancladenotaalpie"/>
          <w:rFonts w:ascii="Bahnschrift" w:hAnsi="Bahnschrift"/>
          <w:sz w:val="20"/>
          <w:szCs w:val="20"/>
          <w:lang w:val="es-ES"/>
        </w:rPr>
        <w:footnoteReference w:id="3"/>
      </w:r>
      <w:r>
        <w:rPr>
          <w:rFonts w:ascii="Bahnschrift" w:hAnsi="Bahnschrift"/>
          <w:sz w:val="20"/>
          <w:szCs w:val="20"/>
          <w:lang w:val="es-ES"/>
        </w:rPr>
        <w:t>, el departamento de calidad de MADERAS CILPE, S.L., ésta, deberá reflejarse como proceso en Odoo. El CPD recibe la orden y deberá modular la aplicación</w:t>
      </w:r>
      <w:r>
        <w:rPr>
          <w:rStyle w:val="Ancladenotaalpie"/>
          <w:rFonts w:ascii="Bahnschrift" w:hAnsi="Bahnschrift"/>
          <w:sz w:val="20"/>
          <w:szCs w:val="20"/>
          <w:lang w:val="es-ES"/>
        </w:rPr>
        <w:footnoteReference w:id="4"/>
      </w:r>
      <w:r>
        <w:rPr>
          <w:rFonts w:ascii="Bahnschrift" w:hAnsi="Bahnschrift"/>
          <w:sz w:val="20"/>
          <w:szCs w:val="20"/>
          <w:lang w:val="es-ES"/>
        </w:rPr>
        <w:t xml:space="preserve"> para:</w:t>
      </w:r>
    </w:p>
    <w:p>
      <w:pPr>
        <w:pStyle w:val="ListParagraph"/>
        <w:numPr>
          <w:ilvl w:val="1"/>
          <w:numId w:val="12"/>
        </w:numPr>
        <w:spacing w:before="0" w:after="120"/>
        <w:ind w:left="1440" w:right="0" w:hanging="36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 xml:space="preserve">La Planificación de la fabricación:  Instale los módulos pertinentes </w:t>
      </w:r>
    </w:p>
    <w:p>
      <w:pPr>
        <w:pStyle w:val="ListParagraph"/>
        <w:spacing w:before="0" w:after="120"/>
        <w:ind w:left="1440" w:right="0" w:hanging="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>El software de Planificación es de pago, pero el de Fabricación es gratuito.</w:t>
      </w:r>
    </w:p>
    <w:p>
      <w:pPr>
        <w:pStyle w:val="ListParagraph"/>
        <w:spacing w:before="0" w:after="120"/>
        <w:ind w:left="1440" w:right="0" w:hanging="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24275" cy="76200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2"/>
        </w:numPr>
        <w:spacing w:before="0" w:after="120"/>
        <w:ind w:left="1440" w:right="0" w:hanging="36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>El Almacenaje: se necesita planificar el stock tanto de la materia prima, del producto en proceso, el producto finalizado y el producto con pedido a cliente. Si ha lugar, instale el módulo correspondiente.</w:t>
      </w:r>
    </w:p>
    <w:p>
      <w:pPr>
        <w:pStyle w:val="ListParagraph"/>
        <w:spacing w:before="0" w:after="120"/>
        <w:ind w:left="1440" w:right="0" w:hanging="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>Módulo de Inventario.</w:t>
      </w:r>
    </w:p>
    <w:p>
      <w:pPr>
        <w:pStyle w:val="ListParagraph"/>
        <w:spacing w:before="0" w:after="120"/>
        <w:ind w:left="1440" w:right="0" w:hanging="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19525" cy="92392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2"/>
        </w:numPr>
        <w:spacing w:before="0" w:after="120"/>
        <w:ind w:left="1440" w:right="0" w:hanging="36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>La Logística y Distribución: La aplicación deberá ayudar a la planificación de la distribución (según histórico de pedidos). Asegure que Odoo tiene el módulo de Atención al Cliente instalado y activo.</w:t>
      </w:r>
    </w:p>
    <w:p>
      <w:pPr>
        <w:pStyle w:val="ListParagraph"/>
        <w:spacing w:before="0" w:after="12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ab/>
        <w:t>Módulo CRM activo y funcionando.</w:t>
      </w:r>
    </w:p>
    <w:p>
      <w:pPr>
        <w:pStyle w:val="ListParagraph"/>
        <w:spacing w:before="0" w:after="12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33800" cy="97155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2"/>
        </w:numPr>
        <w:spacing w:before="0" w:after="120"/>
        <w:ind w:left="1440" w:right="0" w:hanging="360"/>
        <w:contextualSpacing/>
        <w:jc w:val="both"/>
        <w:rPr/>
      </w:pPr>
      <w:r>
        <w:rPr>
          <w:rFonts w:ascii="Bahnschrift" w:hAnsi="Bahnschrift"/>
          <w:sz w:val="20"/>
          <w:szCs w:val="20"/>
          <w:lang w:val="es-ES"/>
        </w:rPr>
        <w:t xml:space="preserve">Confirmación de correo electrónico: </w:t>
      </w:r>
      <w:bookmarkStart w:id="0" w:name="_Int_o8pI2qN1"/>
      <w:r>
        <w:rPr>
          <w:rFonts w:ascii="Bahnschrift" w:hAnsi="Bahnschrift"/>
          <w:sz w:val="20"/>
          <w:szCs w:val="20"/>
          <w:lang w:val="es-ES"/>
        </w:rPr>
        <w:t>Enviar  un</w:t>
      </w:r>
      <w:bookmarkEnd w:id="0"/>
      <w:r>
        <w:rPr>
          <w:rFonts w:ascii="Bahnschrift" w:hAnsi="Bahnschrift"/>
          <w:sz w:val="20"/>
          <w:szCs w:val="20"/>
          <w:lang w:val="es-ES"/>
        </w:rPr>
        <w:t xml:space="preserve"> correo electrónico de confirmación automática cuando se realicen los pedidos de entrega.</w:t>
      </w:r>
    </w:p>
    <w:p>
      <w:pPr>
        <w:pStyle w:val="ListParagraph"/>
        <w:numPr>
          <w:ilvl w:val="0"/>
          <w:numId w:val="0"/>
        </w:numPr>
        <w:spacing w:before="0" w:after="120"/>
        <w:ind w:left="1440" w:right="0" w:hanging="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14240" cy="126365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24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12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</w:r>
    </w:p>
    <w:p>
      <w:pPr>
        <w:pStyle w:val="ListParagraph"/>
        <w:spacing w:before="0" w:after="120"/>
        <w:ind w:left="1440" w:right="0" w:hanging="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</w:r>
    </w:p>
    <w:p>
      <w:pPr>
        <w:pStyle w:val="ListParagraph"/>
        <w:spacing w:before="0" w:after="120"/>
        <w:ind w:left="720" w:right="0" w:hanging="0"/>
        <w:contextualSpacing/>
        <w:jc w:val="both"/>
        <w:rPr/>
      </w:pPr>
      <w:r>
        <w:rPr>
          <w:rFonts w:ascii="Bahnschrift" w:hAnsi="Bahnschrift"/>
          <w:sz w:val="20"/>
          <w:szCs w:val="20"/>
          <w:lang w:val="es-ES"/>
        </w:rPr>
        <w:t>6. El departamento de RRHH, nos pone en conocimiento que el Estatuto de los Trabajadores</w:t>
      </w:r>
      <w:r>
        <w:rPr>
          <w:rStyle w:val="Ancladenotaalpie"/>
          <w:rFonts w:ascii="Bahnschrift" w:hAnsi="Bahnschrift"/>
          <w:sz w:val="20"/>
          <w:szCs w:val="20"/>
          <w:lang w:val="es-ES"/>
        </w:rPr>
        <w:footnoteReference w:id="5"/>
      </w:r>
      <w:r>
        <w:rPr>
          <w:rFonts w:ascii="Bahnschrift" w:hAnsi="Bahnschrift"/>
          <w:sz w:val="20"/>
          <w:szCs w:val="20"/>
          <w:lang w:val="es-ES"/>
        </w:rPr>
        <w:t>, ha sido actualizado y obliga a las empresas a llevar un registro de horas obligatorio diario -tanto de las horas normales como de las extraordinarias realizadas por los empleados-, en caso de que las causasen. Además, deben informar mensualmente a los representantes legales de los trabajadores sobre el número de horas realizadas.</w:t>
      </w:r>
    </w:p>
    <w:p>
      <w:pPr>
        <w:pStyle w:val="ListParagraph"/>
        <w:spacing w:before="0" w:after="12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>A este efecto, RRHH, nos traslada la inquietud acerca de la mecanización de este proceso (para los 35 trabajadores). El CPD debe cerciorarse que a este efecto haya un módulo que hagas las funciones demandadas.</w:t>
      </w:r>
    </w:p>
    <w:p>
      <w:pPr>
        <w:pStyle w:val="ListParagraph"/>
        <w:spacing w:before="0" w:after="120"/>
        <w:ind w:left="1440" w:right="0" w:hanging="36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>a. Busca e instala, si procede, el módulo asociado a este departamento para la tarea a implementar.</w:t>
      </w:r>
    </w:p>
    <w:p>
      <w:pPr>
        <w:pStyle w:val="ListParagraph"/>
        <w:spacing w:before="0" w:after="120"/>
        <w:ind w:left="1440" w:right="0" w:hanging="36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</w:r>
    </w:p>
    <w:p>
      <w:pPr>
        <w:pStyle w:val="ListParagraph"/>
        <w:spacing w:before="0" w:after="120"/>
        <w:ind w:right="0" w:hanging="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posOffset>342900</wp:posOffset>
            </wp:positionH>
            <wp:positionV relativeFrom="paragraph">
              <wp:posOffset>635</wp:posOffset>
            </wp:positionV>
            <wp:extent cx="4714240" cy="578485"/>
            <wp:effectExtent l="0" t="0" r="0" b="0"/>
            <wp:wrapSquare wrapText="largest"/>
            <wp:docPr id="5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24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120"/>
        <w:ind w:left="1440" w:right="0" w:hanging="36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</w:r>
    </w:p>
    <w:p>
      <w:pPr>
        <w:pStyle w:val="ListParagraph"/>
        <w:spacing w:before="0" w:after="120"/>
        <w:ind w:left="1440" w:right="0" w:hanging="36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91000" cy="1181100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12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>7. En la configuración del SI, a requerimiento de RRHH y Ventas, realice las siguientes tareas:</w:t>
      </w:r>
    </w:p>
    <w:p>
      <w:pPr>
        <w:pStyle w:val="ListParagraph"/>
        <w:spacing w:before="0" w:after="120"/>
        <w:ind w:left="1440" w:right="0" w:hanging="36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 xml:space="preserve">b. En asistencia, Active el conteo de horas extras y PIN usuario; </w:t>
      </w:r>
    </w:p>
    <w:p>
      <w:pPr>
        <w:pStyle w:val="ListParagraph"/>
        <w:spacing w:before="0" w:after="120"/>
        <w:ind w:left="1440" w:right="0" w:hanging="36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/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14240" cy="2799715"/>
            <wp:effectExtent l="0" t="0" r="0" b="0"/>
            <wp:wrapSquare wrapText="largest"/>
            <wp:docPr id="7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24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120"/>
        <w:ind w:left="1440" w:right="0" w:hanging="36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>c. En empleados:  Active la gestión de habilidades</w:t>
      </w:r>
    </w:p>
    <w:p>
      <w:pPr>
        <w:pStyle w:val="ListParagraph"/>
        <w:spacing w:before="0" w:after="120"/>
        <w:ind w:left="1440" w:right="0" w:hanging="36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/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14240" cy="760730"/>
            <wp:effectExtent l="0" t="0" r="0" b="0"/>
            <wp:wrapSquare wrapText="largest"/>
            <wp:docPr id="8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24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120"/>
        <w:ind w:left="1440" w:right="0" w:hanging="36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>d. En facturación y Contabilidad: Active: Venta a distancia intracomunitaria UE; Términos y condiciones predeterminados; Análisis de Margen.</w:t>
      </w:r>
    </w:p>
    <w:p>
      <w:pPr>
        <w:pStyle w:val="ListParagraph"/>
        <w:spacing w:before="0" w:after="120"/>
        <w:ind w:left="1440" w:right="0" w:hanging="36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/>
      </w:r>
    </w:p>
    <w:p>
      <w:pPr>
        <w:pStyle w:val="ListParagraph"/>
        <w:spacing w:before="0" w:after="120"/>
        <w:ind w:left="720" w:right="0" w:hanging="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/>
      </w:r>
    </w:p>
    <w:p>
      <w:pPr>
        <w:pStyle w:val="ListParagraph"/>
        <w:spacing w:before="0" w:after="120"/>
        <w:ind w:left="720" w:right="0" w:hanging="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/>
        <w:drawing>
          <wp:anchor behindDoc="0" distT="0" distB="0" distL="0" distR="0" simplePos="0" locked="0" layoutInCell="0" allowOverlap="1" relativeHeight="3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90950" cy="704850"/>
            <wp:effectExtent l="0" t="0" r="0" b="0"/>
            <wp:wrapSquare wrapText="largest"/>
            <wp:docPr id="9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120"/>
        <w:ind w:left="720" w:right="0" w:hanging="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/>
      </w:r>
    </w:p>
    <w:p>
      <w:pPr>
        <w:pStyle w:val="ListParagraph"/>
        <w:spacing w:before="0" w:after="120"/>
        <w:ind w:left="720" w:right="0" w:hanging="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/>
      </w:r>
    </w:p>
    <w:p>
      <w:pPr>
        <w:pStyle w:val="ListParagraph"/>
        <w:spacing w:before="0" w:after="120"/>
        <w:ind w:left="720" w:right="0" w:hanging="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/>
      </w:r>
    </w:p>
    <w:p>
      <w:pPr>
        <w:pStyle w:val="ListParagraph"/>
        <w:spacing w:before="0" w:after="120"/>
        <w:ind w:left="720" w:right="0" w:hanging="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/>
      </w:r>
    </w:p>
    <w:p>
      <w:pPr>
        <w:pStyle w:val="ListParagraph"/>
        <w:spacing w:before="0" w:after="120"/>
        <w:ind w:left="720" w:right="0" w:hanging="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/>
      </w:r>
    </w:p>
    <w:p>
      <w:pPr>
        <w:pStyle w:val="ListParagraph"/>
        <w:spacing w:before="0" w:after="120"/>
        <w:ind w:left="720" w:right="0" w:hanging="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/>
        <w:drawing>
          <wp:anchor behindDoc="0" distT="0" distB="0" distL="0" distR="0" simplePos="0" locked="0" layoutInCell="0" allowOverlap="1" relativeHeight="3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95775" cy="962025"/>
            <wp:effectExtent l="0" t="0" r="0" b="0"/>
            <wp:wrapSquare wrapText="largest"/>
            <wp:docPr id="10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120"/>
        <w:ind w:left="720" w:right="0" w:hanging="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/>
      </w:r>
    </w:p>
    <w:p>
      <w:pPr>
        <w:pStyle w:val="ListParagraph"/>
        <w:spacing w:before="0" w:after="120"/>
        <w:ind w:left="720" w:right="0" w:hanging="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/>
      </w:r>
    </w:p>
    <w:p>
      <w:pPr>
        <w:pStyle w:val="ListParagraph"/>
        <w:spacing w:before="0" w:after="120"/>
        <w:ind w:left="720" w:right="0" w:hanging="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/>
      </w:r>
    </w:p>
    <w:p>
      <w:pPr>
        <w:pStyle w:val="ListParagraph"/>
        <w:spacing w:before="0" w:after="120"/>
        <w:ind w:left="720" w:right="0" w:hanging="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/>
      </w:r>
    </w:p>
    <w:p>
      <w:pPr>
        <w:pStyle w:val="ListParagraph"/>
        <w:spacing w:before="0" w:after="120"/>
        <w:ind w:left="720" w:right="0" w:hanging="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/>
      </w:r>
    </w:p>
    <w:p>
      <w:pPr>
        <w:pStyle w:val="ListParagraph"/>
        <w:spacing w:before="0" w:after="120"/>
        <w:ind w:left="720" w:right="0" w:hanging="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/>
        <w:drawing>
          <wp:anchor behindDoc="0" distT="0" distB="0" distL="0" distR="0" simplePos="0" locked="0" layoutInCell="0" allowOverlap="1" relativeHeight="3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72000" cy="838200"/>
            <wp:effectExtent l="0" t="0" r="0" b="0"/>
            <wp:wrapSquare wrapText="largest"/>
            <wp:docPr id="11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120"/>
        <w:ind w:left="720" w:right="0" w:hanging="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>8. Lleve a la práctica  el ítem «2.5.3 Instalación de Jaspersoft Studio» de la Ud3 tal como se especifica.</w:t>
      </w:r>
    </w:p>
    <w:p>
      <w:pPr>
        <w:pStyle w:val="Normal"/>
        <w:spacing w:before="0" w:after="120"/>
        <w:rPr>
          <w:rFonts w:ascii="Bahnschrift" w:hAnsi="Bahnschrift"/>
          <w:b/>
          <w:b/>
          <w:bCs/>
          <w:color w:val="0070C0"/>
          <w:sz w:val="20"/>
          <w:szCs w:val="20"/>
          <w:lang w:val="es-ES"/>
        </w:rPr>
      </w:pPr>
      <w:r>
        <w:rPr>
          <w:rFonts w:ascii="Bahnschrift" w:hAnsi="Bahnschrift"/>
          <w:b/>
          <w:bCs/>
          <w:color w:val="0070C0"/>
          <w:sz w:val="20"/>
          <w:szCs w:val="20"/>
          <w:lang w:val="es-ES"/>
        </w:rP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10100" cy="2647950"/>
            <wp:effectExtent l="0" t="0" r="0" b="0"/>
            <wp:wrapSquare wrapText="largest"/>
            <wp:docPr id="12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before="0" w:after="120"/>
        <w:rPr>
          <w:rFonts w:ascii="Bahnschrift" w:hAnsi="Bahnschrift"/>
          <w:b/>
          <w:b/>
          <w:bCs/>
          <w:color w:val="0070C0"/>
          <w:sz w:val="20"/>
          <w:szCs w:val="20"/>
          <w:lang w:val="es-ES"/>
        </w:rPr>
      </w:pPr>
      <w:r>
        <w:rPr>
          <w:rFonts w:ascii="Bahnschrift" w:hAnsi="Bahnschrift"/>
          <w:b/>
          <w:bCs/>
          <w:color w:val="0070C0"/>
          <w:sz w:val="20"/>
          <w:szCs w:val="20"/>
          <w:lang w:val="es-ES"/>
        </w:rPr>
        <w:t>2. CONSIDERACIONES.</w:t>
      </w:r>
    </w:p>
    <w:p>
      <w:pPr>
        <w:pStyle w:val="Normal"/>
        <w:spacing w:before="0" w:after="120"/>
        <w:jc w:val="both"/>
        <w:rPr/>
      </w:pPr>
      <w:r>
        <w:rPr>
          <w:rFonts w:ascii="Bahnschrift" w:hAnsi="Bahnschrift"/>
          <w:b/>
          <w:bCs/>
          <w:sz w:val="20"/>
          <w:szCs w:val="20"/>
          <w:lang w:val="es-ES"/>
        </w:rPr>
        <w:t>a. ¿Quién es MADERAS CILPE S.L.?</w:t>
      </w:r>
      <w:r>
        <w:rPr>
          <w:rFonts w:ascii="Bahnschrift" w:hAnsi="Bahnschrift"/>
          <w:sz w:val="20"/>
          <w:szCs w:val="20"/>
          <w:lang w:val="es-ES"/>
        </w:rPr>
        <w:t xml:space="preserve"> </w:t>
      </w:r>
    </w:p>
    <w:p>
      <w:pPr>
        <w:pStyle w:val="Normal"/>
        <w:spacing w:before="0" w:after="120"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>Empresa andaluza afincada en la localidad sevillana de Marchena, creada en 1.999, especializada en el suministro de productos para la carpintería.</w:t>
      </w:r>
    </w:p>
    <w:p>
      <w:pPr>
        <w:pStyle w:val="Normal"/>
        <w:spacing w:before="0" w:after="120"/>
        <w:jc w:val="both"/>
        <w:rPr>
          <w:rFonts w:ascii="Bahnschrift" w:hAnsi="Bahnschrift"/>
          <w:b/>
          <w:b/>
          <w:bCs/>
          <w:sz w:val="20"/>
          <w:szCs w:val="20"/>
          <w:lang w:val="es-ES"/>
        </w:rPr>
      </w:pPr>
      <w:r>
        <w:rPr>
          <w:rFonts w:ascii="Bahnschrift" w:hAnsi="Bahnschrift"/>
          <w:b/>
          <w:bCs/>
          <w:sz w:val="20"/>
          <w:szCs w:val="20"/>
          <w:lang w:val="es-ES"/>
        </w:rPr>
        <w:t>b. Cultura y Clima Empresarial</w:t>
      </w:r>
    </w:p>
    <w:p>
      <w:pPr>
        <w:pStyle w:val="Normal"/>
        <w:spacing w:before="0" w:after="120"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>Empresa dinámica, moderna y eficaz, implicada al máximo con sus clientes, ofreciendo mucho más que una distribución convencional.</w:t>
      </w:r>
    </w:p>
    <w:p>
      <w:pPr>
        <w:pStyle w:val="Normal"/>
        <w:spacing w:before="0" w:after="120"/>
        <w:jc w:val="both"/>
        <w:rPr>
          <w:rFonts w:ascii="Bahnschrift" w:hAnsi="Bahnschrift"/>
          <w:b/>
          <w:b/>
          <w:bCs/>
          <w:sz w:val="20"/>
          <w:szCs w:val="20"/>
          <w:lang w:val="es-ES"/>
        </w:rPr>
      </w:pPr>
      <w:r>
        <w:rPr>
          <w:rFonts w:ascii="Bahnschrift" w:hAnsi="Bahnschrift"/>
          <w:b/>
          <w:bCs/>
          <w:sz w:val="20"/>
          <w:szCs w:val="20"/>
          <w:lang w:val="es-ES"/>
        </w:rPr>
        <w:t>Misión, Visión y Valores</w:t>
      </w:r>
    </w:p>
    <w:p>
      <w:pPr>
        <w:pStyle w:val="Normal"/>
        <w:spacing w:before="0" w:after="120"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>Desde su fundación, MADERAS CILPE S.L. ha experimentado un continuo desarrollo industrial y comercial, gracias al estrecho COMPROMISO con nuestros clientes y proveedores.</w:t>
      </w:r>
    </w:p>
    <w:p>
      <w:pPr>
        <w:pStyle w:val="Normal"/>
        <w:spacing w:before="0" w:after="120"/>
        <w:jc w:val="both"/>
        <w:rPr/>
      </w:pPr>
      <w:r>
        <w:rPr>
          <w:rFonts w:ascii="Bahnschrift" w:hAnsi="Bahnschrift"/>
          <w:sz w:val="20"/>
          <w:szCs w:val="20"/>
          <w:lang w:val="es-ES"/>
        </w:rPr>
        <w:t>30.000m</w:t>
      </w:r>
      <w:r>
        <w:rPr>
          <w:rFonts w:ascii="Bahnschrift" w:hAnsi="Bahnschrift"/>
          <w:sz w:val="20"/>
          <w:szCs w:val="20"/>
          <w:vertAlign w:val="superscript"/>
          <w:lang w:val="es-ES"/>
        </w:rPr>
        <w:t>2</w:t>
      </w:r>
      <w:r>
        <w:rPr>
          <w:rFonts w:ascii="Bahnschrift" w:hAnsi="Bahnschrift"/>
          <w:sz w:val="20"/>
          <w:szCs w:val="20"/>
          <w:lang w:val="es-ES"/>
        </w:rPr>
        <w:t xml:space="preserve"> de instalaciones, reparto a domicilio, moderno taller industrial, y un equipo de más de 30 personas jóvenes, a la par experimentadas; todo ello es para MADERAS CILPE S.L. la garantía del buen servicio de hoy y el éxito de mañana.</w:t>
      </w:r>
    </w:p>
    <w:p>
      <w:pPr>
        <w:pStyle w:val="Normal"/>
        <w:spacing w:before="0" w:after="120"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>En sus instalaciones disponen de una extensa gama de productos y servicios. Más de 5.000 referencias en stock, maquinaria de alta tecnología para el mecanizado de tableros, puertas y madera; todo ello manejado por personal cualificado.</w:t>
      </w:r>
    </w:p>
    <w:p>
      <w:pPr>
        <w:pStyle w:val="Normal"/>
        <w:spacing w:before="0" w:after="120"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</w:r>
    </w:p>
    <w:p>
      <w:pPr>
        <w:pStyle w:val="Normal"/>
        <w:spacing w:before="0" w:after="120"/>
        <w:jc w:val="both"/>
        <w:rPr>
          <w:rFonts w:ascii="Bahnschrift" w:hAnsi="Bahnschrift"/>
          <w:b/>
          <w:b/>
          <w:bCs/>
          <w:sz w:val="20"/>
          <w:szCs w:val="20"/>
          <w:lang w:val="es-ES"/>
        </w:rPr>
      </w:pPr>
      <w:r>
        <w:rPr>
          <w:rFonts w:ascii="Bahnschrift" w:hAnsi="Bahnschrift"/>
          <w:b/>
          <w:bCs/>
          <w:sz w:val="20"/>
          <w:szCs w:val="20"/>
          <w:lang w:val="es-ES"/>
        </w:rPr>
        <w:t>Notas:</w:t>
      </w:r>
    </w:p>
    <w:p>
      <w:pPr>
        <w:pStyle w:val="Normal"/>
        <w:spacing w:before="0" w:after="120"/>
        <w:jc w:val="both"/>
        <w:rPr/>
      </w:pPr>
      <w:r>
        <w:rPr>
          <w:rFonts w:ascii="Bahnschrift" w:hAnsi="Bahnschrift"/>
          <w:sz w:val="20"/>
          <w:szCs w:val="20"/>
          <w:lang w:val="es-ES"/>
        </w:rPr>
        <w:t xml:space="preserve">1. Este ejercicio </w:t>
      </w:r>
      <w:r>
        <w:rPr>
          <w:rFonts w:ascii="Bahnschrift" w:hAnsi="Bahnschrift"/>
          <w:color w:val="0070C0"/>
          <w:sz w:val="20"/>
          <w:szCs w:val="20"/>
          <w:lang w:val="es-ES"/>
        </w:rPr>
        <w:t>no tiene vínculo alguno</w:t>
      </w:r>
      <w:r>
        <w:rPr>
          <w:rFonts w:ascii="Bahnschrift" w:hAnsi="Bahnschrift"/>
          <w:sz w:val="20"/>
          <w:szCs w:val="20"/>
          <w:lang w:val="es-ES"/>
        </w:rPr>
        <w:t xml:space="preserve"> con la empresa mencionada. </w:t>
      </w:r>
    </w:p>
    <w:p>
      <w:pPr>
        <w:pStyle w:val="Normal"/>
        <w:spacing w:before="0" w:after="120"/>
        <w:jc w:val="both"/>
        <w:rPr/>
      </w:pPr>
      <w:r>
        <w:rPr>
          <w:rFonts w:ascii="Bahnschrift" w:hAnsi="Bahnschrift"/>
          <w:color w:val="0070C0"/>
          <w:sz w:val="20"/>
          <w:szCs w:val="20"/>
          <w:lang w:val="es-ES"/>
        </w:rPr>
        <w:t>2. Por parte del docente, respecto a los contenidos</w:t>
      </w:r>
      <w:r>
        <w:rPr>
          <w:rFonts w:ascii="Bahnschrift" w:hAnsi="Bahnschrift"/>
          <w:sz w:val="20"/>
          <w:szCs w:val="20"/>
          <w:lang w:val="es-ES"/>
        </w:rPr>
        <w:t>: No existe ningún interés mercantil (como estudio de caso real), ni tampoco el propio de propiedad intelectual.</w:t>
      </w:r>
    </w:p>
    <w:p>
      <w:pPr>
        <w:pStyle w:val="Normal"/>
        <w:spacing w:before="0" w:after="120"/>
        <w:jc w:val="both"/>
        <w:rPr/>
      </w:pPr>
      <w:r>
        <w:rPr>
          <w:rFonts w:ascii="Bahnschrift" w:hAnsi="Bahnschrift"/>
          <w:sz w:val="20"/>
          <w:szCs w:val="20"/>
          <w:lang w:val="es-ES"/>
        </w:rPr>
        <w:t xml:space="preserve">3. La empresa en cuestión </w:t>
      </w:r>
      <w:r>
        <w:rPr>
          <w:rFonts w:ascii="Bahnschrift" w:hAnsi="Bahnschrift"/>
          <w:color w:val="0070C0"/>
          <w:sz w:val="20"/>
          <w:szCs w:val="20"/>
          <w:lang w:val="es-ES"/>
        </w:rPr>
        <w:t>ya tiene un ERP-CRM instalado y consolidado (SAGE-MURANO)</w:t>
      </w:r>
      <w:r>
        <w:rPr>
          <w:rFonts w:ascii="Bahnschrift" w:hAnsi="Bahnschrift"/>
          <w:sz w:val="20"/>
          <w:szCs w:val="20"/>
          <w:lang w:val="es-ES"/>
        </w:rPr>
        <w:t>, desde hace años. Por tanto, no cabe pensar en ningún cambio de software.</w:t>
      </w:r>
    </w:p>
    <w:p>
      <w:pPr>
        <w:pStyle w:val="Normal"/>
        <w:spacing w:before="0" w:after="120"/>
        <w:jc w:val="both"/>
        <w:rPr/>
      </w:pPr>
      <w:r>
        <w:rPr>
          <w:rFonts w:ascii="Bahnschrift" w:hAnsi="Bahnschrift"/>
          <w:sz w:val="20"/>
          <w:szCs w:val="20"/>
          <w:lang w:val="es-ES"/>
        </w:rPr>
        <w:t xml:space="preserve">4. El presente </w:t>
      </w:r>
      <w:r>
        <w:rPr>
          <w:rFonts w:ascii="Bahnschrift" w:hAnsi="Bahnschrift"/>
          <w:color w:val="0070C0"/>
          <w:sz w:val="20"/>
          <w:szCs w:val="20"/>
          <w:lang w:val="es-ES"/>
        </w:rPr>
        <w:t>ejercicio plantea una situación inicial (como hipótesis) al comienzo de la actividad empresarial</w:t>
      </w:r>
      <w:r>
        <w:rPr>
          <w:rFonts w:ascii="Bahnschrift" w:hAnsi="Bahnschrift"/>
          <w:sz w:val="20"/>
          <w:szCs w:val="20"/>
          <w:lang w:val="es-ES"/>
        </w:rPr>
        <w:t>, antes de que hubiera una toma de decisión para la adquisición del Software actual (bajo licenciamiento privativo).</w:t>
      </w:r>
    </w:p>
    <w:p>
      <w:pPr>
        <w:pStyle w:val="Normal"/>
        <w:spacing w:before="0" w:after="120"/>
        <w:jc w:val="both"/>
        <w:rPr/>
      </w:pPr>
      <w:r>
        <w:rPr>
          <w:rFonts w:ascii="Bahnschrift" w:hAnsi="Bahnschrift"/>
          <w:sz w:val="20"/>
          <w:szCs w:val="20"/>
          <w:lang w:val="es-ES"/>
        </w:rPr>
        <w:t xml:space="preserve">4. En cuanto </w:t>
      </w:r>
      <w:r>
        <w:rPr>
          <w:rFonts w:ascii="Bahnschrift" w:hAnsi="Bahnschrift"/>
          <w:color w:val="0070C0"/>
          <w:sz w:val="20"/>
          <w:szCs w:val="20"/>
          <w:lang w:val="es-ES"/>
        </w:rPr>
        <w:t>a Resultados de Aprendizaje y Criterios de Evaluación</w:t>
      </w:r>
      <w:r>
        <w:rPr>
          <w:rFonts w:ascii="Bahnschrift" w:hAnsi="Bahnschrift"/>
          <w:sz w:val="20"/>
          <w:szCs w:val="20"/>
          <w:lang w:val="es-ES"/>
        </w:rPr>
        <w:t>:</w:t>
      </w:r>
    </w:p>
    <w:p>
      <w:pPr>
        <w:pStyle w:val="Normal"/>
        <w:spacing w:before="0" w:after="120"/>
        <w:jc w:val="both"/>
        <w:rPr/>
      </w:pPr>
      <w:r>
        <w:rPr>
          <w:rFonts w:ascii="Bahnschrift" w:hAnsi="Bahnschrift"/>
          <w:sz w:val="20"/>
          <w:szCs w:val="20"/>
          <w:lang w:val="es-ES"/>
        </w:rPr>
        <w:t xml:space="preserve">Resultado de Aprendizaje 1: </w:t>
      </w:r>
      <w:r>
        <w:rPr>
          <w:rFonts w:ascii="Bahnschrift" w:hAnsi="Bahnschrift"/>
          <w:i/>
          <w:iCs/>
          <w:sz w:val="20"/>
          <w:szCs w:val="20"/>
          <w:lang w:val="es-ES"/>
        </w:rPr>
        <w:t>Identifica sistemas de planificación</w:t>
      </w:r>
      <w:r>
        <w:rPr>
          <w:rFonts w:ascii="Bahnschrift" w:hAnsi="Bahnschrift"/>
          <w:sz w:val="20"/>
          <w:szCs w:val="20"/>
          <w:lang w:val="es-ES"/>
        </w:rPr>
        <w:t xml:space="preserve"> de recursos empresariales y de gestión de relaciones con clientes (ERP-CRM) </w:t>
      </w:r>
      <w:r>
        <w:rPr>
          <w:rFonts w:ascii="Bahnschrift" w:hAnsi="Bahnschrift"/>
          <w:i/>
          <w:iCs/>
          <w:sz w:val="20"/>
          <w:szCs w:val="20"/>
          <w:lang w:val="es-ES"/>
        </w:rPr>
        <w:t>reconociendo sus características y verificando la configuración del sistema</w:t>
      </w:r>
      <w:r>
        <w:rPr>
          <w:rFonts w:ascii="Bahnschrift" w:hAnsi="Bahnschrift"/>
          <w:sz w:val="20"/>
          <w:szCs w:val="20"/>
          <w:lang w:val="es-ES"/>
        </w:rPr>
        <w:t xml:space="preserve"> informático.</w:t>
      </w:r>
    </w:p>
    <w:p>
      <w:pPr>
        <w:pStyle w:val="Normal"/>
        <w:spacing w:before="0" w:after="120"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>Criterios de Evaluación:</w:t>
      </w:r>
    </w:p>
    <w:p>
      <w:pPr>
        <w:pStyle w:val="ListParagraph"/>
        <w:numPr>
          <w:ilvl w:val="0"/>
          <w:numId w:val="4"/>
        </w:numPr>
        <w:spacing w:before="0" w:after="120"/>
        <w:ind w:left="720" w:right="0" w:hanging="36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>Se han reconocido los diferentes sistemas ERP-CRM que existen en el mercado.</w:t>
      </w:r>
    </w:p>
    <w:p>
      <w:pPr>
        <w:pStyle w:val="ListParagraph"/>
        <w:numPr>
          <w:ilvl w:val="0"/>
          <w:numId w:val="4"/>
        </w:numPr>
        <w:spacing w:before="0" w:after="120"/>
        <w:ind w:left="720" w:right="0" w:hanging="36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>Se han comparado sistemas ERP-CRM en función de sus características y requisitos.</w:t>
      </w:r>
    </w:p>
    <w:p>
      <w:pPr>
        <w:pStyle w:val="ListParagraph"/>
        <w:numPr>
          <w:ilvl w:val="0"/>
          <w:numId w:val="4"/>
        </w:numPr>
        <w:spacing w:before="0" w:after="120"/>
        <w:ind w:left="720" w:right="0" w:hanging="36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>Se ha identificado el sistema operativo adecuado a cada sistema ERP-CRM.</w:t>
      </w:r>
    </w:p>
    <w:p>
      <w:pPr>
        <w:pStyle w:val="ListParagraph"/>
        <w:numPr>
          <w:ilvl w:val="0"/>
          <w:numId w:val="4"/>
        </w:numPr>
        <w:spacing w:before="0" w:after="120"/>
        <w:ind w:left="720" w:right="0" w:hanging="36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>Se ha identificado el sistema gestor de datos adecuado a cada sistema ERP-CRM.</w:t>
      </w:r>
    </w:p>
    <w:p>
      <w:pPr>
        <w:pStyle w:val="ListParagraph"/>
        <w:numPr>
          <w:ilvl w:val="0"/>
          <w:numId w:val="4"/>
        </w:numPr>
        <w:spacing w:before="0" w:after="120"/>
        <w:ind w:left="720" w:right="0" w:hanging="36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>Se han verificado las configuraciones del sistema operativo y del gestor de datos para garantizar la funcionalidad del ERP-CRM.</w:t>
      </w:r>
    </w:p>
    <w:p>
      <w:pPr>
        <w:pStyle w:val="ListParagraph"/>
        <w:numPr>
          <w:ilvl w:val="0"/>
          <w:numId w:val="4"/>
        </w:numPr>
        <w:spacing w:before="0" w:after="120"/>
        <w:ind w:left="720" w:right="0" w:hanging="36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>Se han documentado las operaciones realizadas.</w:t>
      </w:r>
    </w:p>
    <w:p>
      <w:pPr>
        <w:pStyle w:val="ListParagraph"/>
        <w:numPr>
          <w:ilvl w:val="0"/>
          <w:numId w:val="4"/>
        </w:numPr>
        <w:spacing w:before="0" w:after="120"/>
        <w:ind w:left="720" w:right="0" w:hanging="36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 xml:space="preserve">Se han documentado las incidencias producidas durante el proceso. </w:t>
      </w:r>
    </w:p>
    <w:sectPr>
      <w:headerReference w:type="default" r:id="rId14"/>
      <w:footerReference w:type="default" r:id="rId15"/>
      <w:footnotePr>
        <w:numFmt w:val="decimal"/>
      </w:footnotePr>
      <w:type w:val="nextPage"/>
      <w:pgSz w:w="11906" w:h="16838"/>
      <w:pgMar w:left="1701" w:right="1701" w:gutter="0" w:header="708" w:top="1547" w:footer="326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Eras Medium ITC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Bahnschrift">
    <w:charset w:val="00"/>
    <w:family w:val="roman"/>
    <w:pitch w:val="variable"/>
  </w:font>
  <w:font w:name="Bahnschrift Light">
    <w:charset w:val="00"/>
    <w:family w:val="roman"/>
    <w:pitch w:val="variable"/>
  </w:font>
  <w:font w:name="Eras Medium ITC"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tabs>
        <w:tab w:val="clear" w:pos="4252"/>
        <w:tab w:val="center" w:pos="5103" w:leader="none"/>
        <w:tab w:val="right" w:pos="8504" w:leader="none"/>
      </w:tabs>
      <w:rPr>
        <w:rFonts w:ascii="Eras Medium ITC" w:hAnsi="Eras Medium ITC" w:cs="Cambria"/>
        <w:sz w:val="20"/>
        <w:szCs w:val="20"/>
      </w:rPr>
    </w:pPr>
    <w:r>
      <w:rPr>
        <w:rFonts w:cs="Cambria" w:ascii="Eras Medium ITC" w:hAnsi="Eras Medium ITC"/>
        <w:sz w:val="20"/>
        <w:szCs w:val="20"/>
      </w:rPr>
      <w:t>2º DAM – SGE: Ud1 – Ej1.r3 «nuestro primer ERP/CRM»</w:t>
      <w:tab/>
      <w:tab/>
      <w:t xml:space="preserve">   </w:t>
    </w:r>
  </w:p>
  <w:p>
    <w:pPr>
      <w:pStyle w:val="Piedepgina"/>
      <w:tabs>
        <w:tab w:val="clear" w:pos="4252"/>
        <w:tab w:val="right" w:pos="8504" w:leader="none"/>
      </w:tabs>
      <w:rPr/>
    </w:pPr>
    <w:r>
      <w:rPr>
        <w:rFonts w:cs="Cambria" w:ascii="Eras Medium ITC" w:hAnsi="Eras Medium ITC"/>
      </w:rPr>
      <w:tab/>
    </w:r>
    <w:r>
      <w:rPr>
        <w:rFonts w:cs="Cambria" w:ascii="Bahnschrift Light" w:hAnsi="Bahnschrift Light"/>
        <w:sz w:val="20"/>
        <w:szCs w:val="20"/>
      </w:rPr>
      <w:t xml:space="preserve">Página  de </w:t>
    </w:r>
    <w:r>
      <mc:AlternateContent>
        <mc:Choice Requires="wps">
          <w:drawing>
            <wp:anchor behindDoc="1" distT="635" distB="635" distL="1270" distR="0" simplePos="0" locked="0" layoutInCell="0" allowOverlap="1" relativeHeight="19">
              <wp:simplePos x="0" y="0"/>
              <wp:positionH relativeFrom="page">
                <wp:posOffset>495300</wp:posOffset>
              </wp:positionH>
              <wp:positionV relativeFrom="page">
                <wp:posOffset>9888220</wp:posOffset>
              </wp:positionV>
              <wp:extent cx="90805" cy="802640"/>
              <wp:effectExtent l="1270" t="635" r="0" b="635"/>
              <wp:wrapNone/>
              <wp:docPr id="15" name="Rectángul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720" cy="802800"/>
                      </a:xfrm>
                      <a:prstGeom prst="rect">
                        <a:avLst/>
                      </a:prstGeom>
                      <a:solidFill>
                        <a:srgbClr val="49548c"/>
                      </a:solidFill>
                      <a:ln w="0">
                        <a:solidFill>
                          <a:srgbClr val="205867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ángulo 2" path="m0,0l-2147483645,0l-2147483645,-2147483646l0,-2147483646xe" fillcolor="#49548c" stroked="t" o:allowincell="f" style="position:absolute;margin-left:39pt;margin-top:778.6pt;width:7.1pt;height:63.15pt;mso-wrap-style:none;v-text-anchor:middle;mso-position-horizontal-relative:page;mso-position-vertical-relative:page">
              <v:fill o:detectmouseclick="t" type="solid" color2="#b6ab73"/>
              <v:stroke color="#205867" joinstyle="round" endcap="flat"/>
              <w10:wrap type="none"/>
            </v:rect>
          </w:pict>
        </mc:Fallback>
      </mc:AlternateContent>
      <mc:AlternateContent>
        <mc:Choice Requires="wps">
          <w:drawing>
            <wp:anchor behindDoc="1" distT="635" distB="635" distL="1270" distR="0" simplePos="0" locked="0" layoutInCell="0" allowOverlap="1" relativeHeight="25">
              <wp:simplePos x="0" y="0"/>
              <wp:positionH relativeFrom="page">
                <wp:posOffset>6974840</wp:posOffset>
              </wp:positionH>
              <wp:positionV relativeFrom="page">
                <wp:posOffset>9888220</wp:posOffset>
              </wp:positionV>
              <wp:extent cx="90805" cy="802640"/>
              <wp:effectExtent l="1270" t="635" r="0" b="635"/>
              <wp:wrapNone/>
              <wp:docPr id="16" name="Rectángulo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720" cy="802800"/>
                      </a:xfrm>
                      <a:prstGeom prst="rect">
                        <a:avLst/>
                      </a:prstGeom>
                      <a:solidFill>
                        <a:srgbClr val="49548c"/>
                      </a:solidFill>
                      <a:ln w="0">
                        <a:solidFill>
                          <a:srgbClr val="205867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ángulo 1" path="m0,0l-2147483645,0l-2147483645,-2147483646l0,-2147483646xe" fillcolor="#49548c" stroked="t" o:allowincell="f" style="position:absolute;margin-left:549.2pt;margin-top:778.6pt;width:7.1pt;height:63.15pt;mso-wrap-style:none;v-text-anchor:middle;mso-position-horizontal-relative:page;mso-position-vertical-relative:page">
              <v:fill o:detectmouseclick="t" type="solid" color2="#b6ab73"/>
              <v:stroke color="#205867" joinstyle="round" endcap="flat"/>
              <w10:wrap type="none"/>
            </v:rect>
          </w:pict>
        </mc:Fallback>
      </mc:AlternateContent>
    </w:r>
    <w:r>
      <w:rPr>
        <w:rFonts w:cs="Cambria" w:ascii="Bahnschrift Light" w:hAnsi="Bahnschrift Light"/>
        <w:sz w:val="20"/>
        <w:szCs w:val="20"/>
      </w:rPr>
      <w:fldChar w:fldCharType="begin"/>
    </w:r>
    <w:r>
      <w:rPr>
        <w:sz w:val="20"/>
        <w:szCs w:val="20"/>
        <w:rFonts w:cs="Cambria" w:ascii="Bahnschrift Light" w:hAnsi="Bahnschrift Light"/>
      </w:rPr>
      <w:instrText xml:space="preserve"> NUMPAGES </w:instrText>
    </w:r>
    <w:r>
      <w:rPr>
        <w:sz w:val="20"/>
        <w:szCs w:val="20"/>
        <w:rFonts w:cs="Cambria" w:ascii="Bahnschrift Light" w:hAnsi="Bahnschrift Light"/>
      </w:rPr>
      <w:fldChar w:fldCharType="separate"/>
    </w:r>
    <w:r>
      <w:rPr>
        <w:sz w:val="20"/>
        <w:szCs w:val="20"/>
        <w:rFonts w:cs="Cambria" w:ascii="Bahnschrift Light" w:hAnsi="Bahnschrift Light"/>
      </w:rPr>
      <w:t>6</w:t>
    </w:r>
    <w:r>
      <w:rPr>
        <w:sz w:val="20"/>
        <w:szCs w:val="20"/>
        <w:rFonts w:cs="Cambria" w:ascii="Bahnschrift Light" w:hAnsi="Bahnschrift Light"/>
      </w:rPr>
      <w:fldChar w:fldCharType="end"/>
    </w:r>
  </w:p>
  <w:p>
    <w:pPr>
      <w:pStyle w:val="Piedepgina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taalpie"/>
        <w:rPr/>
      </w:pPr>
      <w:r>
        <w:rPr>
          <w:rStyle w:val="Caracteresdenotaalpie"/>
        </w:rPr>
        <w:footnoteRef/>
      </w:r>
      <w:r>
        <w:rPr>
          <w:rFonts w:ascii="Bahnschrift Light" w:hAnsi="Bahnschrift Light"/>
        </w:rPr>
        <w:t xml:space="preserve"> </w:t>
      </w:r>
      <w:r>
        <w:rPr>
          <w:rFonts w:ascii="Bahnschrift Light" w:hAnsi="Bahnschrift Light"/>
          <w:sz w:val="16"/>
          <w:szCs w:val="16"/>
          <w:lang w:val="es-ES"/>
        </w:rPr>
        <w:t>Cierre de año contable: 2020; fuente bibliográfica: economia3.com</w:t>
      </w:r>
    </w:p>
  </w:footnote>
  <w:footnote w:id="3">
    <w:p>
      <w:pPr>
        <w:pStyle w:val="Notaalpie"/>
        <w:rPr/>
      </w:pPr>
      <w:r>
        <w:rPr>
          <w:rStyle w:val="Caracteresdenotaalpie"/>
        </w:rPr>
        <w:footnoteRef/>
      </w:r>
      <w:r>
        <w:rPr>
          <w:rFonts w:ascii="Bahnschrift Light" w:hAnsi="Bahnschrift Light"/>
        </w:rPr>
        <w:t xml:space="preserve"> </w:t>
      </w:r>
      <w:r>
        <w:rPr>
          <w:rFonts w:ascii="Bahnschrift Light" w:hAnsi="Bahnschrift Light"/>
          <w:sz w:val="16"/>
          <w:szCs w:val="16"/>
        </w:rPr>
        <w:t xml:space="preserve">Norma </w:t>
      </w:r>
      <w:hyperlink r:id="rId1">
        <w:r>
          <w:rPr>
            <w:rStyle w:val="EnlacedeInternet"/>
            <w:rFonts w:ascii="Bahnschrift Light" w:hAnsi="Bahnschrift Light"/>
            <w:sz w:val="16"/>
            <w:szCs w:val="16"/>
          </w:rPr>
          <w:t>ISO 9000</w:t>
        </w:r>
      </w:hyperlink>
      <w:r>
        <w:rPr>
          <w:rFonts w:ascii="Bahnschrift Light" w:hAnsi="Bahnschrift Light"/>
        </w:rPr>
        <w:t xml:space="preserve"> </w:t>
      </w:r>
    </w:p>
  </w:footnote>
  <w:footnote w:id="4">
    <w:p>
      <w:pPr>
        <w:pStyle w:val="Notaalpie"/>
        <w:rPr/>
      </w:pPr>
      <w:r>
        <w:rPr>
          <w:rStyle w:val="Caracteresdenotaalpie"/>
        </w:rPr>
        <w:footnoteRef/>
      </w:r>
      <w:r>
        <w:rPr>
          <w:rFonts w:ascii="Bahnschrift Light" w:hAnsi="Bahnschrift Light"/>
        </w:rPr>
        <w:t xml:space="preserve"> </w:t>
      </w:r>
      <w:r>
        <w:rPr>
          <w:rFonts w:ascii="Bahnschrift Light" w:hAnsi="Bahnschrift Light"/>
          <w:sz w:val="16"/>
          <w:szCs w:val="16"/>
          <w:lang w:val="es-ES"/>
        </w:rPr>
        <w:t>Véase la Ud3 de SGE – 2º DAM.</w:t>
      </w:r>
    </w:p>
  </w:footnote>
  <w:footnote w:id="5">
    <w:p>
      <w:pPr>
        <w:pStyle w:val="Notaalpie"/>
        <w:rPr/>
      </w:pPr>
      <w:r>
        <w:rPr>
          <w:rStyle w:val="Caracteresdenotaalpie"/>
        </w:rPr>
        <w:footnoteRef/>
      </w:r>
      <w:r>
        <w:rPr>
          <w:rFonts w:ascii="Bahnschrift Light" w:hAnsi="Bahnschrift Light"/>
        </w:rPr>
        <w:t xml:space="preserve"> </w:t>
      </w:r>
      <w:r>
        <w:rPr>
          <w:rFonts w:ascii="Bahnschrift Light" w:hAnsi="Bahnschrift Light"/>
          <w:sz w:val="16"/>
          <w:szCs w:val="16"/>
        </w:rPr>
        <w:t>Real Decreto Legislativo 2/2015, de 23 de octubre, por el que se aprueba el texto refundido de la Ley del Estatuto de los Trabajadores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tabs>
        <w:tab w:val="clear" w:pos="8504"/>
        <w:tab w:val="center" w:pos="4252" w:leader="none"/>
        <w:tab w:val="right" w:pos="8505" w:leader="none"/>
      </w:tabs>
      <w:rPr/>
    </w:pPr>
    <w:r>
      <w:rPr/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-1143000</wp:posOffset>
          </wp:positionH>
          <wp:positionV relativeFrom="paragraph">
            <wp:posOffset>-561340</wp:posOffset>
          </wp:positionV>
          <wp:extent cx="8890000" cy="1048385"/>
          <wp:effectExtent l="0" t="0" r="0" b="0"/>
          <wp:wrapNone/>
          <wp:docPr id="13" name="Imagen 9" descr="cabece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n 9" descr="cabecer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890000" cy="1048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13">
              <wp:simplePos x="0" y="0"/>
              <wp:positionH relativeFrom="margin">
                <wp:posOffset>-1077595</wp:posOffset>
              </wp:positionH>
              <wp:positionV relativeFrom="margin">
                <wp:posOffset>-1861820</wp:posOffset>
              </wp:positionV>
              <wp:extent cx="7559040" cy="10692130"/>
              <wp:effectExtent l="0" t="0" r="0" b="0"/>
              <wp:wrapNone/>
              <wp:docPr id="14" name="Rectángulo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8920" cy="1069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ángulo 3" path="m0,0l-2147483645,0l-2147483645,-2147483646l0,-2147483646xe" stroked="f" o:allowincell="f" style="position:absolute;margin-left:-84.85pt;margin-top:-146.6pt;width:595.15pt;height:841.85pt;mso-wrap-style:none;v-text-anchor:middle;mso-position-horizontal-relative:margin;mso-position-vertical-relative:margin">
              <v:fill o:detectmouseclick="t" on="false"/>
              <v:stroke color="#3465a4" joinstyle="round" endcap="flat"/>
              <w10:wrap type="none"/>
            </v:rect>
          </w:pict>
        </mc:Fallback>
      </mc:AlternateContent>
    </w:r>
  </w:p>
  <w:p>
    <w:pPr>
      <w:pStyle w:val="Cabecera"/>
      <w:rPr/>
    </w:pPr>
    <w:r>
      <w:rPr/>
    </w:r>
  </w:p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Eras Medium ITC" w:hAnsi="Eras Medium ITC" w:cs="Eras Medium ITC" w:hint="default"/>
        <w:b w:val="fals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lowerRoman"/>
      <w:lvlText w:val="%1."/>
      <w:lvlJc w:val="left"/>
      <w:pPr>
        <w:tabs>
          <w:tab w:val="num" w:pos="0"/>
        </w:tabs>
        <w:ind w:left="1440" w:hanging="720"/>
      </w:pPr>
      <w:rPr>
        <w:color w:val="C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7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0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1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20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auto"/>
      <w:kern w:val="0"/>
      <w:sz w:val="24"/>
      <w:szCs w:val="24"/>
      <w:lang w:val="es-ES_tradnl" w:eastAsia="es-ES_tradnl" w:bidi="ar-SA"/>
    </w:rPr>
  </w:style>
  <w:style w:type="paragraph" w:styleId="Ttulo1">
    <w:name w:val="Heading 1"/>
    <w:basedOn w:val="Normal"/>
    <w:next w:val="Normal"/>
    <w:link w:val="Ttulo1Car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rFonts w:ascii="Cambria" w:hAnsi="Cambria" w:eastAsia="ＭＳ ゴシック" w:cs="Tahoma"/>
      <w:color w:val="365F91"/>
      <w:sz w:val="32"/>
      <w:szCs w:val="32"/>
    </w:rPr>
  </w:style>
  <w:style w:type="paragraph" w:styleId="Ttulo4">
    <w:name w:val="Heading 4"/>
    <w:basedOn w:val="Normal"/>
    <w:next w:val="Normal"/>
    <w:link w:val="Ttulo4Car"/>
    <w:qFormat/>
    <w:pPr>
      <w:keepNext w:val="true"/>
      <w:keepLines/>
      <w:numPr>
        <w:ilvl w:val="0"/>
        <w:numId w:val="0"/>
      </w:numPr>
      <w:spacing w:before="200" w:after="0"/>
      <w:outlineLvl w:val="3"/>
    </w:pPr>
    <w:rPr>
      <w:rFonts w:ascii="Cambria" w:hAnsi="Cambria" w:eastAsia="ＭＳ ゴシック" w:cs="Tahom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ＭＳ ゴシック" w:cs="Tahoma"/>
      <w:color w:val="243F60"/>
    </w:rPr>
  </w:style>
  <w:style w:type="paragraph" w:styleId="Ttulo6">
    <w:name w:val="Heading 6"/>
    <w:basedOn w:val="Normal"/>
    <w:next w:val="Normal"/>
    <w:link w:val="Ttulo6Car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ＭＳ ゴシック" w:cs="Tahoma"/>
      <w:i/>
      <w:iCs/>
      <w:color w:val="243F60"/>
    </w:rPr>
  </w:style>
  <w:style w:type="paragraph" w:styleId="Ttulo7">
    <w:name w:val="Heading 7"/>
    <w:basedOn w:val="Normal"/>
    <w:next w:val="Normal"/>
    <w:link w:val="Ttulo7Car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ＭＳ ゴシック" w:cs="Tahoma"/>
      <w:i/>
      <w:iCs/>
      <w:color w:val="404040"/>
    </w:rPr>
  </w:style>
  <w:style w:type="paragraph" w:styleId="Ttulo8">
    <w:name w:val="Heading 8"/>
    <w:basedOn w:val="Normal"/>
    <w:next w:val="Normal"/>
    <w:link w:val="Ttulo8Car"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ＭＳ ゴシック" w:cs="Tahom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ar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ＭＳ ゴシック" w:cs="Tahoma"/>
      <w:i/>
      <w:iCs/>
      <w:color w:val="404040"/>
      <w:sz w:val="20"/>
      <w:szCs w:val="20"/>
    </w:rPr>
  </w:style>
  <w:style w:type="character" w:styleId="DefaultParagraphFont">
    <w:name w:val="Default Paragraph Font"/>
    <w:qFormat/>
    <w:rPr/>
  </w:style>
  <w:style w:type="character" w:styleId="Titulo1CesurCar">
    <w:name w:val="Titulo 1 Cesur Car"/>
    <w:basedOn w:val="DefaultParagraphFont"/>
    <w:link w:val="Titulo1Cesur"/>
    <w:qFormat/>
    <w:rPr>
      <w:rFonts w:ascii="Eras Medium ITC" w:hAnsi="Eras Medium ITC" w:cs="Times New Roman"/>
      <w:b/>
      <w:color w:val="49548C"/>
      <w:sz w:val="28"/>
      <w:szCs w:val="28"/>
      <w:u w:val="single"/>
      <w:lang w:val="es-ES_tradnl" w:eastAsia="es-ES"/>
    </w:rPr>
  </w:style>
  <w:style w:type="character" w:styleId="Titulo2CesurCar">
    <w:name w:val="Titulo 2 Cesur Car"/>
    <w:basedOn w:val="DefaultParagraphFont"/>
    <w:link w:val="Titulo2Cesur"/>
    <w:qFormat/>
    <w:rPr>
      <w:rFonts w:ascii="Eras Medium ITC" w:hAnsi="Eras Medium ITC" w:cs="Times New Roman"/>
      <w:b/>
      <w:color w:val="49548C"/>
      <w:sz w:val="24"/>
      <w:szCs w:val="24"/>
      <w:u w:val="single"/>
      <w:lang w:val="es-ES_tradnl" w:eastAsia="es-ES"/>
    </w:rPr>
  </w:style>
  <w:style w:type="character" w:styleId="Ttulo3CesurCar">
    <w:name w:val="Título 3 Cesur Car"/>
    <w:basedOn w:val="Titulo2CesurCar"/>
    <w:link w:val="Ttulo3Cesur"/>
    <w:qFormat/>
    <w:rPr>
      <w:rFonts w:ascii="Eras Medium ITC" w:hAnsi="Eras Medium ITC" w:cs="Times New Roman"/>
      <w:b/>
      <w:i/>
      <w:color w:val="49548C"/>
      <w:spacing w:val="2"/>
      <w:w w:val="101"/>
      <w:sz w:val="24"/>
      <w:szCs w:val="24"/>
      <w:u w:val="single"/>
      <w:lang w:val="es-ES_tradnl" w:eastAsia="es-ES"/>
    </w:rPr>
  </w:style>
  <w:style w:type="character" w:styleId="NormalCesurCar">
    <w:name w:val="Normal Cesur Car"/>
    <w:basedOn w:val="DefaultParagraphFont"/>
    <w:link w:val="NormalCesur"/>
    <w:qFormat/>
    <w:rPr>
      <w:rFonts w:ascii="Eras Medium ITC" w:hAnsi="Eras Medium ITC" w:cs="Times New Roman"/>
      <w:bCs/>
      <w:spacing w:val="-3"/>
      <w:szCs w:val="20"/>
      <w:lang w:val="es-ES_tradnl" w:eastAsia="es-ES"/>
    </w:rPr>
  </w:style>
  <w:style w:type="character" w:styleId="EnlacedeInternet">
    <w:name w:val="Enlace de Internet"/>
    <w:basedOn w:val="DefaultParagraphFont"/>
    <w:rPr>
      <w:color w:val="0000FF"/>
      <w:u w:val="single"/>
    </w:rPr>
  </w:style>
  <w:style w:type="character" w:styleId="EncabezadoCar">
    <w:name w:val="Encabezado Car"/>
    <w:basedOn w:val="DefaultParagraphFont"/>
    <w:qFormat/>
    <w:rPr>
      <w:rFonts w:ascii="Calibri" w:hAnsi="Calibri" w:eastAsia="Calibri" w:cs="Times New Roman"/>
    </w:rPr>
  </w:style>
  <w:style w:type="character" w:styleId="PiedepginaCar">
    <w:name w:val="Pie de página Car"/>
    <w:basedOn w:val="DefaultParagraphFont"/>
    <w:qFormat/>
    <w:rPr>
      <w:rFonts w:ascii="Calibri" w:hAnsi="Calibri" w:eastAsia="Calibri" w:cs="Times New Roman"/>
    </w:rPr>
  </w:style>
  <w:style w:type="character" w:styleId="Ttulo4Car">
    <w:name w:val="Título 4 Car"/>
    <w:basedOn w:val="DefaultParagraphFont"/>
    <w:qFormat/>
    <w:rPr>
      <w:rFonts w:ascii="Cambria" w:hAnsi="Cambria" w:eastAsia="ＭＳ ゴシック" w:cs="Tahoma"/>
      <w:b/>
      <w:bCs/>
      <w:i/>
      <w:iCs/>
      <w:color w:val="4F81BD"/>
    </w:rPr>
  </w:style>
  <w:style w:type="character" w:styleId="Ttulo5Car">
    <w:name w:val="Título 5 Car"/>
    <w:basedOn w:val="DefaultParagraphFont"/>
    <w:qFormat/>
    <w:rPr>
      <w:rFonts w:ascii="Cambria" w:hAnsi="Cambria" w:eastAsia="ＭＳ ゴシック" w:cs="Tahoma"/>
      <w:color w:val="243F60"/>
      <w:sz w:val="24"/>
      <w:szCs w:val="24"/>
      <w:lang w:val="es-ES_tradnl" w:eastAsia="es-ES_tradnl"/>
    </w:rPr>
  </w:style>
  <w:style w:type="character" w:styleId="Ttulo6Car">
    <w:name w:val="Título 6 Car"/>
    <w:basedOn w:val="DefaultParagraphFont"/>
    <w:qFormat/>
    <w:rPr>
      <w:rFonts w:ascii="Cambria" w:hAnsi="Cambria" w:eastAsia="ＭＳ ゴシック" w:cs="Tahoma"/>
      <w:i/>
      <w:iCs/>
      <w:color w:val="243F60"/>
      <w:sz w:val="24"/>
      <w:szCs w:val="24"/>
      <w:lang w:val="es-ES_tradnl" w:eastAsia="es-ES_tradnl"/>
    </w:rPr>
  </w:style>
  <w:style w:type="character" w:styleId="Ttulo7Car">
    <w:name w:val="Título 7 Car"/>
    <w:basedOn w:val="DefaultParagraphFont"/>
    <w:qFormat/>
    <w:rPr>
      <w:rFonts w:ascii="Cambria" w:hAnsi="Cambria" w:eastAsia="ＭＳ ゴシック" w:cs="Tahoma"/>
      <w:i/>
      <w:iCs/>
      <w:color w:val="404040"/>
      <w:sz w:val="24"/>
      <w:szCs w:val="24"/>
      <w:lang w:val="es-ES_tradnl" w:eastAsia="es-ES_tradnl"/>
    </w:rPr>
  </w:style>
  <w:style w:type="character" w:styleId="Ttulo8Car">
    <w:name w:val="Título 8 Car"/>
    <w:basedOn w:val="DefaultParagraphFont"/>
    <w:qFormat/>
    <w:rPr>
      <w:rFonts w:ascii="Cambria" w:hAnsi="Cambria" w:eastAsia="ＭＳ ゴシック" w:cs="Tahoma"/>
      <w:color w:val="404040"/>
      <w:sz w:val="20"/>
      <w:szCs w:val="20"/>
      <w:lang w:val="es-ES_tradnl" w:eastAsia="es-ES_tradnl"/>
    </w:rPr>
  </w:style>
  <w:style w:type="character" w:styleId="Ttulo9Car">
    <w:name w:val="Título 9 Car"/>
    <w:basedOn w:val="DefaultParagraphFont"/>
    <w:qFormat/>
    <w:rPr>
      <w:rFonts w:ascii="Cambria" w:hAnsi="Cambria" w:eastAsia="ＭＳ ゴシック" w:cs="Tahoma"/>
      <w:i/>
      <w:iCs/>
      <w:color w:val="404040"/>
      <w:sz w:val="20"/>
      <w:szCs w:val="20"/>
      <w:lang w:val="es-ES_tradnl" w:eastAsia="es-ES_tradnl"/>
    </w:rPr>
  </w:style>
  <w:style w:type="character" w:styleId="Ttulo4CesurCar">
    <w:name w:val="Título 4 Cesur Car"/>
    <w:basedOn w:val="NormalCesurCar"/>
    <w:link w:val="Ttulo4Cesur"/>
    <w:qFormat/>
    <w:rPr>
      <w:rFonts w:ascii="Eras Medium ITC" w:hAnsi="Eras Medium ITC" w:eastAsia="Calibri" w:cs="Times New Roman"/>
      <w:bCs/>
      <w:i/>
      <w:color w:val="49548C"/>
      <w:spacing w:val="-3"/>
      <w:sz w:val="24"/>
      <w:szCs w:val="24"/>
      <w:lang w:val="es-ES_tradnl" w:eastAsia="es-ES"/>
    </w:rPr>
  </w:style>
  <w:style w:type="character" w:styleId="TextodegloboCar">
    <w:name w:val="Texto de globo Car"/>
    <w:basedOn w:val="DefaultParagraphFont"/>
    <w:link w:val="BalloonText"/>
    <w:qFormat/>
    <w:rPr>
      <w:rFonts w:ascii="Tahoma" w:hAnsi="Tahoma" w:eastAsia="Calibri" w:cs="Tahoma"/>
      <w:sz w:val="16"/>
      <w:szCs w:val="16"/>
    </w:rPr>
  </w:style>
  <w:style w:type="character" w:styleId="Ttulo1Car">
    <w:name w:val="Título 1 Car"/>
    <w:basedOn w:val="DefaultParagraphFont"/>
    <w:qFormat/>
    <w:rPr>
      <w:rFonts w:ascii="Cambria" w:hAnsi="Cambria" w:eastAsia="ＭＳ ゴシック" w:cs="Tahoma"/>
      <w:color w:val="365F91"/>
      <w:sz w:val="32"/>
      <w:szCs w:val="32"/>
      <w:lang w:val="es-ES_tradnl" w:eastAsia="es-ES_tradnl"/>
    </w:rPr>
  </w:style>
  <w:style w:type="character" w:styleId="TextoindependienteCar">
    <w:name w:val="Texto independiente Car"/>
    <w:basedOn w:val="DefaultParagraphFont"/>
    <w:qFormat/>
    <w:rPr>
      <w:rFonts w:ascii="Calibri" w:hAnsi="Calibri" w:eastAsia="Calibri" w:cs="Calibri"/>
      <w:sz w:val="24"/>
      <w:szCs w:val="24"/>
      <w:lang w:val="es-ES_tradnl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TextonotapieCar">
    <w:name w:val="Texto nota pie Car"/>
    <w:basedOn w:val="DefaultParagraphFont"/>
    <w:qFormat/>
    <w:rPr>
      <w:rFonts w:ascii="Times New Roman" w:hAnsi="Times New Roman" w:cs="Times New Roman"/>
      <w:sz w:val="20"/>
      <w:szCs w:val="20"/>
      <w:lang w:val="es-ES_tradnl" w:eastAsia="es-ES_tradnl"/>
    </w:rPr>
  </w:style>
  <w:style w:type="character" w:styleId="Ancladenotaalpie">
    <w:name w:val="Ancla de nota al pie"/>
    <w:rPr>
      <w:vertAlign w:val="superscript"/>
    </w:rPr>
  </w:style>
  <w:style w:type="character" w:styleId="FootnoteCharacters">
    <w:name w:val="Footnote Characters"/>
    <w:basedOn w:val="DefaultParagraphFont"/>
    <w:qFormat/>
    <w:rPr>
      <w:vertAlign w:val="superscript"/>
    </w:rPr>
  </w:style>
  <w:style w:type="character" w:styleId="EnlacedeInternetvisitado">
    <w:name w:val="Enlace de Internet visitado"/>
    <w:basedOn w:val="DefaultParagraphFont"/>
    <w:rPr>
      <w:color w:val="800080"/>
      <w:u w:val="single"/>
    </w:rPr>
  </w:style>
  <w:style w:type="character" w:styleId="Caracteresdenotaalpie">
    <w:name w:val="Caracteres de nota al pie"/>
    <w:qFormat/>
    <w:rPr/>
  </w:style>
  <w:style w:type="character" w:styleId="Ancladenotafinal">
    <w:name w:val="Ancla de nota final"/>
    <w:rPr>
      <w:vertAlign w:val="superscript"/>
    </w:rPr>
  </w:style>
  <w:style w:type="character" w:styleId="Caracteresdenotafinal">
    <w:name w:val="Caracteres de nota final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link w:val="TextoindependienteCar"/>
    <w:pPr>
      <w:widowControl w:val="false"/>
    </w:pPr>
    <w:rPr>
      <w:rFonts w:ascii="Calibri" w:hAnsi="Calibri" w:eastAsia="Calibri" w:cs="Calibri"/>
      <w:lang w:eastAsia="en-US"/>
    </w:rPr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ulo1Cesur">
    <w:name w:val="Titulo 1 Cesur"/>
    <w:basedOn w:val="Normal"/>
    <w:next w:val="NormalCesur"/>
    <w:link w:val="Titulo1CesurCar"/>
    <w:autoRedefine/>
    <w:qFormat/>
    <w:pPr>
      <w:numPr>
        <w:ilvl w:val="0"/>
        <w:numId w:val="2"/>
      </w:numPr>
    </w:pPr>
    <w:rPr>
      <w:rFonts w:ascii="Eras Medium ITC" w:hAnsi="Eras Medium ITC"/>
      <w:b/>
      <w:color w:val="49548C"/>
      <w:sz w:val="28"/>
      <w:szCs w:val="28"/>
      <w:u w:val="single"/>
      <w:lang w:eastAsia="es-ES"/>
    </w:rPr>
  </w:style>
  <w:style w:type="paragraph" w:styleId="Titulo2Cesur">
    <w:name w:val="Titulo 2 Cesur"/>
    <w:basedOn w:val="Normal"/>
    <w:next w:val="NormalCesur"/>
    <w:link w:val="Titulo2CesurCar"/>
    <w:autoRedefine/>
    <w:qFormat/>
    <w:pPr>
      <w:numPr>
        <w:ilvl w:val="1"/>
        <w:numId w:val="2"/>
      </w:numPr>
      <w:jc w:val="both"/>
    </w:pPr>
    <w:rPr>
      <w:rFonts w:ascii="Eras Medium ITC" w:hAnsi="Eras Medium ITC"/>
      <w:b/>
      <w:color w:val="49548C"/>
      <w:u w:val="single"/>
      <w:lang w:eastAsia="es-ES"/>
    </w:rPr>
  </w:style>
  <w:style w:type="paragraph" w:styleId="Ttulo3Cesur">
    <w:name w:val="Título 3 Cesur"/>
    <w:basedOn w:val="Titulo2Cesur"/>
    <w:next w:val="NormalCesur"/>
    <w:link w:val="Ttulo3CesurCar"/>
    <w:autoRedefine/>
    <w:qFormat/>
    <w:pPr/>
    <w:rPr>
      <w:i/>
      <w:spacing w:val="2"/>
      <w:w w:val="101"/>
      <w:sz w:val="22"/>
      <w:szCs w:val="22"/>
      <w:u w:val="none"/>
    </w:rPr>
  </w:style>
  <w:style w:type="paragraph" w:styleId="NormalCesur">
    <w:name w:val="Normal Cesur"/>
    <w:basedOn w:val="Normal"/>
    <w:link w:val="NormalCesurCar"/>
    <w:autoRedefine/>
    <w:qFormat/>
    <w:pPr>
      <w:numPr>
        <w:ilvl w:val="0"/>
        <w:numId w:val="3"/>
      </w:numPr>
      <w:jc w:val="both"/>
    </w:pPr>
    <w:rPr>
      <w:rFonts w:ascii="Eras Medium ITC" w:hAnsi="Eras Medium ITC"/>
      <w:bCs/>
      <w:spacing w:val="-3"/>
      <w:sz w:val="22"/>
      <w:szCs w:val="20"/>
      <w:lang w:eastAsia="es-ES"/>
    </w:rPr>
  </w:style>
  <w:style w:type="paragraph" w:styleId="Sumario2">
    <w:name w:val="TOC 2"/>
    <w:basedOn w:val="Normal"/>
    <w:next w:val="Normal"/>
    <w:autoRedefine/>
    <w:pPr>
      <w:spacing w:before="0" w:after="100"/>
      <w:ind w:left="220" w:right="0" w:hanging="0"/>
    </w:pPr>
    <w:rPr/>
  </w:style>
  <w:style w:type="paragraph" w:styleId="Sumario1">
    <w:name w:val="TOC 1"/>
    <w:basedOn w:val="Normal"/>
    <w:next w:val="Normal"/>
    <w:autoRedefine/>
    <w:pPr>
      <w:spacing w:before="0" w:after="100"/>
    </w:pPr>
    <w:rPr/>
  </w:style>
  <w:style w:type="paragraph" w:styleId="Sumario3">
    <w:name w:val="TOC 3"/>
    <w:basedOn w:val="Normal"/>
    <w:next w:val="Normal"/>
    <w:autoRedefine/>
    <w:pPr>
      <w:spacing w:before="0" w:after="100"/>
      <w:ind w:left="440" w:right="0" w:hanging="0"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epginaCar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tulo4Cesur">
    <w:name w:val="Título 4 Cesur"/>
    <w:basedOn w:val="NormalCesur"/>
    <w:next w:val="NormalCesur"/>
    <w:link w:val="Ttulo4CesurCar"/>
    <w:autoRedefine/>
    <w:qFormat/>
    <w:pPr>
      <w:numPr>
        <w:ilvl w:val="3"/>
        <w:numId w:val="2"/>
      </w:numPr>
    </w:pPr>
    <w:rPr>
      <w:i/>
      <w:color w:val="49548C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>
      <w:rFonts w:eastAsia="Times New Roman"/>
      <w:lang w:eastAsia="es-ES"/>
    </w:rPr>
  </w:style>
  <w:style w:type="paragraph" w:styleId="Default">
    <w:name w:val="Default"/>
    <w:qFormat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Calibri" w:hAnsi="Calibri" w:eastAsia="Times New Roman" w:cs="Calibri"/>
      <w:color w:val="000000"/>
      <w:kern w:val="0"/>
      <w:sz w:val="24"/>
      <w:szCs w:val="24"/>
      <w:lang w:val="es-ES" w:eastAsia="es-ES" w:bidi="ar-SA"/>
    </w:rPr>
  </w:style>
  <w:style w:type="paragraph" w:styleId="NormalWeb">
    <w:name w:val="Normal (Web)"/>
    <w:basedOn w:val="Normal"/>
    <w:qFormat/>
    <w:pPr>
      <w:spacing w:before="280" w:after="280"/>
    </w:pPr>
    <w:rPr>
      <w:rFonts w:eastAsia="Times New Roman"/>
      <w:lang w:eastAsia="es-ES"/>
    </w:rPr>
  </w:style>
  <w:style w:type="paragraph" w:styleId="Sumario4">
    <w:name w:val="TOC 4"/>
    <w:basedOn w:val="Normal"/>
    <w:next w:val="Normal"/>
    <w:autoRedefine/>
    <w:pPr>
      <w:spacing w:before="0" w:after="100"/>
      <w:ind w:left="660" w:right="0" w:hanging="0"/>
    </w:pPr>
    <w:rPr>
      <w:rFonts w:ascii="Calibri" w:hAnsi="Calibri" w:eastAsia="ＭＳ 明朝" w:cs="Tahoma"/>
      <w:lang w:eastAsia="es-ES"/>
    </w:rPr>
  </w:style>
  <w:style w:type="paragraph" w:styleId="Sumario5">
    <w:name w:val="TOC 5"/>
    <w:basedOn w:val="Normal"/>
    <w:next w:val="Normal"/>
    <w:autoRedefine/>
    <w:pPr>
      <w:spacing w:before="0" w:after="100"/>
      <w:ind w:left="880" w:right="0" w:hanging="0"/>
    </w:pPr>
    <w:rPr>
      <w:rFonts w:ascii="Calibri" w:hAnsi="Calibri" w:eastAsia="ＭＳ 明朝" w:cs="Tahoma"/>
      <w:lang w:eastAsia="es-ES"/>
    </w:rPr>
  </w:style>
  <w:style w:type="paragraph" w:styleId="Sumario6">
    <w:name w:val="TOC 6"/>
    <w:basedOn w:val="Normal"/>
    <w:next w:val="Normal"/>
    <w:autoRedefine/>
    <w:pPr>
      <w:spacing w:before="0" w:after="100"/>
      <w:ind w:left="1100" w:right="0" w:hanging="0"/>
    </w:pPr>
    <w:rPr>
      <w:rFonts w:ascii="Calibri" w:hAnsi="Calibri" w:eastAsia="ＭＳ 明朝" w:cs="Tahoma"/>
      <w:lang w:eastAsia="es-ES"/>
    </w:rPr>
  </w:style>
  <w:style w:type="paragraph" w:styleId="Sumario7">
    <w:name w:val="TOC 7"/>
    <w:basedOn w:val="Normal"/>
    <w:next w:val="Normal"/>
    <w:autoRedefine/>
    <w:pPr>
      <w:spacing w:before="0" w:after="100"/>
      <w:ind w:left="1320" w:right="0" w:hanging="0"/>
    </w:pPr>
    <w:rPr>
      <w:rFonts w:ascii="Calibri" w:hAnsi="Calibri" w:eastAsia="ＭＳ 明朝" w:cs="Tahoma"/>
      <w:lang w:eastAsia="es-ES"/>
    </w:rPr>
  </w:style>
  <w:style w:type="paragraph" w:styleId="Sumario8">
    <w:name w:val="TOC 8"/>
    <w:basedOn w:val="Normal"/>
    <w:next w:val="Normal"/>
    <w:autoRedefine/>
    <w:pPr>
      <w:spacing w:before="0" w:after="100"/>
      <w:ind w:left="1540" w:right="0" w:hanging="0"/>
    </w:pPr>
    <w:rPr>
      <w:rFonts w:ascii="Calibri" w:hAnsi="Calibri" w:eastAsia="ＭＳ 明朝" w:cs="Tahoma"/>
      <w:lang w:eastAsia="es-ES"/>
    </w:rPr>
  </w:style>
  <w:style w:type="paragraph" w:styleId="Sumario9">
    <w:name w:val="TOC 9"/>
    <w:basedOn w:val="Normal"/>
    <w:next w:val="Normal"/>
    <w:autoRedefine/>
    <w:pPr>
      <w:spacing w:before="0" w:after="100"/>
      <w:ind w:left="1760" w:right="0" w:hanging="0"/>
    </w:pPr>
    <w:rPr>
      <w:rFonts w:ascii="Calibri" w:hAnsi="Calibri" w:eastAsia="ＭＳ 明朝" w:cs="Tahoma"/>
      <w:lang w:eastAsia="es-ES"/>
    </w:rPr>
  </w:style>
  <w:style w:type="paragraph" w:styleId="BalloonText">
    <w:name w:val="Balloon Text"/>
    <w:basedOn w:val="Normal"/>
    <w:link w:val="TextodegloboCar"/>
    <w:qFormat/>
    <w:pPr/>
    <w:rPr>
      <w:rFonts w:ascii="Tahoma" w:hAnsi="Tahoma" w:cs="Tahoma"/>
      <w:sz w:val="16"/>
      <w:szCs w:val="16"/>
    </w:rPr>
  </w:style>
  <w:style w:type="paragraph" w:styleId="P1">
    <w:name w:val="p1"/>
    <w:basedOn w:val="Normal"/>
    <w:qFormat/>
    <w:pPr/>
    <w:rPr>
      <w:rFonts w:ascii="Helvetica" w:hAnsi="Helvetica"/>
      <w:sz w:val="14"/>
      <w:szCs w:val="14"/>
    </w:rPr>
  </w:style>
  <w:style w:type="paragraph" w:styleId="P2">
    <w:name w:val="p2"/>
    <w:basedOn w:val="Normal"/>
    <w:qFormat/>
    <w:pPr/>
    <w:rPr>
      <w:rFonts w:ascii="Helvetica" w:hAnsi="Helvetica"/>
      <w:color w:val="0433FF"/>
      <w:sz w:val="17"/>
      <w:szCs w:val="17"/>
    </w:rPr>
  </w:style>
  <w:style w:type="paragraph" w:styleId="Notaalpie">
    <w:name w:val="Footnote Text"/>
    <w:basedOn w:val="Normal"/>
    <w:link w:val="TextonotapieCar"/>
    <w:pPr/>
    <w:rPr>
      <w:sz w:val="20"/>
      <w:szCs w:val="20"/>
    </w:rPr>
  </w:style>
  <w:style w:type="numbering" w:styleId="ListaCesur">
    <w:name w:val="Lista Cesur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otnotes" Target="footnotes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word/_rels/footnotes.xml.rels><?xml version="1.0" encoding="UTF-8"?>
<Relationships xmlns="http://schemas.openxmlformats.org/package/2006/relationships"><Relationship Id="rId1" Type="http://schemas.openxmlformats.org/officeDocument/2006/relationships/hyperlink" Target="https://es.wikipedia.org/wiki/Normas_ISO_9000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3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C:\Users\rmartin\Dropbox\TS EFICIENCIA ENERGÉTICA\Programaciones Didácticas\Plantilla CESUR_rev.1 20130621.dotx</Template>
  <TotalTime>279</TotalTime>
  <Application>LibreOffice/7.3.1.3$Windows_X86_64 LibreOffice_project/a69ca51ded25f3eefd52d7bf9a5fad8c90b87951</Application>
  <AppVersion>15.0000</AppVersion>
  <Pages>6</Pages>
  <Words>982</Words>
  <Characters>5414</Characters>
  <CharactersWithSpaces>6315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2022-10-06T12:24:00Z</dcterms:created>
  <dc:creator>rmartin</dc:creator>
  <dc:description/>
  <dc:language>es-ES</dc:language>
  <cp:lastModifiedBy/>
  <cp:lastPrinted>2013-09-28T14:13:00Z</cp:lastPrinted>
  <dcterms:modified xsi:type="dcterms:W3CDTF">2022-12-09T10:06:20Z</dcterms:modified>
  <cp:revision>107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0x0101006E700123960FD944B68716EAC67F1103</vt:lpwstr>
  </property>
</Properties>
</file>