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39A" w:rsidRPr="00BD639A" w:rsidRDefault="00FF45C5" w:rsidP="00BD639A">
      <w:pPr>
        <w:spacing w:before="100" w:beforeAutospacing="1" w:after="100" w:afterAutospacing="1" w:line="240" w:lineRule="auto"/>
        <w:rPr>
          <w:rFonts w:ascii="Times New Roman" w:eastAsia="Times New Roman" w:hAnsi="Times New Roman" w:cs="Times New Roman"/>
          <w:color w:val="3A3A3A"/>
          <w:sz w:val="24"/>
          <w:szCs w:val="24"/>
        </w:rPr>
      </w:pPr>
      <w:r>
        <w:rPr>
          <w:rFonts w:ascii="Verdana" w:eastAsia="Times New Roman" w:hAnsi="Verdana" w:cs="Times New Roman"/>
          <w:b/>
          <w:bCs/>
          <w:color w:val="3A3A3A"/>
          <w:sz w:val="20"/>
          <w:szCs w:val="20"/>
        </w:rPr>
        <w:t>Whether the Click</w:t>
      </w:r>
      <w:bookmarkStart w:id="0" w:name="_GoBack"/>
      <w:bookmarkEnd w:id="0"/>
      <w:r w:rsidR="00BD639A" w:rsidRPr="00BD639A">
        <w:rPr>
          <w:rFonts w:ascii="Verdana" w:eastAsia="Times New Roman" w:hAnsi="Verdana" w:cs="Times New Roman"/>
          <w:b/>
          <w:bCs/>
          <w:color w:val="3A3A3A"/>
          <w:sz w:val="20"/>
          <w:szCs w:val="20"/>
        </w:rPr>
        <w:t xml:space="preserve"> </w:t>
      </w:r>
      <w:proofErr w:type="spellStart"/>
      <w:r w:rsidR="00BD639A" w:rsidRPr="00BD639A">
        <w:rPr>
          <w:rFonts w:ascii="Verdana" w:eastAsia="Times New Roman" w:hAnsi="Verdana" w:cs="Times New Roman"/>
          <w:b/>
          <w:bCs/>
          <w:color w:val="3A3A3A"/>
          <w:sz w:val="20"/>
          <w:szCs w:val="20"/>
        </w:rPr>
        <w:t>comScore</w:t>
      </w:r>
      <w:proofErr w:type="spellEnd"/>
      <w:r w:rsidR="00BD639A" w:rsidRPr="00BD639A">
        <w:rPr>
          <w:rFonts w:ascii="Verdana" w:eastAsia="Times New Roman" w:hAnsi="Verdana" w:cs="Times New Roman"/>
          <w:b/>
          <w:bCs/>
          <w:color w:val="3A3A3A"/>
          <w:sz w:val="20"/>
          <w:szCs w:val="20"/>
        </w:rPr>
        <w:t xml:space="preserve"> Brand </w:t>
      </w:r>
      <w:proofErr w:type="spellStart"/>
      <w:r w:rsidR="00BD639A" w:rsidRPr="00BD639A">
        <w:rPr>
          <w:rFonts w:ascii="Verdana" w:eastAsia="Times New Roman" w:hAnsi="Verdana" w:cs="Times New Roman"/>
          <w:b/>
          <w:bCs/>
          <w:color w:val="3A3A3A"/>
          <w:sz w:val="20"/>
          <w:szCs w:val="20"/>
        </w:rPr>
        <w:t>Metrix</w:t>
      </w:r>
      <w:proofErr w:type="spellEnd"/>
      <w:r w:rsidR="00BD639A" w:rsidRPr="00BD639A">
        <w:rPr>
          <w:rFonts w:ascii="Verdana" w:eastAsia="Times New Roman" w:hAnsi="Verdana" w:cs="Times New Roman"/>
          <w:b/>
          <w:bCs/>
          <w:color w:val="3A3A3A"/>
          <w:sz w:val="20"/>
          <w:szCs w:val="20"/>
        </w:rPr>
        <w:t xml:space="preserve"> Norms Prove “View-Thru” Value of Online Advertising</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20"/>
          <w:szCs w:val="20"/>
        </w:rPr>
        <w:t> </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b/>
          <w:bCs/>
          <w:i/>
          <w:iCs/>
          <w:color w:val="3A3A3A"/>
          <w:sz w:val="20"/>
          <w:szCs w:val="20"/>
        </w:rPr>
        <w:t>Cost Per Click Based Advertising Models Fail to Monetize the Full Impact of Online Ad Exposures for Publishers</w:t>
      </w:r>
    </w:p>
    <w:p w:rsidR="00BD639A" w:rsidRPr="00BD639A" w:rsidRDefault="00BD639A" w:rsidP="00BD639A">
      <w:pPr>
        <w:spacing w:before="100" w:beforeAutospacing="1" w:after="100" w:afterAutospacing="1" w:line="240" w:lineRule="auto"/>
        <w:jc w:val="center"/>
        <w:rPr>
          <w:rFonts w:ascii="Times New Roman" w:eastAsia="Times New Roman" w:hAnsi="Times New Roman" w:cs="Times New Roman"/>
          <w:color w:val="3A3A3A"/>
          <w:sz w:val="24"/>
          <w:szCs w:val="24"/>
        </w:rPr>
      </w:pPr>
      <w:r w:rsidRPr="00BD639A">
        <w:rPr>
          <w:rFonts w:ascii="Times New Roman" w:eastAsia="Times New Roman" w:hAnsi="Times New Roman" w:cs="Times New Roman"/>
          <w:color w:val="3A3A3A"/>
          <w:sz w:val="24"/>
          <w:szCs w:val="24"/>
        </w:rPr>
        <w:t> </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b/>
          <w:bCs/>
          <w:color w:val="000000"/>
          <w:sz w:val="16"/>
          <w:szCs w:val="16"/>
        </w:rPr>
        <w:t>RESTON, VA, November 17, 2008</w:t>
      </w:r>
      <w:r w:rsidRPr="00BD639A">
        <w:rPr>
          <w:rFonts w:ascii="Verdana" w:eastAsia="Times New Roman" w:hAnsi="Verdana" w:cs="Times New Roman"/>
          <w:color w:val="000000"/>
          <w:sz w:val="16"/>
          <w:szCs w:val="16"/>
        </w:rPr>
        <w:t xml:space="preserve"> – </w:t>
      </w:r>
      <w:proofErr w:type="spellStart"/>
      <w:r w:rsidRPr="00BD639A">
        <w:rPr>
          <w:rFonts w:ascii="Verdana" w:eastAsia="Times New Roman" w:hAnsi="Verdana" w:cs="Times New Roman"/>
          <w:color w:val="3A3A3A"/>
          <w:sz w:val="16"/>
          <w:szCs w:val="16"/>
        </w:rPr>
        <w:t>comScore</w:t>
      </w:r>
      <w:proofErr w:type="spellEnd"/>
      <w:r w:rsidRPr="00BD639A">
        <w:rPr>
          <w:rFonts w:ascii="Verdana" w:eastAsia="Times New Roman" w:hAnsi="Verdana" w:cs="Times New Roman"/>
          <w:color w:val="3A3A3A"/>
          <w:sz w:val="16"/>
          <w:szCs w:val="16"/>
        </w:rPr>
        <w:t xml:space="preserve">, Inc. (NASDAQ: SCOR), a leader in measuring the digital world, today announced the availability of its </w:t>
      </w:r>
      <w:proofErr w:type="spellStart"/>
      <w:r w:rsidRPr="00BD639A">
        <w:rPr>
          <w:rFonts w:ascii="Verdana" w:eastAsia="Times New Roman" w:hAnsi="Verdana" w:cs="Times New Roman"/>
          <w:color w:val="3A3A3A"/>
          <w:sz w:val="16"/>
          <w:szCs w:val="16"/>
        </w:rPr>
        <w:t>comScore</w:t>
      </w:r>
      <w:proofErr w:type="spellEnd"/>
      <w:r w:rsidRPr="00BD639A">
        <w:rPr>
          <w:rFonts w:ascii="Verdana" w:eastAsia="Times New Roman" w:hAnsi="Verdana" w:cs="Times New Roman"/>
          <w:color w:val="3A3A3A"/>
          <w:sz w:val="16"/>
          <w:szCs w:val="16"/>
        </w:rPr>
        <w:t xml:space="preserve"> Brand </w:t>
      </w:r>
      <w:proofErr w:type="spellStart"/>
      <w:r w:rsidRPr="00BD639A">
        <w:rPr>
          <w:rFonts w:ascii="Verdana" w:eastAsia="Times New Roman" w:hAnsi="Verdana" w:cs="Times New Roman"/>
          <w:color w:val="3A3A3A"/>
          <w:sz w:val="16"/>
          <w:szCs w:val="16"/>
        </w:rPr>
        <w:t>Metrix</w:t>
      </w:r>
      <w:proofErr w:type="spellEnd"/>
      <w:r w:rsidRPr="00BD639A">
        <w:rPr>
          <w:rFonts w:ascii="Verdana" w:eastAsia="Times New Roman" w:hAnsi="Verdana" w:cs="Times New Roman"/>
          <w:color w:val="3A3A3A"/>
          <w:sz w:val="16"/>
          <w:szCs w:val="16"/>
        </w:rPr>
        <w:t xml:space="preserve"> norms database, compiled from nearly 200 brand impact studies conducted across a range of industries and online ad campaigns. </w:t>
      </w:r>
      <w:proofErr w:type="spellStart"/>
      <w:proofErr w:type="gramStart"/>
      <w:r w:rsidRPr="00BD639A">
        <w:rPr>
          <w:rFonts w:ascii="Verdana" w:eastAsia="Times New Roman" w:hAnsi="Verdana" w:cs="Times New Roman"/>
          <w:color w:val="3A3A3A"/>
          <w:sz w:val="16"/>
          <w:szCs w:val="16"/>
        </w:rPr>
        <w:t>comScore</w:t>
      </w:r>
      <w:proofErr w:type="spellEnd"/>
      <w:proofErr w:type="gramEnd"/>
      <w:r w:rsidRPr="00BD639A">
        <w:rPr>
          <w:rFonts w:ascii="Verdana" w:eastAsia="Times New Roman" w:hAnsi="Verdana" w:cs="Times New Roman"/>
          <w:color w:val="3A3A3A"/>
          <w:sz w:val="16"/>
          <w:szCs w:val="16"/>
        </w:rPr>
        <w:t xml:space="preserve"> Brand </w:t>
      </w:r>
      <w:proofErr w:type="spellStart"/>
      <w:r w:rsidRPr="00BD639A">
        <w:rPr>
          <w:rFonts w:ascii="Verdana" w:eastAsia="Times New Roman" w:hAnsi="Verdana" w:cs="Times New Roman"/>
          <w:color w:val="3A3A3A"/>
          <w:sz w:val="16"/>
          <w:szCs w:val="16"/>
        </w:rPr>
        <w:t>Metrix</w:t>
      </w:r>
      <w:proofErr w:type="spellEnd"/>
      <w:r w:rsidRPr="00BD639A">
        <w:rPr>
          <w:rFonts w:ascii="Verdana" w:eastAsia="Times New Roman" w:hAnsi="Verdana" w:cs="Times New Roman"/>
          <w:color w:val="3A3A3A"/>
          <w:sz w:val="16"/>
          <w:szCs w:val="16"/>
        </w:rPr>
        <w:t xml:space="preserve"> is a breakthrough service for measuring the effectiveness of online advertising campaigns in meeting branding objectives such as heightened brand awareness, improved attitudes toward the brand, increased purchase intent -- and ultimately incremental purchasing.</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 </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 xml:space="preserve">“In an environment where proving the effectiveness of every advertising dollar is essential, </w:t>
      </w:r>
      <w:proofErr w:type="spellStart"/>
      <w:r w:rsidRPr="00BD639A">
        <w:rPr>
          <w:rFonts w:ascii="Verdana" w:eastAsia="Times New Roman" w:hAnsi="Verdana" w:cs="Times New Roman"/>
          <w:color w:val="3A3A3A"/>
          <w:sz w:val="16"/>
          <w:szCs w:val="16"/>
        </w:rPr>
        <w:t>comScore</w:t>
      </w:r>
      <w:proofErr w:type="spellEnd"/>
      <w:r w:rsidRPr="00BD639A">
        <w:rPr>
          <w:rFonts w:ascii="Verdana" w:eastAsia="Times New Roman" w:hAnsi="Verdana" w:cs="Times New Roman"/>
          <w:color w:val="3A3A3A"/>
          <w:sz w:val="16"/>
          <w:szCs w:val="16"/>
        </w:rPr>
        <w:t xml:space="preserve"> Brand </w:t>
      </w:r>
      <w:proofErr w:type="spellStart"/>
      <w:r w:rsidRPr="00BD639A">
        <w:rPr>
          <w:rFonts w:ascii="Verdana" w:eastAsia="Times New Roman" w:hAnsi="Verdana" w:cs="Times New Roman"/>
          <w:color w:val="3A3A3A"/>
          <w:sz w:val="16"/>
          <w:szCs w:val="16"/>
        </w:rPr>
        <w:t>Metrix</w:t>
      </w:r>
      <w:proofErr w:type="spellEnd"/>
      <w:r w:rsidRPr="00BD639A">
        <w:rPr>
          <w:rFonts w:ascii="Verdana" w:eastAsia="Times New Roman" w:hAnsi="Verdana" w:cs="Times New Roman"/>
          <w:color w:val="3A3A3A"/>
          <w:sz w:val="16"/>
          <w:szCs w:val="16"/>
        </w:rPr>
        <w:t xml:space="preserve"> gives marketers and publishers the ammunition to demonstrate the true value of their online advertising efforts,” said Evan Neufeld, </w:t>
      </w:r>
      <w:proofErr w:type="spellStart"/>
      <w:r w:rsidRPr="00BD639A">
        <w:rPr>
          <w:rFonts w:ascii="Verdana" w:eastAsia="Times New Roman" w:hAnsi="Verdana" w:cs="Times New Roman"/>
          <w:color w:val="3A3A3A"/>
          <w:sz w:val="16"/>
          <w:szCs w:val="16"/>
        </w:rPr>
        <w:t>comScore</w:t>
      </w:r>
      <w:proofErr w:type="spellEnd"/>
      <w:r w:rsidRPr="00BD639A">
        <w:rPr>
          <w:rFonts w:ascii="Verdana" w:eastAsia="Times New Roman" w:hAnsi="Verdana" w:cs="Times New Roman"/>
          <w:color w:val="3A3A3A"/>
          <w:sz w:val="16"/>
          <w:szCs w:val="16"/>
        </w:rPr>
        <w:t xml:space="preserve"> vice president of advertising solutions. “With online display ads yielding click-thru rates of less than 0.1 percent, advertisers can no longer rely on click-</w:t>
      </w:r>
      <w:proofErr w:type="spellStart"/>
      <w:r w:rsidRPr="00BD639A">
        <w:rPr>
          <w:rFonts w:ascii="Verdana" w:eastAsia="Times New Roman" w:hAnsi="Verdana" w:cs="Times New Roman"/>
          <w:color w:val="3A3A3A"/>
          <w:sz w:val="16"/>
          <w:szCs w:val="16"/>
        </w:rPr>
        <w:t>thrus</w:t>
      </w:r>
      <w:proofErr w:type="spellEnd"/>
      <w:r w:rsidRPr="00BD639A">
        <w:rPr>
          <w:rFonts w:ascii="Verdana" w:eastAsia="Times New Roman" w:hAnsi="Verdana" w:cs="Times New Roman"/>
          <w:color w:val="3A3A3A"/>
          <w:sz w:val="16"/>
          <w:szCs w:val="16"/>
        </w:rPr>
        <w:t xml:space="preserve"> to gauge online ad performance. Doing so fails to capture the impact of advertising impressions – or view-thru – on attitude and future behavior, which are essential metrics in assessing the complete return on an investment in online advertising.”</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 </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proofErr w:type="spellStart"/>
      <w:proofErr w:type="gramStart"/>
      <w:r w:rsidRPr="00BD639A">
        <w:rPr>
          <w:rFonts w:ascii="Verdana" w:eastAsia="Times New Roman" w:hAnsi="Verdana" w:cs="Times New Roman"/>
          <w:color w:val="3A3A3A"/>
          <w:sz w:val="16"/>
          <w:szCs w:val="16"/>
        </w:rPr>
        <w:t>comScore</w:t>
      </w:r>
      <w:proofErr w:type="spellEnd"/>
      <w:proofErr w:type="gramEnd"/>
      <w:r w:rsidRPr="00BD639A">
        <w:rPr>
          <w:rFonts w:ascii="Verdana" w:eastAsia="Times New Roman" w:hAnsi="Verdana" w:cs="Times New Roman"/>
          <w:color w:val="3A3A3A"/>
          <w:sz w:val="16"/>
          <w:szCs w:val="16"/>
        </w:rPr>
        <w:t xml:space="preserve"> Brand </w:t>
      </w:r>
      <w:proofErr w:type="spellStart"/>
      <w:r w:rsidRPr="00BD639A">
        <w:rPr>
          <w:rFonts w:ascii="Verdana" w:eastAsia="Times New Roman" w:hAnsi="Verdana" w:cs="Times New Roman"/>
          <w:color w:val="3A3A3A"/>
          <w:sz w:val="16"/>
          <w:szCs w:val="16"/>
        </w:rPr>
        <w:t>Metrix</w:t>
      </w:r>
      <w:proofErr w:type="spellEnd"/>
      <w:r w:rsidRPr="00BD639A">
        <w:rPr>
          <w:rFonts w:ascii="Verdana" w:eastAsia="Times New Roman" w:hAnsi="Verdana" w:cs="Times New Roman"/>
          <w:color w:val="3A3A3A"/>
          <w:sz w:val="16"/>
          <w:szCs w:val="16"/>
        </w:rPr>
        <w:t xml:space="preserve"> relies on the </w:t>
      </w:r>
      <w:proofErr w:type="spellStart"/>
      <w:r w:rsidRPr="00BD639A">
        <w:rPr>
          <w:rFonts w:ascii="Verdana" w:eastAsia="Times New Roman" w:hAnsi="Verdana" w:cs="Times New Roman"/>
          <w:color w:val="3A3A3A"/>
          <w:sz w:val="16"/>
          <w:szCs w:val="16"/>
        </w:rPr>
        <w:t>comScore</w:t>
      </w:r>
      <w:proofErr w:type="spellEnd"/>
      <w:r w:rsidRPr="00BD639A">
        <w:rPr>
          <w:rFonts w:ascii="Verdana" w:eastAsia="Times New Roman" w:hAnsi="Verdana" w:cs="Times New Roman"/>
          <w:color w:val="3A3A3A"/>
          <w:sz w:val="16"/>
          <w:szCs w:val="16"/>
        </w:rPr>
        <w:t xml:space="preserve"> panel to parse differences in behavior and attitudes among those consumers exposed to an online ad campaign compared to those who are not exposed. It is the first product in the industry to measure the true impact of online ad exposures because it overcomes the deleterious impact of cookie deletion that other services ignore, and which can lead to an understatement of the actual view-thru impact of online ads by a factor of 20 percent or more.</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 </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 </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b/>
          <w:bCs/>
          <w:color w:val="3A3A3A"/>
          <w:sz w:val="16"/>
          <w:szCs w:val="16"/>
        </w:rPr>
        <w:t>Norms Database Shows Substantial Lift in Sales, Advertiser Trademark Search and Site Visitation</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 xml:space="preserve">The </w:t>
      </w:r>
      <w:proofErr w:type="spellStart"/>
      <w:r w:rsidRPr="00BD639A">
        <w:rPr>
          <w:rFonts w:ascii="Verdana" w:eastAsia="Times New Roman" w:hAnsi="Verdana" w:cs="Times New Roman"/>
          <w:color w:val="3A3A3A"/>
          <w:sz w:val="16"/>
          <w:szCs w:val="16"/>
        </w:rPr>
        <w:t>comScore</w:t>
      </w:r>
      <w:proofErr w:type="spellEnd"/>
      <w:r w:rsidRPr="00BD639A">
        <w:rPr>
          <w:rFonts w:ascii="Verdana" w:eastAsia="Times New Roman" w:hAnsi="Verdana" w:cs="Times New Roman"/>
          <w:color w:val="3A3A3A"/>
          <w:sz w:val="16"/>
          <w:szCs w:val="16"/>
        </w:rPr>
        <w:t xml:space="preserve"> Brand </w:t>
      </w:r>
      <w:proofErr w:type="spellStart"/>
      <w:r w:rsidRPr="00BD639A">
        <w:rPr>
          <w:rFonts w:ascii="Verdana" w:eastAsia="Times New Roman" w:hAnsi="Verdana" w:cs="Times New Roman"/>
          <w:color w:val="3A3A3A"/>
          <w:sz w:val="16"/>
          <w:szCs w:val="16"/>
        </w:rPr>
        <w:t>Metrix</w:t>
      </w:r>
      <w:proofErr w:type="spellEnd"/>
      <w:r w:rsidRPr="00BD639A">
        <w:rPr>
          <w:rFonts w:ascii="Verdana" w:eastAsia="Times New Roman" w:hAnsi="Verdana" w:cs="Times New Roman"/>
          <w:color w:val="3A3A3A"/>
          <w:sz w:val="16"/>
          <w:szCs w:val="16"/>
        </w:rPr>
        <w:t xml:space="preserve"> norms database contains the results of studies that have been conducted across ten vertical industries and includes the following metrics: top-of mind unaided awareness, total unaided awareness, aided awareness, total advertising awareness, online ad recall, favorability, likelihood to recommend, and likelihood to purchase. For a subset of the studies, the norms database also includes the important behavioral metrics of advertiser trademark searches, site visitation and purchasing – both online and at retail stores. </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 </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“Online advertising offers a very compelling value proposition because it gives marketers a bigger bang for their buck,” added Neufeld. “Not only does online marketing have the benefits of more attractive advertising rates and a faster growing retail channel, but it’s clear from the results of our studies that Internet marketing also generates incremental sales in retail stores.”</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 </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 xml:space="preserve">The </w:t>
      </w:r>
      <w:proofErr w:type="spellStart"/>
      <w:r w:rsidRPr="00BD639A">
        <w:rPr>
          <w:rFonts w:ascii="Verdana" w:eastAsia="Times New Roman" w:hAnsi="Verdana" w:cs="Times New Roman"/>
          <w:color w:val="3A3A3A"/>
          <w:sz w:val="16"/>
          <w:szCs w:val="16"/>
        </w:rPr>
        <w:t>comScore</w:t>
      </w:r>
      <w:proofErr w:type="spellEnd"/>
      <w:r w:rsidRPr="00BD639A">
        <w:rPr>
          <w:rFonts w:ascii="Verdana" w:eastAsia="Times New Roman" w:hAnsi="Verdana" w:cs="Times New Roman"/>
          <w:color w:val="3A3A3A"/>
          <w:sz w:val="16"/>
          <w:szCs w:val="16"/>
        </w:rPr>
        <w:t xml:space="preserve"> norms data provide compelling empirical support for the belief that there is a quantifiable view-thru impact of online ad exposures on brand value and sales. For the studies in which both retailers’ online and offline </w:t>
      </w:r>
      <w:r w:rsidRPr="00BD639A">
        <w:rPr>
          <w:rFonts w:ascii="Verdana" w:eastAsia="Times New Roman" w:hAnsi="Verdana" w:cs="Times New Roman"/>
          <w:color w:val="3A3A3A"/>
          <w:sz w:val="16"/>
          <w:szCs w:val="16"/>
        </w:rPr>
        <w:lastRenderedPageBreak/>
        <w:t xml:space="preserve">sales were analyzed, for periods ranging from two weeks to three months after the initial exposure to an online display ad, the incremental online sales lift was 27 percent and offline sales lift was 17 percent </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 </w:t>
      </w:r>
    </w:p>
    <w:tbl>
      <w:tblPr>
        <w:tblW w:w="8115" w:type="dxa"/>
        <w:tblInd w:w="93" w:type="dxa"/>
        <w:tblCellMar>
          <w:left w:w="0" w:type="dxa"/>
          <w:right w:w="0" w:type="dxa"/>
        </w:tblCellMar>
        <w:tblLook w:val="04A0" w:firstRow="1" w:lastRow="0" w:firstColumn="1" w:lastColumn="0" w:noHBand="0" w:noVBand="1"/>
      </w:tblPr>
      <w:tblGrid>
        <w:gridCol w:w="3110"/>
        <w:gridCol w:w="1700"/>
        <w:gridCol w:w="1533"/>
        <w:gridCol w:w="1772"/>
      </w:tblGrid>
      <w:tr w:rsidR="00BD639A" w:rsidRPr="00BD639A" w:rsidTr="00BD639A">
        <w:trPr>
          <w:trHeight w:val="240"/>
        </w:trPr>
        <w:tc>
          <w:tcPr>
            <w:tcW w:w="8115" w:type="dxa"/>
            <w:gridSpan w:val="4"/>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b/>
                <w:bCs/>
                <w:color w:val="3A3A3A"/>
                <w:sz w:val="16"/>
                <w:szCs w:val="16"/>
              </w:rPr>
              <w:t>Lift in Retailers’ Online and Offline Sales among Internet Users Exposed to Display Ads</w:t>
            </w:r>
            <w:r>
              <w:rPr>
                <w:rFonts w:ascii="Verdana" w:eastAsia="Times New Roman" w:hAnsi="Verdana" w:cs="Times New Roman"/>
                <w:b/>
                <w:bCs/>
                <w:color w:val="3A3A3A"/>
                <w:sz w:val="16"/>
                <w:szCs w:val="16"/>
              </w:rPr>
              <w:br/>
            </w:r>
            <w:r w:rsidRPr="00BD639A">
              <w:rPr>
                <w:rFonts w:ascii="Verdana" w:eastAsia="Times New Roman" w:hAnsi="Verdana" w:cs="Times New Roman"/>
                <w:b/>
                <w:bCs/>
                <w:color w:val="3A3A3A"/>
                <w:sz w:val="16"/>
                <w:szCs w:val="16"/>
              </w:rPr>
              <w:t>Total U.S. – Home/Work/University Locations</w:t>
            </w:r>
            <w:r>
              <w:rPr>
                <w:rFonts w:ascii="Times New Roman" w:eastAsia="Times New Roman" w:hAnsi="Times New Roman" w:cs="Times New Roman"/>
                <w:color w:val="3A3A3A"/>
                <w:sz w:val="24"/>
                <w:szCs w:val="24"/>
              </w:rPr>
              <w:br/>
            </w:r>
            <w:r w:rsidRPr="00BD639A">
              <w:rPr>
                <w:rFonts w:ascii="Verdana" w:eastAsia="Times New Roman" w:hAnsi="Verdana" w:cs="Times New Roman"/>
                <w:b/>
                <w:bCs/>
                <w:color w:val="3A3A3A"/>
                <w:sz w:val="16"/>
                <w:szCs w:val="16"/>
              </w:rPr>
              <w:t xml:space="preserve">Source: </w:t>
            </w:r>
            <w:proofErr w:type="spellStart"/>
            <w:r w:rsidRPr="00BD639A">
              <w:rPr>
                <w:rFonts w:ascii="Verdana" w:eastAsia="Times New Roman" w:hAnsi="Verdana" w:cs="Times New Roman"/>
                <w:b/>
                <w:bCs/>
                <w:color w:val="3A3A3A"/>
                <w:sz w:val="16"/>
                <w:szCs w:val="16"/>
              </w:rPr>
              <w:t>comScore</w:t>
            </w:r>
            <w:proofErr w:type="spellEnd"/>
            <w:r w:rsidRPr="00BD639A">
              <w:rPr>
                <w:rFonts w:ascii="Verdana" w:eastAsia="Times New Roman" w:hAnsi="Verdana" w:cs="Times New Roman"/>
                <w:b/>
                <w:bCs/>
                <w:color w:val="3A3A3A"/>
                <w:sz w:val="16"/>
                <w:szCs w:val="16"/>
              </w:rPr>
              <w:t xml:space="preserve"> Brand </w:t>
            </w:r>
            <w:proofErr w:type="spellStart"/>
            <w:r w:rsidRPr="00BD639A">
              <w:rPr>
                <w:rFonts w:ascii="Verdana" w:eastAsia="Times New Roman" w:hAnsi="Verdana" w:cs="Times New Roman"/>
                <w:b/>
                <w:bCs/>
                <w:color w:val="3A3A3A"/>
                <w:sz w:val="16"/>
                <w:szCs w:val="16"/>
              </w:rPr>
              <w:t>Metrix</w:t>
            </w:r>
            <w:proofErr w:type="spellEnd"/>
            <w:r w:rsidRPr="00BD639A">
              <w:rPr>
                <w:rFonts w:ascii="Verdana" w:eastAsia="Times New Roman" w:hAnsi="Verdana" w:cs="Times New Roman"/>
                <w:b/>
                <w:bCs/>
                <w:color w:val="3A3A3A"/>
                <w:sz w:val="16"/>
                <w:szCs w:val="16"/>
              </w:rPr>
              <w:t>, Norms Database</w:t>
            </w:r>
          </w:p>
        </w:tc>
      </w:tr>
      <w:tr w:rsidR="00BD639A" w:rsidRPr="00BD639A" w:rsidTr="00BD639A">
        <w:trPr>
          <w:trHeight w:val="240"/>
        </w:trPr>
        <w:tc>
          <w:tcPr>
            <w:tcW w:w="3110" w:type="dxa"/>
            <w:vMerge w:val="restart"/>
            <w:tcBorders>
              <w:top w:val="nil"/>
              <w:left w:val="single" w:sz="4" w:space="0" w:color="auto"/>
              <w:bottom w:val="single" w:sz="4" w:space="0" w:color="000000"/>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 </w:t>
            </w:r>
          </w:p>
        </w:tc>
        <w:tc>
          <w:tcPr>
            <w:tcW w:w="5005" w:type="dxa"/>
            <w:gridSpan w:val="3"/>
            <w:tcBorders>
              <w:top w:val="nil"/>
              <w:left w:val="nil"/>
              <w:bottom w:val="single" w:sz="4" w:space="0" w:color="auto"/>
              <w:right w:val="single" w:sz="4" w:space="0" w:color="000000"/>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center"/>
              <w:rPr>
                <w:rFonts w:ascii="Times New Roman" w:eastAsia="Times New Roman" w:hAnsi="Times New Roman" w:cs="Times New Roman"/>
                <w:color w:val="3A3A3A"/>
                <w:sz w:val="24"/>
                <w:szCs w:val="24"/>
              </w:rPr>
            </w:pPr>
            <w:r w:rsidRPr="00BD639A">
              <w:rPr>
                <w:rFonts w:ascii="Verdana" w:eastAsia="Times New Roman" w:hAnsi="Verdana" w:cs="Times New Roman"/>
                <w:b/>
                <w:bCs/>
                <w:color w:val="3A3A3A"/>
                <w:sz w:val="16"/>
                <w:szCs w:val="16"/>
              </w:rPr>
              <w:t>Monthly Sales ($) per Thousand Exposed Consumers</w:t>
            </w:r>
          </w:p>
        </w:tc>
      </w:tr>
      <w:tr w:rsidR="00BD639A" w:rsidRPr="00BD639A" w:rsidTr="00BD639A">
        <w:trPr>
          <w:trHeight w:val="240"/>
        </w:trPr>
        <w:tc>
          <w:tcPr>
            <w:tcW w:w="0" w:type="auto"/>
            <w:vMerge/>
            <w:tcBorders>
              <w:top w:val="nil"/>
              <w:left w:val="single" w:sz="4" w:space="0" w:color="auto"/>
              <w:bottom w:val="single" w:sz="4" w:space="0" w:color="000000"/>
              <w:right w:val="single" w:sz="4" w:space="0" w:color="auto"/>
            </w:tcBorders>
            <w:vAlign w:val="center"/>
            <w:hideMark/>
          </w:tcPr>
          <w:p w:rsidR="00BD639A" w:rsidRPr="00BD639A" w:rsidRDefault="00BD639A" w:rsidP="00BD639A">
            <w:pPr>
              <w:spacing w:after="0" w:line="240" w:lineRule="auto"/>
              <w:rPr>
                <w:rFonts w:ascii="Times New Roman" w:eastAsia="Times New Roman" w:hAnsi="Times New Roman" w:cs="Times New Roman"/>
                <w:color w:val="3A3A3A"/>
                <w:sz w:val="24"/>
                <w:szCs w:val="24"/>
              </w:rPr>
            </w:pPr>
          </w:p>
        </w:tc>
        <w:tc>
          <w:tcPr>
            <w:tcW w:w="1700" w:type="dxa"/>
            <w:tcBorders>
              <w:top w:val="nil"/>
              <w:left w:val="nil"/>
              <w:bottom w:val="single" w:sz="4" w:space="0" w:color="auto"/>
              <w:right w:val="single" w:sz="4" w:space="0" w:color="auto"/>
            </w:tcBorders>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center"/>
              <w:rPr>
                <w:rFonts w:ascii="Times New Roman" w:eastAsia="Times New Roman" w:hAnsi="Times New Roman" w:cs="Times New Roman"/>
                <w:color w:val="3A3A3A"/>
                <w:sz w:val="24"/>
                <w:szCs w:val="24"/>
              </w:rPr>
            </w:pPr>
            <w:r w:rsidRPr="00BD639A">
              <w:rPr>
                <w:rFonts w:ascii="Verdana" w:eastAsia="Times New Roman" w:hAnsi="Verdana" w:cs="Times New Roman"/>
                <w:b/>
                <w:bCs/>
                <w:color w:val="3A3A3A"/>
                <w:sz w:val="16"/>
                <w:szCs w:val="16"/>
              </w:rPr>
              <w:t xml:space="preserve">Control </w:t>
            </w:r>
          </w:p>
        </w:tc>
        <w:tc>
          <w:tcPr>
            <w:tcW w:w="1533" w:type="dxa"/>
            <w:tcBorders>
              <w:top w:val="nil"/>
              <w:left w:val="nil"/>
              <w:bottom w:val="single" w:sz="4" w:space="0" w:color="auto"/>
              <w:right w:val="single" w:sz="4" w:space="0" w:color="auto"/>
            </w:tcBorders>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center"/>
              <w:rPr>
                <w:rFonts w:ascii="Times New Roman" w:eastAsia="Times New Roman" w:hAnsi="Times New Roman" w:cs="Times New Roman"/>
                <w:color w:val="3A3A3A"/>
                <w:sz w:val="24"/>
                <w:szCs w:val="24"/>
              </w:rPr>
            </w:pPr>
            <w:r w:rsidRPr="00BD639A">
              <w:rPr>
                <w:rFonts w:ascii="Verdana" w:eastAsia="Times New Roman" w:hAnsi="Verdana" w:cs="Times New Roman"/>
                <w:b/>
                <w:bCs/>
                <w:color w:val="3A3A3A"/>
                <w:sz w:val="16"/>
                <w:szCs w:val="16"/>
              </w:rPr>
              <w:t>Test</w:t>
            </w:r>
          </w:p>
        </w:tc>
        <w:tc>
          <w:tcPr>
            <w:tcW w:w="1772" w:type="dxa"/>
            <w:tcBorders>
              <w:top w:val="nil"/>
              <w:left w:val="nil"/>
              <w:bottom w:val="single" w:sz="4" w:space="0" w:color="auto"/>
              <w:right w:val="single" w:sz="4" w:space="0" w:color="auto"/>
            </w:tcBorders>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center"/>
              <w:rPr>
                <w:rFonts w:ascii="Times New Roman" w:eastAsia="Times New Roman" w:hAnsi="Times New Roman" w:cs="Times New Roman"/>
                <w:color w:val="3A3A3A"/>
                <w:sz w:val="24"/>
                <w:szCs w:val="24"/>
              </w:rPr>
            </w:pPr>
            <w:r w:rsidRPr="00BD639A">
              <w:rPr>
                <w:rFonts w:ascii="Verdana" w:eastAsia="Times New Roman" w:hAnsi="Verdana" w:cs="Times New Roman"/>
                <w:b/>
                <w:bCs/>
                <w:color w:val="3A3A3A"/>
                <w:sz w:val="16"/>
                <w:szCs w:val="16"/>
              </w:rPr>
              <w:t>Lift</w:t>
            </w:r>
          </w:p>
        </w:tc>
      </w:tr>
      <w:tr w:rsidR="00BD639A" w:rsidRPr="00BD639A" w:rsidTr="00BD639A">
        <w:trPr>
          <w:trHeight w:val="240"/>
        </w:trPr>
        <w:tc>
          <w:tcPr>
            <w:tcW w:w="3110" w:type="dxa"/>
            <w:tcBorders>
              <w:top w:val="nil"/>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Online Sales</w:t>
            </w:r>
          </w:p>
        </w:tc>
        <w:tc>
          <w:tcPr>
            <w:tcW w:w="1700"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$994</w:t>
            </w:r>
          </w:p>
        </w:tc>
        <w:tc>
          <w:tcPr>
            <w:tcW w:w="1533"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$1,263</w:t>
            </w:r>
          </w:p>
        </w:tc>
        <w:tc>
          <w:tcPr>
            <w:tcW w:w="1772"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27%</w:t>
            </w:r>
          </w:p>
        </w:tc>
      </w:tr>
      <w:tr w:rsidR="00BD639A" w:rsidRPr="00BD639A" w:rsidTr="00BD639A">
        <w:trPr>
          <w:trHeight w:val="240"/>
        </w:trPr>
        <w:tc>
          <w:tcPr>
            <w:tcW w:w="3110" w:type="dxa"/>
            <w:tcBorders>
              <w:top w:val="nil"/>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Offline Sales</w:t>
            </w:r>
          </w:p>
        </w:tc>
        <w:tc>
          <w:tcPr>
            <w:tcW w:w="1700"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$9,905</w:t>
            </w:r>
          </w:p>
        </w:tc>
        <w:tc>
          <w:tcPr>
            <w:tcW w:w="1533"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$11,550</w:t>
            </w:r>
          </w:p>
        </w:tc>
        <w:tc>
          <w:tcPr>
            <w:tcW w:w="1772"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17%</w:t>
            </w:r>
          </w:p>
        </w:tc>
      </w:tr>
    </w:tbl>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 </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Online ad exposures also yield a lift in various important online behaviors, such as brand site visitation and trademark searches. For example, a substantial lift in visitation to the advertiser’s Web sites can be observed in the weeks following an exposure to a display ad, even though click rates are less than 0.1 percent. Specifically, there was a 65 percent increase in lift in the week following the first ad exposure and a 46-percent increase over the four weeks following the first exposure, underscoring the latent branding effect.</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 </w:t>
      </w:r>
    </w:p>
    <w:tbl>
      <w:tblPr>
        <w:tblW w:w="7840" w:type="dxa"/>
        <w:tblInd w:w="93" w:type="dxa"/>
        <w:tblCellMar>
          <w:left w:w="0" w:type="dxa"/>
          <w:right w:w="0" w:type="dxa"/>
        </w:tblCellMar>
        <w:tblLook w:val="04A0" w:firstRow="1" w:lastRow="0" w:firstColumn="1" w:lastColumn="0" w:noHBand="0" w:noVBand="1"/>
      </w:tblPr>
      <w:tblGrid>
        <w:gridCol w:w="3110"/>
        <w:gridCol w:w="1700"/>
        <w:gridCol w:w="1533"/>
        <w:gridCol w:w="1497"/>
      </w:tblGrid>
      <w:tr w:rsidR="00BD639A" w:rsidRPr="00BD639A" w:rsidTr="00BD639A">
        <w:trPr>
          <w:trHeight w:val="240"/>
        </w:trPr>
        <w:tc>
          <w:tcPr>
            <w:tcW w:w="7840" w:type="dxa"/>
            <w:gridSpan w:val="4"/>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b/>
                <w:bCs/>
                <w:color w:val="3A3A3A"/>
                <w:sz w:val="16"/>
                <w:szCs w:val="16"/>
              </w:rPr>
              <w:t>Lift in Advertiser Site Visitation Among Internet Users Exposed to Display Ads</w:t>
            </w:r>
            <w:r>
              <w:rPr>
                <w:rFonts w:ascii="Verdana" w:eastAsia="Times New Roman" w:hAnsi="Verdana" w:cs="Times New Roman"/>
                <w:b/>
                <w:bCs/>
                <w:color w:val="3A3A3A"/>
                <w:sz w:val="16"/>
                <w:szCs w:val="16"/>
              </w:rPr>
              <w:br/>
            </w:r>
            <w:r w:rsidRPr="00BD639A">
              <w:rPr>
                <w:rFonts w:ascii="Verdana" w:eastAsia="Times New Roman" w:hAnsi="Verdana" w:cs="Times New Roman"/>
                <w:b/>
                <w:bCs/>
                <w:color w:val="3A3A3A"/>
                <w:sz w:val="16"/>
                <w:szCs w:val="16"/>
              </w:rPr>
              <w:t>Total U.S. – Home/Work/University Locations</w:t>
            </w:r>
            <w:r>
              <w:rPr>
                <w:rFonts w:ascii="Times New Roman" w:eastAsia="Times New Roman" w:hAnsi="Times New Roman" w:cs="Times New Roman"/>
                <w:color w:val="3A3A3A"/>
                <w:sz w:val="24"/>
                <w:szCs w:val="24"/>
              </w:rPr>
              <w:br/>
            </w:r>
            <w:r w:rsidRPr="00BD639A">
              <w:rPr>
                <w:rFonts w:ascii="Verdana" w:eastAsia="Times New Roman" w:hAnsi="Verdana" w:cs="Times New Roman"/>
                <w:b/>
                <w:bCs/>
                <w:color w:val="3A3A3A"/>
                <w:sz w:val="16"/>
                <w:szCs w:val="16"/>
              </w:rPr>
              <w:t xml:space="preserve">Source: </w:t>
            </w:r>
            <w:proofErr w:type="spellStart"/>
            <w:r w:rsidRPr="00BD639A">
              <w:rPr>
                <w:rFonts w:ascii="Verdana" w:eastAsia="Times New Roman" w:hAnsi="Verdana" w:cs="Times New Roman"/>
                <w:b/>
                <w:bCs/>
                <w:color w:val="3A3A3A"/>
                <w:sz w:val="16"/>
                <w:szCs w:val="16"/>
              </w:rPr>
              <w:t>comScore</w:t>
            </w:r>
            <w:proofErr w:type="spellEnd"/>
            <w:r w:rsidRPr="00BD639A">
              <w:rPr>
                <w:rFonts w:ascii="Verdana" w:eastAsia="Times New Roman" w:hAnsi="Verdana" w:cs="Times New Roman"/>
                <w:b/>
                <w:bCs/>
                <w:color w:val="3A3A3A"/>
                <w:sz w:val="16"/>
                <w:szCs w:val="16"/>
              </w:rPr>
              <w:t xml:space="preserve"> Brand </w:t>
            </w:r>
            <w:proofErr w:type="spellStart"/>
            <w:r w:rsidRPr="00BD639A">
              <w:rPr>
                <w:rFonts w:ascii="Verdana" w:eastAsia="Times New Roman" w:hAnsi="Verdana" w:cs="Times New Roman"/>
                <w:b/>
                <w:bCs/>
                <w:color w:val="3A3A3A"/>
                <w:sz w:val="16"/>
                <w:szCs w:val="16"/>
              </w:rPr>
              <w:t>Metrix</w:t>
            </w:r>
            <w:proofErr w:type="spellEnd"/>
            <w:r w:rsidRPr="00BD639A">
              <w:rPr>
                <w:rFonts w:ascii="Verdana" w:eastAsia="Times New Roman" w:hAnsi="Verdana" w:cs="Times New Roman"/>
                <w:b/>
                <w:bCs/>
                <w:color w:val="3A3A3A"/>
                <w:sz w:val="16"/>
                <w:szCs w:val="16"/>
              </w:rPr>
              <w:t>, Norms Database</w:t>
            </w:r>
          </w:p>
        </w:tc>
      </w:tr>
      <w:tr w:rsidR="00BD639A" w:rsidRPr="00BD639A" w:rsidTr="00BD639A">
        <w:trPr>
          <w:trHeight w:val="240"/>
        </w:trPr>
        <w:tc>
          <w:tcPr>
            <w:tcW w:w="3110" w:type="dxa"/>
            <w:vMerge w:val="restart"/>
            <w:tcBorders>
              <w:top w:val="nil"/>
              <w:left w:val="single" w:sz="4" w:space="0" w:color="auto"/>
              <w:bottom w:val="single" w:sz="4" w:space="0" w:color="000000"/>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 </w:t>
            </w:r>
          </w:p>
        </w:tc>
        <w:tc>
          <w:tcPr>
            <w:tcW w:w="4730" w:type="dxa"/>
            <w:gridSpan w:val="3"/>
            <w:tcBorders>
              <w:top w:val="nil"/>
              <w:left w:val="nil"/>
              <w:bottom w:val="single" w:sz="4" w:space="0" w:color="auto"/>
              <w:right w:val="single" w:sz="4" w:space="0" w:color="000000"/>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center"/>
              <w:rPr>
                <w:rFonts w:ascii="Times New Roman" w:eastAsia="Times New Roman" w:hAnsi="Times New Roman" w:cs="Times New Roman"/>
                <w:color w:val="3A3A3A"/>
                <w:sz w:val="24"/>
                <w:szCs w:val="24"/>
              </w:rPr>
            </w:pPr>
            <w:r w:rsidRPr="00BD639A">
              <w:rPr>
                <w:rFonts w:ascii="Verdana" w:eastAsia="Times New Roman" w:hAnsi="Verdana" w:cs="Times New Roman"/>
                <w:b/>
                <w:bCs/>
                <w:color w:val="3A3A3A"/>
                <w:sz w:val="16"/>
                <w:szCs w:val="16"/>
              </w:rPr>
              <w:t>Advertiser Site Reach</w:t>
            </w:r>
          </w:p>
        </w:tc>
      </w:tr>
      <w:tr w:rsidR="00BD639A" w:rsidRPr="00BD639A" w:rsidTr="00BD639A">
        <w:trPr>
          <w:trHeight w:val="240"/>
        </w:trPr>
        <w:tc>
          <w:tcPr>
            <w:tcW w:w="0" w:type="auto"/>
            <w:vMerge/>
            <w:tcBorders>
              <w:top w:val="nil"/>
              <w:left w:val="single" w:sz="4" w:space="0" w:color="auto"/>
              <w:bottom w:val="single" w:sz="4" w:space="0" w:color="000000"/>
              <w:right w:val="single" w:sz="4" w:space="0" w:color="auto"/>
            </w:tcBorders>
            <w:vAlign w:val="center"/>
            <w:hideMark/>
          </w:tcPr>
          <w:p w:rsidR="00BD639A" w:rsidRPr="00BD639A" w:rsidRDefault="00BD639A" w:rsidP="00BD639A">
            <w:pPr>
              <w:spacing w:after="0" w:line="240" w:lineRule="auto"/>
              <w:rPr>
                <w:rFonts w:ascii="Times New Roman" w:eastAsia="Times New Roman" w:hAnsi="Times New Roman" w:cs="Times New Roman"/>
                <w:color w:val="3A3A3A"/>
                <w:sz w:val="24"/>
                <w:szCs w:val="24"/>
              </w:rPr>
            </w:pPr>
          </w:p>
        </w:tc>
        <w:tc>
          <w:tcPr>
            <w:tcW w:w="1700" w:type="dxa"/>
            <w:tcBorders>
              <w:top w:val="nil"/>
              <w:left w:val="nil"/>
              <w:bottom w:val="single" w:sz="4" w:space="0" w:color="auto"/>
              <w:right w:val="single" w:sz="4" w:space="0" w:color="auto"/>
            </w:tcBorders>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center"/>
              <w:rPr>
                <w:rFonts w:ascii="Times New Roman" w:eastAsia="Times New Roman" w:hAnsi="Times New Roman" w:cs="Times New Roman"/>
                <w:color w:val="3A3A3A"/>
                <w:sz w:val="24"/>
                <w:szCs w:val="24"/>
              </w:rPr>
            </w:pPr>
            <w:r w:rsidRPr="00BD639A">
              <w:rPr>
                <w:rFonts w:ascii="Verdana" w:eastAsia="Times New Roman" w:hAnsi="Verdana" w:cs="Times New Roman"/>
                <w:b/>
                <w:bCs/>
                <w:color w:val="3A3A3A"/>
                <w:sz w:val="16"/>
                <w:szCs w:val="16"/>
              </w:rPr>
              <w:t xml:space="preserve">Control </w:t>
            </w:r>
          </w:p>
        </w:tc>
        <w:tc>
          <w:tcPr>
            <w:tcW w:w="1533" w:type="dxa"/>
            <w:tcBorders>
              <w:top w:val="nil"/>
              <w:left w:val="nil"/>
              <w:bottom w:val="single" w:sz="4" w:space="0" w:color="auto"/>
              <w:right w:val="single" w:sz="4" w:space="0" w:color="auto"/>
            </w:tcBorders>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center"/>
              <w:rPr>
                <w:rFonts w:ascii="Times New Roman" w:eastAsia="Times New Roman" w:hAnsi="Times New Roman" w:cs="Times New Roman"/>
                <w:color w:val="3A3A3A"/>
                <w:sz w:val="24"/>
                <w:szCs w:val="24"/>
              </w:rPr>
            </w:pPr>
            <w:r w:rsidRPr="00BD639A">
              <w:rPr>
                <w:rFonts w:ascii="Verdana" w:eastAsia="Times New Roman" w:hAnsi="Verdana" w:cs="Times New Roman"/>
                <w:b/>
                <w:bCs/>
                <w:color w:val="3A3A3A"/>
                <w:sz w:val="16"/>
                <w:szCs w:val="16"/>
              </w:rPr>
              <w:t>Test</w:t>
            </w:r>
          </w:p>
        </w:tc>
        <w:tc>
          <w:tcPr>
            <w:tcW w:w="1497" w:type="dxa"/>
            <w:tcBorders>
              <w:top w:val="nil"/>
              <w:left w:val="nil"/>
              <w:bottom w:val="single" w:sz="4" w:space="0" w:color="auto"/>
              <w:right w:val="single" w:sz="4" w:space="0" w:color="auto"/>
            </w:tcBorders>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center"/>
              <w:rPr>
                <w:rFonts w:ascii="Times New Roman" w:eastAsia="Times New Roman" w:hAnsi="Times New Roman" w:cs="Times New Roman"/>
                <w:color w:val="3A3A3A"/>
                <w:sz w:val="24"/>
                <w:szCs w:val="24"/>
              </w:rPr>
            </w:pPr>
            <w:r w:rsidRPr="00BD639A">
              <w:rPr>
                <w:rFonts w:ascii="Verdana" w:eastAsia="Times New Roman" w:hAnsi="Verdana" w:cs="Times New Roman"/>
                <w:b/>
                <w:bCs/>
                <w:color w:val="3A3A3A"/>
                <w:sz w:val="16"/>
                <w:szCs w:val="16"/>
              </w:rPr>
              <w:t>Lift</w:t>
            </w:r>
          </w:p>
        </w:tc>
      </w:tr>
      <w:tr w:rsidR="00BD639A" w:rsidRPr="00BD639A" w:rsidTr="00BD639A">
        <w:trPr>
          <w:trHeight w:val="240"/>
        </w:trPr>
        <w:tc>
          <w:tcPr>
            <w:tcW w:w="3110" w:type="dxa"/>
            <w:tcBorders>
              <w:top w:val="nil"/>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Week Following First Ad Exposure</w:t>
            </w:r>
          </w:p>
        </w:tc>
        <w:tc>
          <w:tcPr>
            <w:tcW w:w="1700"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2.1%</w:t>
            </w:r>
          </w:p>
        </w:tc>
        <w:tc>
          <w:tcPr>
            <w:tcW w:w="1533"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3.5%</w:t>
            </w:r>
          </w:p>
        </w:tc>
        <w:tc>
          <w:tcPr>
            <w:tcW w:w="1497"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65%</w:t>
            </w:r>
          </w:p>
        </w:tc>
      </w:tr>
      <w:tr w:rsidR="00BD639A" w:rsidRPr="00BD639A" w:rsidTr="00BD639A">
        <w:trPr>
          <w:trHeight w:val="240"/>
        </w:trPr>
        <w:tc>
          <w:tcPr>
            <w:tcW w:w="3110" w:type="dxa"/>
            <w:tcBorders>
              <w:top w:val="nil"/>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Weeks 1-2 After First Exposure</w:t>
            </w:r>
          </w:p>
        </w:tc>
        <w:tc>
          <w:tcPr>
            <w:tcW w:w="1700"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3.1%</w:t>
            </w:r>
          </w:p>
        </w:tc>
        <w:tc>
          <w:tcPr>
            <w:tcW w:w="1533"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4.8%</w:t>
            </w:r>
          </w:p>
        </w:tc>
        <w:tc>
          <w:tcPr>
            <w:tcW w:w="1497"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54%</w:t>
            </w:r>
          </w:p>
        </w:tc>
      </w:tr>
      <w:tr w:rsidR="00BD639A" w:rsidRPr="00BD639A" w:rsidTr="00BD639A">
        <w:trPr>
          <w:trHeight w:val="240"/>
        </w:trPr>
        <w:tc>
          <w:tcPr>
            <w:tcW w:w="3110" w:type="dxa"/>
            <w:tcBorders>
              <w:top w:val="nil"/>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Weeks 1-3 After First Exposure</w:t>
            </w:r>
          </w:p>
        </w:tc>
        <w:tc>
          <w:tcPr>
            <w:tcW w:w="1700"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3.9%</w:t>
            </w:r>
          </w:p>
        </w:tc>
        <w:tc>
          <w:tcPr>
            <w:tcW w:w="1533"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5.8%</w:t>
            </w:r>
          </w:p>
        </w:tc>
        <w:tc>
          <w:tcPr>
            <w:tcW w:w="1497"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49%</w:t>
            </w:r>
          </w:p>
        </w:tc>
      </w:tr>
      <w:tr w:rsidR="00BD639A" w:rsidRPr="00BD639A" w:rsidTr="00BD639A">
        <w:trPr>
          <w:trHeight w:val="240"/>
        </w:trPr>
        <w:tc>
          <w:tcPr>
            <w:tcW w:w="3110" w:type="dxa"/>
            <w:tcBorders>
              <w:top w:val="nil"/>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Weeks 1-4 After First Exposure</w:t>
            </w:r>
          </w:p>
        </w:tc>
        <w:tc>
          <w:tcPr>
            <w:tcW w:w="1700"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4.5%</w:t>
            </w:r>
          </w:p>
        </w:tc>
        <w:tc>
          <w:tcPr>
            <w:tcW w:w="1533"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6.6%</w:t>
            </w:r>
          </w:p>
        </w:tc>
        <w:tc>
          <w:tcPr>
            <w:tcW w:w="1497"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46%</w:t>
            </w:r>
          </w:p>
        </w:tc>
      </w:tr>
    </w:tbl>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 </w:t>
      </w:r>
    </w:p>
    <w:p w:rsidR="00BD639A" w:rsidRDefault="00BD639A" w:rsidP="00BD639A">
      <w:pPr>
        <w:spacing w:before="100" w:beforeAutospacing="1" w:after="100" w:afterAutospacing="1" w:line="240" w:lineRule="auto"/>
        <w:rPr>
          <w:rFonts w:ascii="Verdana" w:eastAsia="Times New Roman" w:hAnsi="Verdana" w:cs="Times New Roman"/>
          <w:color w:val="3A3A3A"/>
          <w:sz w:val="16"/>
          <w:szCs w:val="16"/>
        </w:rPr>
      </w:pPr>
      <w:r w:rsidRPr="00BD639A">
        <w:rPr>
          <w:rFonts w:ascii="Verdana" w:eastAsia="Times New Roman" w:hAnsi="Verdana" w:cs="Times New Roman"/>
          <w:color w:val="3A3A3A"/>
          <w:sz w:val="16"/>
          <w:szCs w:val="16"/>
        </w:rPr>
        <w:t xml:space="preserve">The </w:t>
      </w:r>
      <w:proofErr w:type="spellStart"/>
      <w:r w:rsidRPr="00BD639A">
        <w:rPr>
          <w:rFonts w:ascii="Verdana" w:eastAsia="Times New Roman" w:hAnsi="Verdana" w:cs="Times New Roman"/>
          <w:color w:val="3A3A3A"/>
          <w:sz w:val="16"/>
          <w:szCs w:val="16"/>
        </w:rPr>
        <w:t>comScore</w:t>
      </w:r>
      <w:proofErr w:type="spellEnd"/>
      <w:r w:rsidRPr="00BD639A">
        <w:rPr>
          <w:rFonts w:ascii="Verdana" w:eastAsia="Times New Roman" w:hAnsi="Verdana" w:cs="Times New Roman"/>
          <w:color w:val="3A3A3A"/>
          <w:sz w:val="16"/>
          <w:szCs w:val="16"/>
        </w:rPr>
        <w:t xml:space="preserve"> norms data also show that online display ads can cause an increase in search queries that involve the advertiser’s trademark brand name. Specifically, the average lift in branded trademark searches for the online advertisers studied was 52 percent in the week following the first ad exposure. The norms data also show a substantial continued impact, with a 38-percent lift in trademark searches in the four weeks following the first ad exposure.</w:t>
      </w:r>
    </w:p>
    <w:p w:rsidR="00BD639A" w:rsidRDefault="00BD639A" w:rsidP="00BD639A">
      <w:pPr>
        <w:spacing w:before="100" w:beforeAutospacing="1" w:after="100" w:afterAutospacing="1" w:line="240" w:lineRule="auto"/>
        <w:rPr>
          <w:rFonts w:ascii="Verdana" w:eastAsia="Times New Roman" w:hAnsi="Verdana" w:cs="Times New Roman"/>
          <w:color w:val="3A3A3A"/>
          <w:sz w:val="16"/>
          <w:szCs w:val="16"/>
        </w:rPr>
      </w:pPr>
    </w:p>
    <w:p w:rsidR="00BD639A" w:rsidRDefault="00BD639A" w:rsidP="00BD639A">
      <w:pPr>
        <w:spacing w:before="100" w:beforeAutospacing="1" w:after="100" w:afterAutospacing="1" w:line="240" w:lineRule="auto"/>
        <w:rPr>
          <w:rFonts w:ascii="Verdana" w:eastAsia="Times New Roman" w:hAnsi="Verdana" w:cs="Times New Roman"/>
          <w:color w:val="3A3A3A"/>
          <w:sz w:val="16"/>
          <w:szCs w:val="16"/>
        </w:rPr>
      </w:pP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 </w:t>
      </w:r>
    </w:p>
    <w:tbl>
      <w:tblPr>
        <w:tblW w:w="7840" w:type="dxa"/>
        <w:tblInd w:w="93" w:type="dxa"/>
        <w:tblCellMar>
          <w:left w:w="0" w:type="dxa"/>
          <w:right w:w="0" w:type="dxa"/>
        </w:tblCellMar>
        <w:tblLook w:val="04A0" w:firstRow="1" w:lastRow="0" w:firstColumn="1" w:lastColumn="0" w:noHBand="0" w:noVBand="1"/>
      </w:tblPr>
      <w:tblGrid>
        <w:gridCol w:w="3110"/>
        <w:gridCol w:w="1700"/>
        <w:gridCol w:w="1533"/>
        <w:gridCol w:w="1497"/>
      </w:tblGrid>
      <w:tr w:rsidR="00BD639A" w:rsidRPr="00BD639A" w:rsidTr="00BD639A">
        <w:trPr>
          <w:trHeight w:val="240"/>
        </w:trPr>
        <w:tc>
          <w:tcPr>
            <w:tcW w:w="7840" w:type="dxa"/>
            <w:gridSpan w:val="4"/>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b/>
                <w:bCs/>
                <w:color w:val="3A3A3A"/>
                <w:sz w:val="16"/>
                <w:szCs w:val="16"/>
              </w:rPr>
              <w:t xml:space="preserve">Lift in Branded Trademark Search Among Internet Users Exposed to Display </w:t>
            </w:r>
            <w:proofErr w:type="spellStart"/>
            <w:r w:rsidRPr="00BD639A">
              <w:rPr>
                <w:rFonts w:ascii="Verdana" w:eastAsia="Times New Roman" w:hAnsi="Verdana" w:cs="Times New Roman"/>
                <w:b/>
                <w:bCs/>
                <w:color w:val="3A3A3A"/>
                <w:sz w:val="16"/>
                <w:szCs w:val="16"/>
              </w:rPr>
              <w:t>AdsTotal</w:t>
            </w:r>
            <w:proofErr w:type="spellEnd"/>
            <w:r w:rsidRPr="00BD639A">
              <w:rPr>
                <w:rFonts w:ascii="Verdana" w:eastAsia="Times New Roman" w:hAnsi="Verdana" w:cs="Times New Roman"/>
                <w:b/>
                <w:bCs/>
                <w:color w:val="3A3A3A"/>
                <w:sz w:val="16"/>
                <w:szCs w:val="16"/>
              </w:rPr>
              <w:t xml:space="preserve"> U.S. – Home/Work/University Locations</w:t>
            </w:r>
            <w:r>
              <w:rPr>
                <w:rFonts w:ascii="Verdana" w:eastAsia="Times New Roman" w:hAnsi="Verdana" w:cs="Times New Roman"/>
                <w:b/>
                <w:bCs/>
                <w:color w:val="3A3A3A"/>
                <w:sz w:val="16"/>
                <w:szCs w:val="16"/>
              </w:rPr>
              <w:br/>
            </w:r>
            <w:r w:rsidRPr="00BD639A">
              <w:rPr>
                <w:rFonts w:ascii="Verdana" w:eastAsia="Times New Roman" w:hAnsi="Verdana" w:cs="Times New Roman"/>
                <w:b/>
                <w:bCs/>
                <w:color w:val="3A3A3A"/>
                <w:sz w:val="16"/>
                <w:szCs w:val="16"/>
              </w:rPr>
              <w:t xml:space="preserve">Source: </w:t>
            </w:r>
            <w:proofErr w:type="spellStart"/>
            <w:r w:rsidRPr="00BD639A">
              <w:rPr>
                <w:rFonts w:ascii="Verdana" w:eastAsia="Times New Roman" w:hAnsi="Verdana" w:cs="Times New Roman"/>
                <w:b/>
                <w:bCs/>
                <w:color w:val="3A3A3A"/>
                <w:sz w:val="16"/>
                <w:szCs w:val="16"/>
              </w:rPr>
              <w:t>comScore</w:t>
            </w:r>
            <w:proofErr w:type="spellEnd"/>
            <w:r w:rsidRPr="00BD639A">
              <w:rPr>
                <w:rFonts w:ascii="Verdana" w:eastAsia="Times New Roman" w:hAnsi="Verdana" w:cs="Times New Roman"/>
                <w:b/>
                <w:bCs/>
                <w:color w:val="3A3A3A"/>
                <w:sz w:val="16"/>
                <w:szCs w:val="16"/>
              </w:rPr>
              <w:t xml:space="preserve"> Brand </w:t>
            </w:r>
            <w:proofErr w:type="spellStart"/>
            <w:r w:rsidRPr="00BD639A">
              <w:rPr>
                <w:rFonts w:ascii="Verdana" w:eastAsia="Times New Roman" w:hAnsi="Verdana" w:cs="Times New Roman"/>
                <w:b/>
                <w:bCs/>
                <w:color w:val="3A3A3A"/>
                <w:sz w:val="16"/>
                <w:szCs w:val="16"/>
              </w:rPr>
              <w:t>Metrix</w:t>
            </w:r>
            <w:proofErr w:type="spellEnd"/>
            <w:r w:rsidRPr="00BD639A">
              <w:rPr>
                <w:rFonts w:ascii="Verdana" w:eastAsia="Times New Roman" w:hAnsi="Verdana" w:cs="Times New Roman"/>
                <w:b/>
                <w:bCs/>
                <w:color w:val="3A3A3A"/>
                <w:sz w:val="16"/>
                <w:szCs w:val="16"/>
              </w:rPr>
              <w:t>, Norms Database</w:t>
            </w:r>
          </w:p>
        </w:tc>
      </w:tr>
      <w:tr w:rsidR="00BD639A" w:rsidRPr="00BD639A" w:rsidTr="00BD639A">
        <w:trPr>
          <w:trHeight w:val="240"/>
        </w:trPr>
        <w:tc>
          <w:tcPr>
            <w:tcW w:w="3110" w:type="dxa"/>
            <w:vMerge w:val="restart"/>
            <w:tcBorders>
              <w:top w:val="nil"/>
              <w:left w:val="single" w:sz="4" w:space="0" w:color="auto"/>
              <w:bottom w:val="single" w:sz="4" w:space="0" w:color="000000"/>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 </w:t>
            </w:r>
          </w:p>
        </w:tc>
        <w:tc>
          <w:tcPr>
            <w:tcW w:w="4730" w:type="dxa"/>
            <w:gridSpan w:val="3"/>
            <w:tcBorders>
              <w:top w:val="nil"/>
              <w:left w:val="nil"/>
              <w:bottom w:val="single" w:sz="4" w:space="0" w:color="auto"/>
              <w:right w:val="single" w:sz="4" w:space="0" w:color="000000"/>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center"/>
              <w:rPr>
                <w:rFonts w:ascii="Times New Roman" w:eastAsia="Times New Roman" w:hAnsi="Times New Roman" w:cs="Times New Roman"/>
                <w:color w:val="3A3A3A"/>
                <w:sz w:val="24"/>
                <w:szCs w:val="24"/>
              </w:rPr>
            </w:pPr>
            <w:r w:rsidRPr="00BD639A">
              <w:rPr>
                <w:rFonts w:ascii="Verdana" w:eastAsia="Times New Roman" w:hAnsi="Verdana" w:cs="Times New Roman"/>
                <w:b/>
                <w:bCs/>
                <w:color w:val="3A3A3A"/>
                <w:sz w:val="16"/>
                <w:szCs w:val="16"/>
              </w:rPr>
              <w:t>Percentage Making a Trademark Search</w:t>
            </w:r>
          </w:p>
        </w:tc>
      </w:tr>
      <w:tr w:rsidR="00BD639A" w:rsidRPr="00BD639A" w:rsidTr="00BD639A">
        <w:trPr>
          <w:trHeight w:val="240"/>
        </w:trPr>
        <w:tc>
          <w:tcPr>
            <w:tcW w:w="0" w:type="auto"/>
            <w:vMerge/>
            <w:tcBorders>
              <w:top w:val="nil"/>
              <w:left w:val="single" w:sz="4" w:space="0" w:color="auto"/>
              <w:bottom w:val="single" w:sz="4" w:space="0" w:color="000000"/>
              <w:right w:val="single" w:sz="4" w:space="0" w:color="auto"/>
            </w:tcBorders>
            <w:vAlign w:val="center"/>
            <w:hideMark/>
          </w:tcPr>
          <w:p w:rsidR="00BD639A" w:rsidRPr="00BD639A" w:rsidRDefault="00BD639A" w:rsidP="00BD639A">
            <w:pPr>
              <w:spacing w:after="0" w:line="240" w:lineRule="auto"/>
              <w:rPr>
                <w:rFonts w:ascii="Times New Roman" w:eastAsia="Times New Roman" w:hAnsi="Times New Roman" w:cs="Times New Roman"/>
                <w:color w:val="3A3A3A"/>
                <w:sz w:val="24"/>
                <w:szCs w:val="24"/>
              </w:rPr>
            </w:pPr>
          </w:p>
        </w:tc>
        <w:tc>
          <w:tcPr>
            <w:tcW w:w="1700" w:type="dxa"/>
            <w:tcBorders>
              <w:top w:val="nil"/>
              <w:left w:val="nil"/>
              <w:bottom w:val="single" w:sz="4" w:space="0" w:color="auto"/>
              <w:right w:val="single" w:sz="4" w:space="0" w:color="auto"/>
            </w:tcBorders>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center"/>
              <w:rPr>
                <w:rFonts w:ascii="Times New Roman" w:eastAsia="Times New Roman" w:hAnsi="Times New Roman" w:cs="Times New Roman"/>
                <w:color w:val="3A3A3A"/>
                <w:sz w:val="24"/>
                <w:szCs w:val="24"/>
              </w:rPr>
            </w:pPr>
            <w:r w:rsidRPr="00BD639A">
              <w:rPr>
                <w:rFonts w:ascii="Verdana" w:eastAsia="Times New Roman" w:hAnsi="Verdana" w:cs="Times New Roman"/>
                <w:b/>
                <w:bCs/>
                <w:color w:val="3A3A3A"/>
                <w:sz w:val="16"/>
                <w:szCs w:val="16"/>
              </w:rPr>
              <w:t xml:space="preserve">Control </w:t>
            </w:r>
          </w:p>
        </w:tc>
        <w:tc>
          <w:tcPr>
            <w:tcW w:w="1533" w:type="dxa"/>
            <w:tcBorders>
              <w:top w:val="nil"/>
              <w:left w:val="nil"/>
              <w:bottom w:val="single" w:sz="4" w:space="0" w:color="auto"/>
              <w:right w:val="single" w:sz="4" w:space="0" w:color="auto"/>
            </w:tcBorders>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center"/>
              <w:rPr>
                <w:rFonts w:ascii="Times New Roman" w:eastAsia="Times New Roman" w:hAnsi="Times New Roman" w:cs="Times New Roman"/>
                <w:color w:val="3A3A3A"/>
                <w:sz w:val="24"/>
                <w:szCs w:val="24"/>
              </w:rPr>
            </w:pPr>
            <w:r w:rsidRPr="00BD639A">
              <w:rPr>
                <w:rFonts w:ascii="Verdana" w:eastAsia="Times New Roman" w:hAnsi="Verdana" w:cs="Times New Roman"/>
                <w:b/>
                <w:bCs/>
                <w:color w:val="3A3A3A"/>
                <w:sz w:val="16"/>
                <w:szCs w:val="16"/>
              </w:rPr>
              <w:t>Test</w:t>
            </w:r>
          </w:p>
        </w:tc>
        <w:tc>
          <w:tcPr>
            <w:tcW w:w="1497" w:type="dxa"/>
            <w:tcBorders>
              <w:top w:val="nil"/>
              <w:left w:val="nil"/>
              <w:bottom w:val="single" w:sz="4" w:space="0" w:color="auto"/>
              <w:right w:val="single" w:sz="4" w:space="0" w:color="auto"/>
            </w:tcBorders>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center"/>
              <w:rPr>
                <w:rFonts w:ascii="Times New Roman" w:eastAsia="Times New Roman" w:hAnsi="Times New Roman" w:cs="Times New Roman"/>
                <w:color w:val="3A3A3A"/>
                <w:sz w:val="24"/>
                <w:szCs w:val="24"/>
              </w:rPr>
            </w:pPr>
            <w:r w:rsidRPr="00BD639A">
              <w:rPr>
                <w:rFonts w:ascii="Verdana" w:eastAsia="Times New Roman" w:hAnsi="Verdana" w:cs="Times New Roman"/>
                <w:b/>
                <w:bCs/>
                <w:color w:val="3A3A3A"/>
                <w:sz w:val="16"/>
                <w:szCs w:val="16"/>
              </w:rPr>
              <w:t>Lift</w:t>
            </w:r>
          </w:p>
        </w:tc>
      </w:tr>
      <w:tr w:rsidR="00BD639A" w:rsidRPr="00BD639A" w:rsidTr="00BD639A">
        <w:trPr>
          <w:trHeight w:val="240"/>
        </w:trPr>
        <w:tc>
          <w:tcPr>
            <w:tcW w:w="3110" w:type="dxa"/>
            <w:tcBorders>
              <w:top w:val="nil"/>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Week Following First Ad Exposure</w:t>
            </w:r>
          </w:p>
        </w:tc>
        <w:tc>
          <w:tcPr>
            <w:tcW w:w="1700"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0.2%</w:t>
            </w:r>
          </w:p>
        </w:tc>
        <w:tc>
          <w:tcPr>
            <w:tcW w:w="1533"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0.3%</w:t>
            </w:r>
          </w:p>
        </w:tc>
        <w:tc>
          <w:tcPr>
            <w:tcW w:w="1497"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52%</w:t>
            </w:r>
          </w:p>
        </w:tc>
      </w:tr>
      <w:tr w:rsidR="00BD639A" w:rsidRPr="00BD639A" w:rsidTr="00BD639A">
        <w:trPr>
          <w:trHeight w:val="240"/>
        </w:trPr>
        <w:tc>
          <w:tcPr>
            <w:tcW w:w="3110" w:type="dxa"/>
            <w:tcBorders>
              <w:top w:val="nil"/>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Weeks 1-2 After First Exposure</w:t>
            </w:r>
          </w:p>
        </w:tc>
        <w:tc>
          <w:tcPr>
            <w:tcW w:w="1700"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0.4%</w:t>
            </w:r>
          </w:p>
        </w:tc>
        <w:tc>
          <w:tcPr>
            <w:tcW w:w="1533"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0.5%</w:t>
            </w:r>
          </w:p>
        </w:tc>
        <w:tc>
          <w:tcPr>
            <w:tcW w:w="1497"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46%</w:t>
            </w:r>
          </w:p>
        </w:tc>
      </w:tr>
      <w:tr w:rsidR="00BD639A" w:rsidRPr="00BD639A" w:rsidTr="00BD639A">
        <w:trPr>
          <w:trHeight w:val="240"/>
        </w:trPr>
        <w:tc>
          <w:tcPr>
            <w:tcW w:w="3110" w:type="dxa"/>
            <w:tcBorders>
              <w:top w:val="nil"/>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lastRenderedPageBreak/>
              <w:t>Weeks 1-3 After First Exposure</w:t>
            </w:r>
          </w:p>
        </w:tc>
        <w:tc>
          <w:tcPr>
            <w:tcW w:w="1700"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0.5%</w:t>
            </w:r>
          </w:p>
        </w:tc>
        <w:tc>
          <w:tcPr>
            <w:tcW w:w="1533"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0.7%</w:t>
            </w:r>
          </w:p>
        </w:tc>
        <w:tc>
          <w:tcPr>
            <w:tcW w:w="1497"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40%</w:t>
            </w:r>
          </w:p>
        </w:tc>
      </w:tr>
      <w:tr w:rsidR="00BD639A" w:rsidRPr="00BD639A" w:rsidTr="00BD639A">
        <w:trPr>
          <w:trHeight w:val="240"/>
        </w:trPr>
        <w:tc>
          <w:tcPr>
            <w:tcW w:w="3110" w:type="dxa"/>
            <w:tcBorders>
              <w:top w:val="nil"/>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Weeks 1-4 After First Exposure</w:t>
            </w:r>
          </w:p>
        </w:tc>
        <w:tc>
          <w:tcPr>
            <w:tcW w:w="1700"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0.6%</w:t>
            </w:r>
          </w:p>
        </w:tc>
        <w:tc>
          <w:tcPr>
            <w:tcW w:w="1533"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0.9%</w:t>
            </w:r>
          </w:p>
        </w:tc>
        <w:tc>
          <w:tcPr>
            <w:tcW w:w="1497"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BD639A" w:rsidRPr="00BD639A" w:rsidRDefault="00BD639A" w:rsidP="00BD639A">
            <w:pPr>
              <w:spacing w:before="100" w:beforeAutospacing="1" w:after="100" w:afterAutospacing="1" w:line="240" w:lineRule="auto"/>
              <w:jc w:val="right"/>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38%</w:t>
            </w:r>
          </w:p>
        </w:tc>
      </w:tr>
    </w:tbl>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 </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 xml:space="preserve">“We switched to </w:t>
      </w:r>
      <w:proofErr w:type="spellStart"/>
      <w:r w:rsidRPr="00BD639A">
        <w:rPr>
          <w:rFonts w:ascii="Verdana" w:eastAsia="Times New Roman" w:hAnsi="Verdana" w:cs="Times New Roman"/>
          <w:color w:val="3A3A3A"/>
          <w:sz w:val="16"/>
          <w:szCs w:val="16"/>
        </w:rPr>
        <w:t>comScore</w:t>
      </w:r>
      <w:proofErr w:type="spellEnd"/>
      <w:r w:rsidRPr="00BD639A">
        <w:rPr>
          <w:rFonts w:ascii="Verdana" w:eastAsia="Times New Roman" w:hAnsi="Verdana" w:cs="Times New Roman"/>
          <w:color w:val="3A3A3A"/>
          <w:sz w:val="16"/>
          <w:szCs w:val="16"/>
        </w:rPr>
        <w:t xml:space="preserve"> Brand </w:t>
      </w:r>
      <w:proofErr w:type="spellStart"/>
      <w:r w:rsidRPr="00BD639A">
        <w:rPr>
          <w:rFonts w:ascii="Verdana" w:eastAsia="Times New Roman" w:hAnsi="Verdana" w:cs="Times New Roman"/>
          <w:color w:val="3A3A3A"/>
          <w:sz w:val="16"/>
          <w:szCs w:val="16"/>
        </w:rPr>
        <w:t>Metrix</w:t>
      </w:r>
      <w:proofErr w:type="spellEnd"/>
      <w:r w:rsidRPr="00BD639A">
        <w:rPr>
          <w:rFonts w:ascii="Verdana" w:eastAsia="Times New Roman" w:hAnsi="Verdana" w:cs="Times New Roman"/>
          <w:color w:val="3A3A3A"/>
          <w:sz w:val="16"/>
          <w:szCs w:val="16"/>
        </w:rPr>
        <w:t xml:space="preserve"> because their method of recruiting test and control groups is more accurate and produces less bias than other methods of recruitment we have seen,” said Christine Peterson, VP, Digital Media Director, Carat. “We know we can expect unique and actionable insights from each study.”</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 </w:t>
      </w:r>
    </w:p>
    <w:p w:rsidR="00BD639A" w:rsidRPr="00BD639A" w:rsidRDefault="00BD639A" w:rsidP="00BD639A">
      <w:pPr>
        <w:spacing w:before="100" w:beforeAutospacing="1" w:after="100" w:afterAutospacing="1" w:line="240" w:lineRule="auto"/>
        <w:rPr>
          <w:rFonts w:ascii="Times New Roman" w:eastAsia="Times New Roman" w:hAnsi="Times New Roman" w:cs="Times New Roman"/>
          <w:color w:val="3A3A3A"/>
          <w:sz w:val="24"/>
          <w:szCs w:val="24"/>
        </w:rPr>
      </w:pPr>
      <w:r w:rsidRPr="00BD639A">
        <w:rPr>
          <w:rFonts w:ascii="Verdana" w:eastAsia="Times New Roman" w:hAnsi="Verdana" w:cs="Times New Roman"/>
          <w:color w:val="3A3A3A"/>
          <w:sz w:val="16"/>
          <w:szCs w:val="16"/>
        </w:rPr>
        <w:t>“</w:t>
      </w:r>
      <w:proofErr w:type="spellStart"/>
      <w:proofErr w:type="gramStart"/>
      <w:r w:rsidRPr="00BD639A">
        <w:rPr>
          <w:rFonts w:ascii="Verdana" w:eastAsia="Times New Roman" w:hAnsi="Verdana" w:cs="Times New Roman"/>
          <w:color w:val="3A3A3A"/>
          <w:sz w:val="16"/>
          <w:szCs w:val="16"/>
        </w:rPr>
        <w:t>comScore</w:t>
      </w:r>
      <w:proofErr w:type="spellEnd"/>
      <w:proofErr w:type="gramEnd"/>
      <w:r w:rsidRPr="00BD639A">
        <w:rPr>
          <w:rFonts w:ascii="Verdana" w:eastAsia="Times New Roman" w:hAnsi="Verdana" w:cs="Times New Roman"/>
          <w:color w:val="3A3A3A"/>
          <w:sz w:val="16"/>
          <w:szCs w:val="16"/>
        </w:rPr>
        <w:t xml:space="preserve"> has helped us bring our clients a new level of campaign measurement utilizing both cross-media methodologies and behavioral data analysis,” said Kelli Robertson, Group Planning Director, AKQA.</w:t>
      </w:r>
    </w:p>
    <w:p w:rsidR="007B5E3B" w:rsidRDefault="007B5E3B"/>
    <w:sectPr w:rsidR="007B5E3B" w:rsidSect="007B5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39A"/>
    <w:rsid w:val="00270196"/>
    <w:rsid w:val="007B5E3B"/>
    <w:rsid w:val="00BD639A"/>
    <w:rsid w:val="00FF4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303828">
      <w:bodyDiv w:val="1"/>
      <w:marLeft w:val="0"/>
      <w:marRight w:val="0"/>
      <w:marTop w:val="60"/>
      <w:marBottom w:val="60"/>
      <w:divBdr>
        <w:top w:val="none" w:sz="0" w:space="0" w:color="auto"/>
        <w:left w:val="none" w:sz="0" w:space="0" w:color="auto"/>
        <w:bottom w:val="none" w:sz="0" w:space="0" w:color="auto"/>
        <w:right w:val="none" w:sz="0" w:space="0" w:color="auto"/>
      </w:divBdr>
      <w:divsChild>
        <w:div w:id="209920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Levine, Bill</dc:creator>
  <cp:lastModifiedBy>Bill Levine</cp:lastModifiedBy>
  <cp:revision>2</cp:revision>
  <dcterms:created xsi:type="dcterms:W3CDTF">2013-08-17T15:13:00Z</dcterms:created>
  <dcterms:modified xsi:type="dcterms:W3CDTF">2013-08-17T15:13:00Z</dcterms:modified>
</cp:coreProperties>
</file>