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Pensamento Computacional: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Blikstein (2008) afirma que o pensamento computacional é manusear o computador de forma criativa e eficaz para solucionar problemas.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Então, essa forma de pensar é uma competência que está baseada na resolução de problemas de forma criativa e está fundamentada em quatro pilares: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• decomposição;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• reconhecimento de padrões;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• abstração;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• pensamento algorítmico ou simplesmente algoritmo.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Decomposição e padrões: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• A decomposição é a divisão do problema em porções menores para facilitar a sua resolução.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• Já o reconhecimento de padrões é o conjunto de fatos que apontam um problema.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Abstração e pensamento algorítmico: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abstração consiste em pensar no problema de maneira genérica, ignorando detalhes que não são importantes para a sua resolução.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• Já o pensamento algorítmico está na sequência de passos para resolver o problema.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 desenvolvimento do pensamento computacional possui alguns benefícios, como: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• a resolução de problemas;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• o estímulo à criatividade e à autonomia;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• o incentivo ao conhecimento interdisciplinar.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Imagine que você precisa estudar para uma avaliação. Primeiro, vamos decompor o problema. Se é necessário estudar para uma prova, você pode construir um cronograma de estudo, estudar todos os assuntos da prova e resolver exercícios para praticar o assunto.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Depois, com a rotina de estudos estabelecida, você vai conseguir reconhecer padrões nos assuntos e nos exercícios. Isso permite que você abstraia os elementos que não têm relevância para a prova.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Depois dessas etapas, é possível montar uma sequência de passos para ser bem sucedido na prova, ou seja, executar um algoritmo para resolver o problema.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Assim, é possível concluir que os pilares do pensamento computacional podem ajudar na compreensão de problemas diversos a fim de encontrar soluções de forma mais rápida.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