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PUBHBIO</w:t>
      </w:r>
      <w:r>
        <w:t xml:space="preserve"> </w:t>
      </w:r>
      <w:r>
        <w:t xml:space="preserve">7230</w:t>
      </w:r>
      <w:r>
        <w:t xml:space="preserve"> </w:t>
      </w:r>
      <w:r>
        <w:t xml:space="preserve">–</w:t>
      </w:r>
      <w:r>
        <w:t xml:space="preserve"> </w:t>
      </w:r>
      <w:r>
        <w:t xml:space="preserve">Lab</w:t>
      </w:r>
      <w:r>
        <w:t xml:space="preserve"> </w:t>
      </w:r>
      <w:r>
        <w:t xml:space="preserve">Activity</w:t>
      </w:r>
      <w:r>
        <w:t xml:space="preserve"> </w:t>
      </w:r>
      <w:r>
        <w:t xml:space="preserve">#11</w:t>
      </w:r>
    </w:p>
    <w:p>
      <w:pPr>
        <w:pStyle w:val="FirstParagraph"/>
      </w:pPr>
      <w:r>
        <w:t xml:space="preserve">A simulated dataset,</w:t>
      </w:r>
      <w:r>
        <w:t xml:space="preserve"> </w:t>
      </w:r>
      <w:r>
        <w:rPr>
          <w:rStyle w:val="VerbatimChar"/>
        </w:rPr>
        <w:t xml:space="preserve">labdata11</w:t>
      </w:r>
      <w:r>
        <w:t xml:space="preserve">, is available on Carmen. In these data, outcome variable</w:t>
      </w:r>
      <w:r>
        <w:t xml:space="preserve"> </w:t>
      </w:r>
      <m:oMath>
        <m:r>
          <m:t>Y</m:t>
        </m:r>
      </m:oMath>
      <w:r>
        <w:t xml:space="preserve"> </w:t>
      </w:r>
      <w:r>
        <w:t xml:space="preserve">was simulated from the following model:</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sub>
                </m:sSub>
              </m:e>
              <m:e>
                <m:r>
                  <m:rPr>
                    <m:sty m:val="p"/>
                  </m:rPr>
                  <m:t>=</m:t>
                </m:r>
                <m:sSub>
                  <m:e>
                    <m:r>
                      <m:t>β</m:t>
                    </m:r>
                  </m:e>
                  <m:sub>
                    <m:r>
                      <m:t>0</m:t>
                    </m:r>
                  </m:sub>
                </m:sSub>
                <m:r>
                  <m:rPr>
                    <m:sty m:val="p"/>
                  </m:rPr>
                  <m:t>+</m:t>
                </m:r>
                <m:sSub>
                  <m:e>
                    <m:r>
                      <m:t>β</m:t>
                    </m:r>
                  </m:e>
                  <m:sub>
                    <m:r>
                      <m:t>1</m:t>
                    </m:r>
                  </m:sub>
                </m:sSub>
                <m:d>
                  <m:dPr>
                    <m:begChr m:val="("/>
                    <m:endChr m:val=")"/>
                    <m:sepChr m:val=""/>
                    <m:grow/>
                  </m:dPr>
                  <m:e>
                    <m:sSub>
                      <m:e>
                        <m:r>
                          <m:rPr>
                            <m:nor/>
                            <m:sty m:val="p"/>
                          </m:rPr>
                          <m:t>grp</m:t>
                        </m:r>
                      </m:e>
                      <m:sub>
                        <m:r>
                          <m:t>i</m:t>
                        </m:r>
                      </m:sub>
                    </m:sSub>
                  </m:e>
                </m:d>
                <m:r>
                  <m:rPr>
                    <m:sty m:val="p"/>
                  </m:rPr>
                  <m:t>+</m:t>
                </m:r>
                <m:sSub>
                  <m:e>
                    <m:r>
                      <m:t>β</m:t>
                    </m:r>
                  </m:e>
                  <m:sub>
                    <m:r>
                      <m:t>2</m:t>
                    </m:r>
                  </m:sub>
                </m:sSub>
                <m:d>
                  <m:dPr>
                    <m:begChr m:val="("/>
                    <m:endChr m:val=")"/>
                    <m:sepChr m:val=""/>
                    <m:grow/>
                  </m:dPr>
                  <m:e>
                    <m:sSub>
                      <m:e>
                        <m:r>
                          <m:rPr>
                            <m:nor/>
                            <m:sty m:val="p"/>
                          </m:rPr>
                          <m:t>time</m:t>
                        </m:r>
                      </m:e>
                      <m:sub>
                        <m:r>
                          <m:t>i</m:t>
                        </m:r>
                      </m:sub>
                    </m:sSub>
                  </m:e>
                </m:d>
                <m:r>
                  <m:rPr>
                    <m:sty m:val="p"/>
                  </m:rPr>
                  <m:t>+</m:t>
                </m:r>
                <m:sSub>
                  <m:e>
                    <m:r>
                      <m:t>β</m:t>
                    </m:r>
                  </m:e>
                  <m:sub>
                    <m:r>
                      <m:t>3</m:t>
                    </m:r>
                  </m:sub>
                </m:sSub>
                <m:d>
                  <m:dPr>
                    <m:begChr m:val="("/>
                    <m:endChr m:val=")"/>
                    <m:sepChr m:val=""/>
                    <m:grow/>
                  </m:dPr>
                  <m:e>
                    <m:sSub>
                      <m:e>
                        <m:r>
                          <m:rPr>
                            <m:nor/>
                            <m:sty m:val="p"/>
                          </m:rPr>
                          <m:t>time</m:t>
                        </m:r>
                      </m:e>
                      <m:sub>
                        <m:r>
                          <m:t>i</m:t>
                        </m:r>
                      </m:sub>
                    </m:sSub>
                    <m:r>
                      <m:rPr>
                        <m:sty m:val="p"/>
                      </m:rPr>
                      <m:t>×</m:t>
                    </m:r>
                    <m:sSub>
                      <m:e>
                        <m:r>
                          <m:rPr>
                            <m:nor/>
                            <m:sty m:val="p"/>
                          </m:rPr>
                          <m:t>grp</m:t>
                        </m:r>
                      </m:e>
                      <m:sub>
                        <m:r>
                          <m:t>i</m:t>
                        </m:r>
                      </m:sub>
                    </m:sSub>
                  </m:e>
                </m:d>
              </m:e>
            </m:mr>
            <m:mr>
              <m:e/>
              <m:e>
                <m:r>
                  <m:t> </m:t>
                </m:r>
                <m:r>
                  <m:rPr>
                    <m:sty m:val="p"/>
                  </m:rPr>
                  <m:t>+</m:t>
                </m:r>
                <m:sSub>
                  <m:e>
                    <m:r>
                      <m:t>b</m:t>
                    </m:r>
                  </m:e>
                  <m:sub>
                    <m:r>
                      <m:t>0</m:t>
                    </m:r>
                    <m:r>
                      <m:t>i</m:t>
                    </m:r>
                  </m:sub>
                </m:sSub>
                <m:r>
                  <m:rPr>
                    <m:sty m:val="p"/>
                  </m:rPr>
                  <m:t>+</m:t>
                </m:r>
                <m:sSub>
                  <m:e>
                    <m:r>
                      <m:t>b</m:t>
                    </m:r>
                  </m:e>
                  <m:sub>
                    <m:r>
                      <m:t>1</m:t>
                    </m:r>
                    <m:r>
                      <m:t>i</m:t>
                    </m:r>
                  </m:sub>
                </m:sSub>
                <m:d>
                  <m:dPr>
                    <m:begChr m:val="("/>
                    <m:endChr m:val=")"/>
                    <m:sepChr m:val=""/>
                    <m:grow/>
                  </m:dPr>
                  <m:e>
                    <m:sSub>
                      <m:e>
                        <m:r>
                          <m:rPr>
                            <m:nor/>
                            <m:sty m:val="p"/>
                          </m:rPr>
                          <m:t>time</m:t>
                        </m:r>
                      </m:e>
                      <m:sub>
                        <m:r>
                          <m:t>i</m:t>
                        </m:r>
                      </m:sub>
                    </m:sSub>
                  </m:e>
                </m:d>
                <m:r>
                  <m:rPr>
                    <m:sty m:val="p"/>
                  </m:rPr>
                  <m:t>+</m:t>
                </m:r>
                <m:sSub>
                  <m:e>
                    <m:r>
                      <m:t>ε</m:t>
                    </m:r>
                  </m:e>
                  <m:sub>
                    <m:r>
                      <m:t>i</m:t>
                    </m:r>
                  </m:sub>
                </m:sSub>
                <m:r>
                  <m:rPr>
                    <m:sty m:val="p"/>
                  </m:rPr>
                  <m:t>,</m:t>
                </m:r>
              </m:e>
            </m:mr>
          </m:m>
        </m:oMath>
      </m:oMathPara>
    </w:p>
    <w:p>
      <w:pPr>
        <w:pStyle w:val="FirstParagraph"/>
      </w:pPr>
      <w:r>
        <w:t xml:space="preserve">with the</w:t>
      </w:r>
      <w:r>
        <w:t xml:space="preserve"> </w:t>
      </w:r>
      <m:oMath>
        <m:sSub>
          <m:e>
            <m:r>
              <m:t>b</m:t>
            </m:r>
          </m:e>
          <m:sub>
            <m:r>
              <m:t>0</m:t>
            </m:r>
            <m:r>
              <m:t>i</m:t>
            </m:r>
          </m:sub>
        </m:sSub>
      </m:oMath>
      <w:r>
        <w:t xml:space="preserve"> </w:t>
      </w:r>
      <w:r>
        <w:t xml:space="preserve">and</w:t>
      </w:r>
      <w:r>
        <w:t xml:space="preserve"> </w:t>
      </w:r>
      <m:oMath>
        <m:sSub>
          <m:e>
            <m:r>
              <m:t>b</m:t>
            </m:r>
          </m:e>
          <m:sub>
            <m:r>
              <m:t>1</m:t>
            </m:r>
            <m:r>
              <m:t>i</m:t>
            </m:r>
          </m:sub>
        </m:sSub>
      </m:oMath>
      <w:r>
        <w:t xml:space="preserve"> </w:t>
      </w:r>
      <w:r>
        <w:t xml:space="preserve">multivariate normal with variances</w:t>
      </w:r>
      <w:r>
        <w:t xml:space="preserve"> </w:t>
      </w:r>
      <m:oMath>
        <m:sSubSup>
          <m:e>
            <m:r>
              <m:t>σ</m:t>
            </m:r>
          </m:e>
          <m:sub>
            <m:r>
              <m:t>b</m:t>
            </m:r>
            <m:r>
              <m:t>0</m:t>
            </m:r>
          </m:sub>
          <m:sup>
            <m:r>
              <m:t>2</m:t>
            </m:r>
          </m:sup>
        </m:sSubSup>
      </m:oMath>
      <w:r>
        <w:t xml:space="preserve"> </w:t>
      </w:r>
      <w:r>
        <w:t xml:space="preserve">and</w:t>
      </w:r>
      <w:r>
        <w:t xml:space="preserve"> </w:t>
      </w:r>
      <m:oMath>
        <m:sSubSup>
          <m:e>
            <m:r>
              <m:t>σ</m:t>
            </m:r>
          </m:e>
          <m:sub>
            <m:r>
              <m:t>b</m:t>
            </m:r>
            <m:r>
              <m:t>1</m:t>
            </m:r>
          </m:sub>
          <m:sup>
            <m:r>
              <m:t>2</m:t>
            </m:r>
          </m:sup>
        </m:sSubSup>
      </m:oMath>
      <w:r>
        <w:t xml:space="preserve">, respectively and correlation</w:t>
      </w:r>
      <w:r>
        <w:t xml:space="preserve"> </w:t>
      </w:r>
      <m:oMath>
        <m:r>
          <m:t>τ</m:t>
        </m:r>
      </m:oMath>
      <w:r>
        <w:t xml:space="preserve">, and the error terms have variance</w:t>
      </w:r>
      <w:r>
        <w:t xml:space="preserve"> </w:t>
      </w:r>
      <m:oMath>
        <m:sSubSup>
          <m:e>
            <m:r>
              <m:t>σ</m:t>
            </m:r>
          </m:e>
          <m:sub>
            <m:r>
              <m:t>e</m:t>
            </m:r>
          </m:sub>
          <m:sup>
            <m:r>
              <m:t>2</m:t>
            </m:r>
          </m:sup>
        </m:sSubSup>
      </m:oMath>
      <w:r>
        <w:t xml:space="preserve">.</w:t>
      </w:r>
    </w:p>
    <w:bookmarkStart w:id="21" w:name="complete-data-analysis"/>
    <w:p>
      <w:pPr>
        <w:pStyle w:val="Heading2"/>
      </w:pPr>
      <w:r>
        <w:t xml:space="preserve">Complete data analysis</w:t>
      </w:r>
    </w:p>
    <w:bookmarkStart w:id="20" w:name="q1."/>
    <w:p>
      <w:pPr>
        <w:pStyle w:val="Heading3"/>
      </w:pPr>
      <w:r>
        <w:t xml:space="preserve">Q1.</w:t>
      </w:r>
    </w:p>
    <w:p>
      <w:pPr>
        <w:pStyle w:val="FirstParagraph"/>
      </w:pPr>
      <w:r>
        <w:t xml:space="preserve">Fit the following models and fill in the appropriate row of the table below with the estimates and standard errors for the fixed model parameters.</w:t>
      </w:r>
    </w:p>
    <w:p>
      <w:pPr>
        <w:pStyle w:val="Compact"/>
        <w:numPr>
          <w:ilvl w:val="0"/>
          <w:numId w:val="1001"/>
        </w:numPr>
      </w:pPr>
      <w:r>
        <w:t xml:space="preserve">full LMM using outcome data</w:t>
      </w:r>
      <w:r>
        <w:t xml:space="preserve"> </w:t>
      </w:r>
      <m:oMath>
        <m:r>
          <m:t>Y</m:t>
        </m:r>
      </m:oMath>
      <w:r>
        <w:t xml:space="preserve"> </w:t>
      </w:r>
      <w:r>
        <w:t xml:space="preserve">and include all fixed and random effects from the true model (above);</w:t>
      </w:r>
    </w:p>
    <w:p>
      <w:pPr>
        <w:pStyle w:val="Compact"/>
        <w:numPr>
          <w:ilvl w:val="0"/>
          <w:numId w:val="1001"/>
        </w:numPr>
      </w:pPr>
      <w:r>
        <w:t xml:space="preserve">GEE with working independence and robust standard errors that has all the same covariate effects.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Intercept</w:t>
            </w:r>
          </w:p>
        </w:tc>
        <w:tc>
          <w:tcPr/>
          <w:p>
            <w:pPr>
              <w:pStyle w:val="Compact"/>
              <w:jc w:val="left"/>
            </w:pPr>
            <w:r>
              <w:t xml:space="preserve">Group</w:t>
            </w:r>
          </w:p>
        </w:tc>
        <w:tc>
          <w:tcPr/>
          <w:p>
            <w:pPr>
              <w:pStyle w:val="Compact"/>
              <w:jc w:val="left"/>
            </w:pPr>
            <w:r>
              <w:t xml:space="preserve">Time</w:t>
            </w:r>
          </w:p>
        </w:tc>
        <w:tc>
          <w:tcPr/>
          <w:p>
            <w:pPr>
              <w:pStyle w:val="Compact"/>
              <w:jc w:val="left"/>
            </w:pPr>
            <w:r>
              <w:t xml:space="preserve">Group × Time</w:t>
            </w:r>
          </w:p>
        </w:tc>
      </w:tr>
      <w:tr>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bl>
    <w:bookmarkEnd w:id="20"/>
    <w:bookmarkEnd w:id="21"/>
    <w:bookmarkStart w:id="26" w:name="missing-data-analysis"/>
    <w:p>
      <w:pPr>
        <w:pStyle w:val="Heading2"/>
      </w:pPr>
      <w:r>
        <w:t xml:space="preserve">Missing data analysis</w:t>
      </w:r>
    </w:p>
    <w:bookmarkStart w:id="22" w:name="q2."/>
    <w:p>
      <w:pPr>
        <w:pStyle w:val="Heading3"/>
      </w:pPr>
      <w:r>
        <w:t xml:space="preserve">Q2.</w:t>
      </w:r>
    </w:p>
    <w:p>
      <w:pPr>
        <w:pStyle w:val="FirstParagraph"/>
      </w:pPr>
      <w:r>
        <w:t xml:space="preserve">We will now compare the estimates from fitting a mixed model and GEE under different missing data mechanisms. Data were dropped from the full dataset using a variety of different missing mechanisms, MCAR, MAR (based on baseline and 1 observation), and MNAR (based on the value at last observation time). For each mechanism and its respective outcome, report the percent missing observations at each time point and the overall percent of data that is missing.</w:t>
      </w:r>
    </w:p>
    <w:tbl>
      <w:tblPr>
        <w:tblStyle w:val="Table"/>
        <w:tblW w:type="pct" w:w="5000"/>
        <w:tblLayout w:type="fixed"/>
        <w:tblLook w:firstRow="1" w:lastRow="0" w:firstColumn="0" w:lastColumn="0" w:noHBand="0" w:noVBand="0" w:val="0020"/>
      </w:tblPr>
      <w:tblGrid>
        <w:gridCol w:w="990"/>
        <w:gridCol w:w="1100"/>
        <w:gridCol w:w="1320"/>
        <w:gridCol w:w="1100"/>
        <w:gridCol w:w="1320"/>
        <w:gridCol w:w="1100"/>
        <w:gridCol w:w="990"/>
      </w:tblGrid>
      <w:tr>
        <w:trPr>
          <w:tblHeader w:val="on"/>
        </w:trPr>
        <w:tc>
          <w:tcPr/>
          <w:p>
            <w:pPr>
              <w:pStyle w:val="Compact"/>
              <w:jc w:val="left"/>
            </w:pPr>
            <w:r>
              <w:t xml:space="preserve">Outcome</w:t>
            </w:r>
          </w:p>
        </w:tc>
        <w:tc>
          <w:tcPr/>
          <w:p>
            <w:pPr>
              <w:pStyle w:val="Compact"/>
              <w:jc w:val="center"/>
            </w:pPr>
            <w:r>
              <w:t xml:space="preserve">Time (0)</w:t>
            </w:r>
          </w:p>
        </w:tc>
        <w:tc>
          <w:tcPr/>
          <w:p>
            <w:pPr>
              <w:pStyle w:val="Compact"/>
              <w:jc w:val="center"/>
            </w:pPr>
            <w:r>
              <w:t xml:space="preserve">Time (0.5)</w:t>
            </w:r>
          </w:p>
        </w:tc>
        <w:tc>
          <w:tcPr/>
          <w:p>
            <w:pPr>
              <w:pStyle w:val="Compact"/>
              <w:jc w:val="center"/>
            </w:pPr>
            <w:r>
              <w:t xml:space="preserve">Time (1)</w:t>
            </w:r>
          </w:p>
        </w:tc>
        <w:tc>
          <w:tcPr/>
          <w:p>
            <w:pPr>
              <w:pStyle w:val="Compact"/>
              <w:jc w:val="center"/>
            </w:pPr>
            <w:r>
              <w:t xml:space="preserve">Time (1.5)</w:t>
            </w:r>
          </w:p>
        </w:tc>
        <w:tc>
          <w:tcPr/>
          <w:p>
            <w:pPr>
              <w:pStyle w:val="Compact"/>
              <w:jc w:val="center"/>
            </w:pPr>
            <w:r>
              <w:t xml:space="preserve">Time (2)</w:t>
            </w:r>
          </w:p>
        </w:tc>
        <w:tc>
          <w:tcPr/>
          <w:p>
            <w:pPr>
              <w:pStyle w:val="Compact"/>
              <w:jc w:val="center"/>
            </w:pPr>
            <w:r>
              <w:t xml:space="preserve">Overall</w:t>
            </w:r>
          </w:p>
        </w:tc>
      </w:tr>
      <w:tr>
        <w:tc>
          <w:tcPr/>
          <w:p>
            <w:pPr>
              <w:pStyle w:val="Compact"/>
              <w:jc w:val="left"/>
            </w:pPr>
            <w:r>
              <w:t xml:space="preserve">ymcar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ymnar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2"/>
    <w:bookmarkStart w:id="23" w:name="q3."/>
    <w:p>
      <w:pPr>
        <w:pStyle w:val="Heading3"/>
      </w:pPr>
      <w:r>
        <w:t xml:space="preserve">Q3.</w:t>
      </w:r>
    </w:p>
    <w:p>
      <w:pPr>
        <w:pStyle w:val="FirstParagraph"/>
      </w:pPr>
      <w:r>
        <w:t xml:space="preserve">For each model/missing mechanism combination, fit the appropriate model and report the point estimates and standard errors. For GEE, use working independence.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Outcome</w:t>
            </w:r>
          </w:p>
        </w:tc>
        <w:tc>
          <w:tcPr/>
          <w:p>
            <w:pPr>
              <w:pStyle w:val="Compact"/>
              <w:jc w:val="left"/>
            </w:pPr>
            <w:r>
              <w:t xml:space="preserve">Model</w:t>
            </w:r>
          </w:p>
        </w:tc>
        <w:tc>
          <w:tcPr/>
          <w:p>
            <w:pPr>
              <w:pStyle w:val="Compact"/>
              <w:jc w:val="left"/>
            </w:pPr>
            <w:r>
              <w:t xml:space="preserve">Intercept</w:t>
            </w:r>
          </w:p>
        </w:tc>
        <w:tc>
          <w:tcPr/>
          <w:p>
            <w:pPr>
              <w:pStyle w:val="Compact"/>
              <w:jc w:val="left"/>
            </w:pPr>
            <w:r>
              <w:t xml:space="preserve">Group</w:t>
            </w:r>
          </w:p>
        </w:tc>
        <w:tc>
          <w:tcPr/>
          <w:p>
            <w:pPr>
              <w:pStyle w:val="Compact"/>
              <w:jc w:val="left"/>
            </w:pPr>
            <w:r>
              <w:t xml:space="preserve">Time</w:t>
            </w:r>
          </w:p>
        </w:tc>
        <w:tc>
          <w:tcPr/>
          <w:p>
            <w:pPr>
              <w:pStyle w:val="Compact"/>
              <w:jc w:val="left"/>
            </w:pPr>
            <w:r>
              <w:t xml:space="preserve">Group × Time</w:t>
            </w:r>
          </w:p>
        </w:tc>
      </w:tr>
      <w:tr>
        <w:tc>
          <w:tcPr/>
          <w:p>
            <w:pPr>
              <w:pStyle w:val="Compact"/>
              <w:jc w:val="left"/>
            </w:pPr>
            <w:r>
              <w:t xml:space="preserve">ymcar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ymcar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ymnar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ymnar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bl>
    <w:bookmarkEnd w:id="23"/>
    <w:bookmarkStart w:id="24" w:name="q4."/>
    <w:p>
      <w:pPr>
        <w:pStyle w:val="Heading3"/>
      </w:pPr>
      <w:r>
        <w:t xml:space="preserve">Q4.</w:t>
      </w:r>
    </w:p>
    <w:p>
      <w:pPr>
        <w:pStyle w:val="FirstParagraph"/>
      </w:pPr>
      <w:r>
        <w:t xml:space="preserve">How do your estimates compare to the results using the full data?</w:t>
      </w:r>
    </w:p>
    <w:bookmarkEnd w:id="24"/>
    <w:bookmarkStart w:id="25" w:name="q5."/>
    <w:p>
      <w:pPr>
        <w:pStyle w:val="Heading3"/>
      </w:pPr>
      <w:r>
        <w:t xml:space="preserve">Q5.</w:t>
      </w:r>
    </w:p>
    <w:p>
      <w:pPr>
        <w:pStyle w:val="FirstParagraph"/>
      </w:pPr>
      <w:r>
        <w:t xml:space="preserve">How do the standard errors compare to the results using the full data?</w:t>
      </w:r>
    </w:p>
    <w:bookmarkEnd w:id="25"/>
    <w:bookmarkEnd w:id="26"/>
    <w:bookmarkStart w:id="30" w:name="missing-data-simple-imputation"/>
    <w:p>
      <w:pPr>
        <w:pStyle w:val="Heading2"/>
      </w:pPr>
      <w:r>
        <w:t xml:space="preserve">Missing data simple imputation</w:t>
      </w:r>
    </w:p>
    <w:p>
      <w:pPr>
        <w:pStyle w:val="FirstParagraph"/>
      </w:pPr>
      <w:r>
        <w:t xml:space="preserve">One frequently used approach for handling missing data due to dropout (or lost to follow up) is to replace the missing observations with the last observed value of the outcome – called Last Observation Carried Forward (LOCF) or Last Value Carried Forward (LVCF).</w:t>
      </w:r>
    </w:p>
    <w:p>
      <w:pPr>
        <w:pStyle w:val="BodyText"/>
      </w:pPr>
      <w:r>
        <w:t xml:space="preserve">Implement this approach for the YMCAR outcome, the YMAR outcome, and the YMNAR outcome.</w:t>
      </w:r>
    </w:p>
    <w:p>
      <w:pPr>
        <w:pStyle w:val="BodyText"/>
      </w:pPr>
      <w:r>
        <w:rPr>
          <w:b/>
          <w:bCs/>
        </w:rPr>
        <w:t xml:space="preserve">Hint</w:t>
      </w:r>
      <w:r>
        <w:t xml:space="preserve">: you will likely want to reshape the data.</w:t>
      </w:r>
    </w:p>
    <w:p>
      <w:pPr>
        <w:pStyle w:val="BodyText"/>
      </w:pPr>
      <w:r>
        <w:rPr>
          <w:b/>
          <w:bCs/>
        </w:rPr>
        <w:t xml:space="preserve">Hint - Stata users</w:t>
      </w:r>
      <w:r>
        <w:t xml:space="preserve">: creating an auxiliary variable with integer values for time can help with reshaping (e.g., time*2).</w:t>
      </w:r>
    </w:p>
    <w:bookmarkStart w:id="27" w:name="q6."/>
    <w:p>
      <w:pPr>
        <w:pStyle w:val="Heading3"/>
      </w:pPr>
      <w:r>
        <w:t xml:space="preserve">Q6.</w:t>
      </w:r>
    </w:p>
    <w:p>
      <w:pPr>
        <w:pStyle w:val="FirstParagraph"/>
      </w:pPr>
      <w:r>
        <w:t xml:space="preserve">For each model/missing mechanism combination, fit the appropriate model and report the point estimates and standard errors using the LOCF</w:t>
      </w:r>
      <w:r>
        <w:t xml:space="preserve"> </w:t>
      </w:r>
      <w:r>
        <w:t xml:space="preserve">“</w:t>
      </w:r>
      <w:r>
        <w:t xml:space="preserve">adjusted</w:t>
      </w:r>
      <w:r>
        <w:t xml:space="preserve">”</w:t>
      </w:r>
      <w:r>
        <w:t xml:space="preserve"> </w:t>
      </w:r>
      <w:r>
        <w:t xml:space="preserve">values.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Outcome</w:t>
            </w:r>
          </w:p>
        </w:tc>
        <w:tc>
          <w:tcPr/>
          <w:p>
            <w:pPr>
              <w:pStyle w:val="Compact"/>
              <w:jc w:val="left"/>
            </w:pPr>
            <w:r>
              <w:t xml:space="preserve">Model</w:t>
            </w:r>
          </w:p>
        </w:tc>
        <w:tc>
          <w:tcPr/>
          <w:p>
            <w:pPr>
              <w:pStyle w:val="Compact"/>
              <w:jc w:val="left"/>
            </w:pPr>
            <w:r>
              <w:t xml:space="preserve">Intercept</w:t>
            </w:r>
          </w:p>
        </w:tc>
        <w:tc>
          <w:tcPr/>
          <w:p>
            <w:pPr>
              <w:pStyle w:val="Compact"/>
              <w:jc w:val="left"/>
            </w:pPr>
            <w:r>
              <w:t xml:space="preserve">Group</w:t>
            </w:r>
          </w:p>
        </w:tc>
        <w:tc>
          <w:tcPr/>
          <w:p>
            <w:pPr>
              <w:pStyle w:val="Compact"/>
              <w:jc w:val="left"/>
            </w:pPr>
            <w:r>
              <w:t xml:space="preserve">Time</w:t>
            </w:r>
          </w:p>
        </w:tc>
        <w:tc>
          <w:tcPr/>
          <w:p>
            <w:pPr>
              <w:pStyle w:val="Compact"/>
              <w:jc w:val="left"/>
            </w:pPr>
            <w:r>
              <w:t xml:space="preserve">Group × Time</w:t>
            </w:r>
          </w:p>
        </w:tc>
      </w:tr>
      <w:tr>
        <w:tc>
          <w:tcPr/>
          <w:p>
            <w:pPr>
              <w:pStyle w:val="Compact"/>
              <w:jc w:val="left"/>
            </w:pPr>
            <w:r>
              <w:t xml:space="preserve">ymcar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ymcar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ymnar</w:t>
            </w:r>
          </w:p>
        </w:tc>
        <w:tc>
          <w:tcPr/>
          <w:p>
            <w:pPr>
              <w:pStyle w:val="Compact"/>
              <w:jc w:val="left"/>
            </w:pPr>
            <w:r>
              <w:t xml:space="preserve">LMM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ymnar</w:t>
            </w:r>
          </w:p>
        </w:tc>
        <w:tc>
          <w:tcPr/>
          <w:p>
            <w:pPr>
              <w:pStyle w:val="Compact"/>
              <w:jc w:val="left"/>
            </w:pPr>
            <w:r>
              <w:t xml:space="preserve">GEE</w:t>
            </w:r>
          </w:p>
        </w:tc>
        <w:tc>
          <w:tcPr/>
          <w:p>
            <w:pPr>
              <w:pStyle w:val="Compact"/>
            </w:pPr>
          </w:p>
        </w:tc>
        <w:tc>
          <w:tcPr/>
          <w:p>
            <w:pPr>
              <w:pStyle w:val="Compact"/>
            </w:pPr>
          </w:p>
        </w:tc>
        <w:tc>
          <w:tcPr/>
          <w:p>
            <w:pPr>
              <w:pStyle w:val="Compact"/>
            </w:pPr>
          </w:p>
        </w:tc>
        <w:tc>
          <w:tcPr/>
          <w:p>
            <w:pPr>
              <w:pStyle w:val="Compact"/>
            </w:pPr>
          </w:p>
        </w:tc>
      </w:tr>
    </w:tbl>
    <w:bookmarkEnd w:id="27"/>
    <w:bookmarkStart w:id="28" w:name="q7."/>
    <w:p>
      <w:pPr>
        <w:pStyle w:val="Heading3"/>
      </w:pPr>
      <w:r>
        <w:t xml:space="preserve">Q7.</w:t>
      </w:r>
    </w:p>
    <w:p>
      <w:pPr>
        <w:pStyle w:val="FirstParagraph"/>
      </w:pPr>
      <w:r>
        <w:t xml:space="preserve">How do your estimates compare to the results using the full data (from Q1)?</w:t>
      </w:r>
    </w:p>
    <w:bookmarkEnd w:id="28"/>
    <w:bookmarkStart w:id="29" w:name="q8."/>
    <w:p>
      <w:pPr>
        <w:pStyle w:val="Heading3"/>
      </w:pPr>
      <w:r>
        <w:t xml:space="preserve">Q8.</w:t>
      </w:r>
    </w:p>
    <w:p>
      <w:pPr>
        <w:pStyle w:val="FirstParagraph"/>
      </w:pPr>
      <w:r>
        <w:t xml:space="preserve">How do the standard errors compare to the results using the missing data (from Q3)?</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PUBHBIO 7230 – Lab Activity #11</dc:title>
  <dc:creator/>
  <cp:keywords/>
  <dcterms:created xsi:type="dcterms:W3CDTF">2026-04-04T17:38:33Z</dcterms:created>
  <dcterms:modified xsi:type="dcterms:W3CDTF">2026-04-04T17:38:33Z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