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PUBHBIO</w:t>
      </w:r>
      <w:r>
        <w:t xml:space="preserve"> </w:t>
      </w:r>
      <w:r>
        <w:t xml:space="preserve">7230</w:t>
      </w:r>
      <w:r>
        <w:t xml:space="preserve"> </w:t>
      </w:r>
      <w:r>
        <w:t xml:space="preserve">–</w:t>
      </w:r>
      <w:r>
        <w:t xml:space="preserve"> </w:t>
      </w:r>
      <w:r>
        <w:t xml:space="preserve">Lab</w:t>
      </w:r>
      <w:r>
        <w:t xml:space="preserve"> </w:t>
      </w:r>
      <w:r>
        <w:t xml:space="preserve">Activity</w:t>
      </w:r>
      <w:r>
        <w:t xml:space="preserve"> </w:t>
      </w:r>
      <w:r>
        <w:t xml:space="preserve">#12</w:t>
      </w:r>
    </w:p>
    <w:p>
      <w:pPr>
        <w:pStyle w:val="FirstParagraph"/>
      </w:pPr>
      <w:r>
        <w:t xml:space="preserve">In this lab, we will explore data with multiple sources of correlation. In all scenarios, we are interested in the estimate of two covariates,</w:t>
      </w:r>
      <w:r>
        <w:t xml:space="preserve"> </w:t>
      </w:r>
      <w:r>
        <w:rPr>
          <w:rStyle w:val="VerbatimChar"/>
        </w:rPr>
        <w:t xml:space="preserve">fancyprogram</w:t>
      </w:r>
      <w:r>
        <w:t xml:space="preserve"> </w:t>
      </w:r>
      <w:r>
        <w:t xml:space="preserve">and</w:t>
      </w:r>
      <w:r>
        <w:t xml:space="preserve"> </w:t>
      </w:r>
      <w:r>
        <w:rPr>
          <w:rStyle w:val="VerbatimChar"/>
        </w:rPr>
        <w:t xml:space="preserve">highachiever</w:t>
      </w:r>
      <w:r>
        <w:t xml:space="preserve">, on a mean test score outcome (</w:t>
      </w:r>
      <w:r>
        <w:rPr>
          <w:rStyle w:val="VerbatimChar"/>
        </w:rPr>
        <w:t xml:space="preserve">testscore</w:t>
      </w:r>
      <w:r>
        <w:t xml:space="preserve">) among kindergartners. The variable</w:t>
      </w:r>
      <w:r>
        <w:t xml:space="preserve"> </w:t>
      </w:r>
      <w:r>
        <w:rPr>
          <w:rStyle w:val="VerbatimChar"/>
        </w:rPr>
        <w:t xml:space="preserve">fancyprogram</w:t>
      </w:r>
      <w:r>
        <w:t xml:space="preserve"> </w:t>
      </w:r>
      <w:r>
        <w:t xml:space="preserve">reflects an intervention delivered at the school level, while the variable</w:t>
      </w:r>
      <w:r>
        <w:t xml:space="preserve"> </w:t>
      </w:r>
      <w:r>
        <w:rPr>
          <w:rStyle w:val="VerbatimChar"/>
        </w:rPr>
        <w:t xml:space="preserve">highachiever</w:t>
      </w:r>
      <w:r>
        <w:t xml:space="preserve"> </w:t>
      </w:r>
      <w:r>
        <w:t xml:space="preserve">varies among students even within the same classroom.</w:t>
      </w:r>
    </w:p>
    <w:p>
      <w:pPr>
        <w:pStyle w:val="BodyText"/>
      </w:pPr>
      <w:r>
        <w:t xml:space="preserve">We will consider 3 scenarios for the correlation. All have the same total variability of the outcome but vary in the sources of correlation. Data were simulated such that the coefficients for the fixed effects were held constant across all scenarios, and there is no interaction between covariates.</w:t>
      </w:r>
    </w:p>
    <w:p>
      <w:pPr>
        <w:pStyle w:val="BodyText"/>
      </w:pPr>
      <w:r>
        <w:t xml:space="preserve">In</w:t>
      </w:r>
      <w:r>
        <w:t xml:space="preserve"> </w:t>
      </w:r>
      <w:r>
        <w:rPr>
          <w:i/>
          <w:iCs/>
        </w:rPr>
        <w:t xml:space="preserve">labdata12A</w:t>
      </w:r>
      <w:r>
        <w:t xml:space="preserve"> </w:t>
      </w:r>
      <w:r>
        <w:t xml:space="preserve">and</w:t>
      </w:r>
      <w:r>
        <w:t xml:space="preserve"> </w:t>
      </w:r>
      <w:r>
        <w:rPr>
          <w:i/>
          <w:iCs/>
        </w:rPr>
        <w:t xml:space="preserve">12B</w:t>
      </w:r>
      <w:r>
        <w:t xml:space="preserve">, the only sources of correlation are classroom and school, where classrooms are nested within schools.</w:t>
      </w:r>
    </w:p>
    <w:p>
      <w:pPr>
        <w:pStyle w:val="BodyText"/>
      </w:pPr>
      <w:r>
        <w:t xml:space="preserve">In</w:t>
      </w:r>
      <w:r>
        <w:t xml:space="preserve"> </w:t>
      </w:r>
      <w:r>
        <w:rPr>
          <w:i/>
          <w:iCs/>
        </w:rPr>
        <w:t xml:space="preserve">labdata12C</w:t>
      </w:r>
      <w:r>
        <w:t xml:space="preserve">, the only sources of correlation are school and</w:t>
      </w:r>
      <w:r>
        <w:t xml:space="preserve"> </w:t>
      </w:r>
      <w:r>
        <w:rPr>
          <w:rStyle w:val="VerbatimChar"/>
        </w:rPr>
        <w:t xml:space="preserve">preK</w:t>
      </w:r>
      <w:r>
        <w:t xml:space="preserve"> </w:t>
      </w:r>
      <w:r>
        <w:t xml:space="preserve">which indicates the school the child attended for pre-kindergarten (all children did attend preK in this study).</w:t>
      </w:r>
    </w:p>
    <w:bookmarkStart w:id="25" w:name="Xed4ecf70ee128a0b4bb1b0a139adf4afc18d55f"/>
    <w:p>
      <w:pPr>
        <w:pStyle w:val="Heading2"/>
      </w:pPr>
      <w:r>
        <w:t xml:space="preserve">Using labdata12A – classrooms nested within schools; majority of correlation is present at the school level</w:t>
      </w:r>
    </w:p>
    <w:bookmarkStart w:id="20" w:name="q1"/>
    <w:p>
      <w:pPr>
        <w:pStyle w:val="Heading3"/>
      </w:pPr>
      <w:r>
        <w:t xml:space="preserve">Q1</w:t>
      </w:r>
    </w:p>
    <w:p>
      <w:pPr>
        <w:pStyle w:val="FirstParagraph"/>
      </w:pPr>
      <w:r>
        <w:t xml:space="preserve">Describe the number of schools, classrooms per school, and students per classroom in this dataset (hint: tabulations work just fine on id variables and/or you may wish to fit the model(s) requested in Q2 to help answer this question).</w:t>
      </w:r>
    </w:p>
    <w:bookmarkEnd w:id="20"/>
    <w:bookmarkStart w:id="21" w:name="q2"/>
    <w:p>
      <w:pPr>
        <w:pStyle w:val="Heading3"/>
      </w:pPr>
      <w:r>
        <w:t xml:space="preserve">Q2</w:t>
      </w:r>
    </w:p>
    <w:p>
      <w:pPr>
        <w:pStyle w:val="FirstParagraph"/>
      </w:pPr>
      <w:r>
        <w:t xml:space="preserve">Fit a linear mixed model correctly specifying a random intercept of classroom nested within a random</w:t>
      </w:r>
      <w:r>
        <w:t xml:space="preserve"> </w:t>
      </w:r>
      <w:r>
        <w:t xml:space="preserve">intercept of school and fit a similar model using GEE (identity link, choice of working correlation). Report</w:t>
      </w:r>
      <w:r>
        <w:t xml:space="preserve"> </w:t>
      </w:r>
      <w:r>
        <w:t xml:space="preserve">the estimated coefficient and standard error for each of the two effects of interest.</w:t>
      </w:r>
    </w:p>
    <w:tbl>
      <w:tblPr>
        <w:tblStyle w:val="Table"/>
        <w:tblW w:type="pct" w:w="5000"/>
        <w:tblLayout w:type="fixed"/>
        <w:tblLook w:firstRow="1" w:lastRow="0" w:firstColumn="0" w:lastColumn="0" w:noHBand="0" w:noVBand="0" w:val="0020"/>
      </w:tblPr>
      <w:tblGrid>
        <w:gridCol w:w="1334"/>
        <w:gridCol w:w="1601"/>
        <w:gridCol w:w="1690"/>
        <w:gridCol w:w="1601"/>
        <w:gridCol w:w="1690"/>
      </w:tblGrid>
      <w:tr>
        <w:trPr>
          <w:tblHeader w:val="on"/>
        </w:trPr>
        <w:tc>
          <w:tcPr/>
          <w:p>
            <w:pPr>
              <w:pStyle w:val="Compact"/>
              <w:jc w:val="left"/>
            </w:pPr>
            <w:r>
              <w:t xml:space="preserve">Model</w:t>
            </w:r>
          </w:p>
        </w:tc>
        <w:tc>
          <w:tcPr/>
          <w:p>
            <w:pPr>
              <w:pStyle w:val="Compact"/>
              <w:jc w:val="center"/>
            </w:pPr>
            <w:r>
              <w:rPr>
                <w:rStyle w:val="VerbatimChar"/>
              </w:rPr>
              <w:t xml:space="preserve">Fancyprogram</w:t>
            </w:r>
            <w:r>
              <w:t xml:space="preserve"> </w:t>
            </w:r>
            <w:r>
              <w:t xml:space="preserve">Est</w:t>
            </w:r>
          </w:p>
        </w:tc>
        <w:tc>
          <w:tcPr/>
          <w:p>
            <w:pPr>
              <w:pStyle w:val="Compact"/>
              <w:jc w:val="center"/>
            </w:pPr>
            <w:r>
              <w:rPr>
                <w:rStyle w:val="VerbatimChar"/>
              </w:rPr>
              <w:t xml:space="preserve">Fancyprogram</w:t>
            </w:r>
            <w:r>
              <w:t xml:space="preserve"> </w:t>
            </w:r>
            <w:r>
              <w:t xml:space="preserve">s.e.</w:t>
            </w:r>
          </w:p>
        </w:tc>
        <w:tc>
          <w:tcPr/>
          <w:p>
            <w:pPr>
              <w:pStyle w:val="Compact"/>
              <w:jc w:val="center"/>
            </w:pPr>
            <w:r>
              <w:rPr>
                <w:rStyle w:val="VerbatimChar"/>
              </w:rPr>
              <w:t xml:space="preserve">Highachiever</w:t>
            </w:r>
            <w:r>
              <w:t xml:space="preserve"> </w:t>
            </w:r>
            <w:r>
              <w:t xml:space="preserve">Est</w:t>
            </w:r>
          </w:p>
        </w:tc>
        <w:tc>
          <w:tcPr/>
          <w:p>
            <w:pPr>
              <w:pStyle w:val="Compact"/>
              <w:jc w:val="center"/>
            </w:pPr>
            <w:r>
              <w:rPr>
                <w:rStyle w:val="VerbatimChar"/>
              </w:rPr>
              <w:t xml:space="preserve">Highachiever</w:t>
            </w:r>
            <w:r>
              <w:t xml:space="preserve"> </w:t>
            </w:r>
            <w:r>
              <w:t xml:space="preserve">s.e.</w:t>
            </w:r>
          </w:p>
        </w:tc>
      </w:tr>
      <w:tr>
        <w:tc>
          <w:tcPr/>
          <w:p>
            <w:pPr>
              <w:pStyle w:val="Compact"/>
              <w:jc w:val="left"/>
            </w:pPr>
            <w:r>
              <w:t xml:space="preserve">LMM - correct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GEE - school</w:t>
            </w:r>
          </w:p>
        </w:tc>
        <w:tc>
          <w:tcPr/>
          <w:p>
            <w:pPr>
              <w:pStyle w:val="Compact"/>
            </w:pPr>
          </w:p>
        </w:tc>
        <w:tc>
          <w:tcPr/>
          <w:p>
            <w:pPr>
              <w:pStyle w:val="Compact"/>
            </w:pPr>
          </w:p>
        </w:tc>
        <w:tc>
          <w:tcPr/>
          <w:p>
            <w:pPr>
              <w:pStyle w:val="Compact"/>
            </w:pPr>
          </w:p>
        </w:tc>
        <w:tc>
          <w:tcPr/>
          <w:p>
            <w:pPr>
              <w:pStyle w:val="Compact"/>
            </w:pPr>
          </w:p>
        </w:tc>
      </w:tr>
    </w:tbl>
    <w:bookmarkEnd w:id="21"/>
    <w:bookmarkStart w:id="22" w:name="q3"/>
    <w:p>
      <w:pPr>
        <w:pStyle w:val="Heading3"/>
      </w:pPr>
      <w:r>
        <w:t xml:space="preserve">Q3</w:t>
      </w:r>
    </w:p>
    <w:p>
      <w:pPr>
        <w:pStyle w:val="FirstParagraph"/>
      </w:pPr>
      <w:r>
        <w:t xml:space="preserve">Now we are going to fit models incorrectly specifying only one source of correlation (either school or classroom, but not both). Report the estimated coefficient and standard error for each of the two effects of interest.</w:t>
      </w:r>
    </w:p>
    <w:tbl>
      <w:tblPr>
        <w:tblStyle w:val="Table"/>
        <w:tblW w:type="pct" w:w="5000"/>
        <w:tblLayout w:type="fixed"/>
        <w:tblLook w:firstRow="1" w:lastRow="0" w:firstColumn="0" w:lastColumn="0" w:noHBand="0" w:noVBand="0" w:val="0020"/>
      </w:tblPr>
      <w:tblGrid>
        <w:gridCol w:w="1815"/>
        <w:gridCol w:w="1485"/>
        <w:gridCol w:w="1567"/>
        <w:gridCol w:w="1485"/>
        <w:gridCol w:w="1567"/>
      </w:tblGrid>
      <w:tr>
        <w:trPr>
          <w:tblHeader w:val="on"/>
        </w:trPr>
        <w:tc>
          <w:tcPr/>
          <w:p>
            <w:pPr>
              <w:pStyle w:val="Compact"/>
              <w:jc w:val="left"/>
            </w:pPr>
            <w:r>
              <w:t xml:space="preserve">Model</w:t>
            </w:r>
          </w:p>
        </w:tc>
        <w:tc>
          <w:tcPr/>
          <w:p>
            <w:pPr>
              <w:pStyle w:val="Compact"/>
              <w:jc w:val="center"/>
            </w:pPr>
            <w:r>
              <w:rPr>
                <w:rStyle w:val="VerbatimChar"/>
              </w:rPr>
              <w:t xml:space="preserve">Fancyprogram</w:t>
            </w:r>
            <w:r>
              <w:t xml:space="preserve"> </w:t>
            </w:r>
            <w:r>
              <w:t xml:space="preserve">Est</w:t>
            </w:r>
          </w:p>
        </w:tc>
        <w:tc>
          <w:tcPr/>
          <w:p>
            <w:pPr>
              <w:pStyle w:val="Compact"/>
              <w:jc w:val="center"/>
            </w:pPr>
            <w:r>
              <w:rPr>
                <w:rStyle w:val="VerbatimChar"/>
              </w:rPr>
              <w:t xml:space="preserve">Fancyprogram</w:t>
            </w:r>
            <w:r>
              <w:t xml:space="preserve"> </w:t>
            </w:r>
            <w:r>
              <w:t xml:space="preserve">s.e.</w:t>
            </w:r>
          </w:p>
        </w:tc>
        <w:tc>
          <w:tcPr/>
          <w:p>
            <w:pPr>
              <w:pStyle w:val="Compact"/>
              <w:jc w:val="center"/>
            </w:pPr>
            <w:r>
              <w:rPr>
                <w:rStyle w:val="VerbatimChar"/>
              </w:rPr>
              <w:t xml:space="preserve">Highachiever</w:t>
            </w:r>
            <w:r>
              <w:t xml:space="preserve"> </w:t>
            </w:r>
            <w:r>
              <w:t xml:space="preserve">Est</w:t>
            </w:r>
          </w:p>
        </w:tc>
        <w:tc>
          <w:tcPr/>
          <w:p>
            <w:pPr>
              <w:pStyle w:val="Compact"/>
              <w:jc w:val="center"/>
            </w:pPr>
            <w:r>
              <w:rPr>
                <w:rStyle w:val="VerbatimChar"/>
              </w:rPr>
              <w:t xml:space="preserve">Highachiever</w:t>
            </w:r>
            <w:r>
              <w:t xml:space="preserve"> </w:t>
            </w:r>
            <w:r>
              <w:t xml:space="preserve">s.e.</w:t>
            </w:r>
          </w:p>
        </w:tc>
      </w:tr>
      <w:tr>
        <w:tc>
          <w:tcPr/>
          <w:p>
            <w:pPr>
              <w:pStyle w:val="Compact"/>
              <w:jc w:val="left"/>
            </w:pPr>
            <w:r>
              <w:t xml:space="preserve">LMM – school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LMM – classroom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GEE – classroom only</w:t>
            </w:r>
          </w:p>
        </w:tc>
        <w:tc>
          <w:tcPr/>
          <w:p>
            <w:pPr>
              <w:pStyle w:val="Compact"/>
            </w:pPr>
          </w:p>
        </w:tc>
        <w:tc>
          <w:tcPr/>
          <w:p>
            <w:pPr>
              <w:pStyle w:val="Compact"/>
            </w:pPr>
          </w:p>
        </w:tc>
        <w:tc>
          <w:tcPr/>
          <w:p>
            <w:pPr>
              <w:pStyle w:val="Compact"/>
            </w:pPr>
          </w:p>
        </w:tc>
        <w:tc>
          <w:tcPr/>
          <w:p>
            <w:pPr>
              <w:pStyle w:val="Compact"/>
            </w:pPr>
          </w:p>
        </w:tc>
      </w:tr>
    </w:tbl>
    <w:bookmarkEnd w:id="22"/>
    <w:bookmarkStart w:id="23" w:name="q4"/>
    <w:p>
      <w:pPr>
        <w:pStyle w:val="Heading3"/>
      </w:pPr>
      <w:r>
        <w:t xml:space="preserve">Q4</w:t>
      </w:r>
    </w:p>
    <w:p>
      <w:pPr>
        <w:pStyle w:val="FirstParagraph"/>
      </w:pPr>
      <w:r>
        <w:t xml:space="preserve">What do you notice about the estimated coefficient and standard errors for the variable</w:t>
      </w:r>
      <w:r>
        <w:t xml:space="preserve"> </w:t>
      </w:r>
      <w:r>
        <w:rPr>
          <w:rStyle w:val="VerbatimChar"/>
        </w:rPr>
        <w:t xml:space="preserve">fancyprogram</w:t>
      </w:r>
      <w:r>
        <w:t xml:space="preserve"> </w:t>
      </w:r>
      <w:r>
        <w:t xml:space="preserve">that varies only between schools?</w:t>
      </w:r>
    </w:p>
    <w:bookmarkEnd w:id="23"/>
    <w:bookmarkStart w:id="24" w:name="q5"/>
    <w:p>
      <w:pPr>
        <w:pStyle w:val="Heading3"/>
      </w:pPr>
      <w:r>
        <w:t xml:space="preserve">Q5</w:t>
      </w:r>
    </w:p>
    <w:p>
      <w:pPr>
        <w:pStyle w:val="FirstParagraph"/>
      </w:pPr>
      <w:r>
        <w:t xml:space="preserve">What do you notice about the estimated coefficient and standard errors for the variable</w:t>
      </w:r>
      <w:r>
        <w:t xml:space="preserve"> </w:t>
      </w:r>
      <w:r>
        <w:rPr>
          <w:rStyle w:val="VerbatimChar"/>
        </w:rPr>
        <w:t xml:space="preserve">highachiever</w:t>
      </w:r>
      <w:r>
        <w:t xml:space="preserve"> </w:t>
      </w:r>
      <w:r>
        <w:t xml:space="preserve">that varies between individual children?</w:t>
      </w:r>
    </w:p>
    <w:bookmarkEnd w:id="24"/>
    <w:bookmarkEnd w:id="25"/>
    <w:bookmarkStart w:id="29" w:name="Xac37fde0e5a1f4c5e8b9c311399ea7e97d5cdd3"/>
    <w:p>
      <w:pPr>
        <w:pStyle w:val="Heading2"/>
      </w:pPr>
      <w:r>
        <w:t xml:space="preserve">Using labdata12B – classrooms nested within schools; majority of correlation is present at the classroom level</w:t>
      </w:r>
    </w:p>
    <w:bookmarkStart w:id="26" w:name="q6"/>
    <w:p>
      <w:pPr>
        <w:pStyle w:val="Heading3"/>
      </w:pPr>
      <w:r>
        <w:t xml:space="preserve">Q6</w:t>
      </w:r>
    </w:p>
    <w:p>
      <w:pPr>
        <w:pStyle w:val="FirstParagraph"/>
      </w:pPr>
      <w:r>
        <w:t xml:space="preserve">Repeat the analysis you did above using labdata12B and report your results in the following table:</w:t>
      </w:r>
    </w:p>
    <w:tbl>
      <w:tblPr>
        <w:tblStyle w:val="Table"/>
        <w:tblW w:type="pct" w:w="5000"/>
        <w:tblLayout w:type="fixed"/>
        <w:tblLook w:firstRow="1" w:lastRow="0" w:firstColumn="0" w:lastColumn="0" w:noHBand="0" w:noVBand="0" w:val="0020"/>
      </w:tblPr>
      <w:tblGrid>
        <w:gridCol w:w="1815"/>
        <w:gridCol w:w="1485"/>
        <w:gridCol w:w="1567"/>
        <w:gridCol w:w="1485"/>
        <w:gridCol w:w="1567"/>
      </w:tblGrid>
      <w:tr>
        <w:trPr>
          <w:tblHeader w:val="on"/>
        </w:trPr>
        <w:tc>
          <w:tcPr/>
          <w:p>
            <w:pPr>
              <w:pStyle w:val="Compact"/>
              <w:jc w:val="left"/>
            </w:pPr>
            <w:r>
              <w:t xml:space="preserve">Model</w:t>
            </w:r>
          </w:p>
        </w:tc>
        <w:tc>
          <w:tcPr/>
          <w:p>
            <w:pPr>
              <w:pStyle w:val="Compact"/>
              <w:jc w:val="center"/>
            </w:pPr>
            <w:r>
              <w:rPr>
                <w:rStyle w:val="VerbatimChar"/>
              </w:rPr>
              <w:t xml:space="preserve">Fancyprogram</w:t>
            </w:r>
            <w:r>
              <w:t xml:space="preserve"> </w:t>
            </w:r>
            <w:r>
              <w:t xml:space="preserve">Est</w:t>
            </w:r>
          </w:p>
        </w:tc>
        <w:tc>
          <w:tcPr/>
          <w:p>
            <w:pPr>
              <w:pStyle w:val="Compact"/>
              <w:jc w:val="center"/>
            </w:pPr>
            <w:r>
              <w:rPr>
                <w:rStyle w:val="VerbatimChar"/>
              </w:rPr>
              <w:t xml:space="preserve">Fancyprogram</w:t>
            </w:r>
            <w:r>
              <w:t xml:space="preserve"> </w:t>
            </w:r>
            <w:r>
              <w:t xml:space="preserve">s.e.</w:t>
            </w:r>
          </w:p>
        </w:tc>
        <w:tc>
          <w:tcPr/>
          <w:p>
            <w:pPr>
              <w:pStyle w:val="Compact"/>
              <w:jc w:val="center"/>
            </w:pPr>
            <w:r>
              <w:rPr>
                <w:rStyle w:val="VerbatimChar"/>
              </w:rPr>
              <w:t xml:space="preserve">Highachiever</w:t>
            </w:r>
            <w:r>
              <w:t xml:space="preserve"> </w:t>
            </w:r>
            <w:r>
              <w:t xml:space="preserve">Est</w:t>
            </w:r>
          </w:p>
        </w:tc>
        <w:tc>
          <w:tcPr/>
          <w:p>
            <w:pPr>
              <w:pStyle w:val="Compact"/>
              <w:jc w:val="center"/>
            </w:pPr>
            <w:r>
              <w:rPr>
                <w:rStyle w:val="VerbatimChar"/>
              </w:rPr>
              <w:t xml:space="preserve">Highachiever</w:t>
            </w:r>
            <w:r>
              <w:t xml:space="preserve"> </w:t>
            </w:r>
            <w:r>
              <w:t xml:space="preserve">s.e.</w:t>
            </w:r>
          </w:p>
        </w:tc>
      </w:tr>
      <w:tr>
        <w:tc>
          <w:tcPr/>
          <w:p>
            <w:pPr>
              <w:pStyle w:val="Compact"/>
              <w:jc w:val="left"/>
            </w:pPr>
            <w:r>
              <w:t xml:space="preserve">LMM - correct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GEE - school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LMM – school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LMM – classroom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GEE – classroom only</w:t>
            </w:r>
          </w:p>
        </w:tc>
        <w:tc>
          <w:tcPr/>
          <w:p>
            <w:pPr>
              <w:pStyle w:val="Compact"/>
            </w:pPr>
          </w:p>
        </w:tc>
        <w:tc>
          <w:tcPr/>
          <w:p>
            <w:pPr>
              <w:pStyle w:val="Compact"/>
            </w:pPr>
          </w:p>
        </w:tc>
        <w:tc>
          <w:tcPr/>
          <w:p>
            <w:pPr>
              <w:pStyle w:val="Compact"/>
            </w:pPr>
          </w:p>
        </w:tc>
        <w:tc>
          <w:tcPr/>
          <w:p>
            <w:pPr>
              <w:pStyle w:val="Compact"/>
            </w:pPr>
          </w:p>
        </w:tc>
      </w:tr>
    </w:tbl>
    <w:bookmarkEnd w:id="26"/>
    <w:bookmarkStart w:id="27" w:name="q7"/>
    <w:p>
      <w:pPr>
        <w:pStyle w:val="Heading3"/>
      </w:pPr>
      <w:r>
        <w:t xml:space="preserve">Q7</w:t>
      </w:r>
    </w:p>
    <w:p>
      <w:pPr>
        <w:pStyle w:val="FirstParagraph"/>
      </w:pPr>
      <w:r>
        <w:t xml:space="preserve">What do you notice about the estimated coefficient and standard errors for the variable</w:t>
      </w:r>
      <w:r>
        <w:t xml:space="preserve"> </w:t>
      </w:r>
      <w:r>
        <w:rPr>
          <w:rStyle w:val="VerbatimChar"/>
        </w:rPr>
        <w:t xml:space="preserve">fancyprogram</w:t>
      </w:r>
      <w:r>
        <w:t xml:space="preserve"> </w:t>
      </w:r>
      <w:r>
        <w:t xml:space="preserve">that varies only between schools?</w:t>
      </w:r>
    </w:p>
    <w:bookmarkEnd w:id="27"/>
    <w:bookmarkStart w:id="28" w:name="q8"/>
    <w:p>
      <w:pPr>
        <w:pStyle w:val="Heading3"/>
      </w:pPr>
      <w:r>
        <w:t xml:space="preserve">Q8</w:t>
      </w:r>
    </w:p>
    <w:p>
      <w:pPr>
        <w:pStyle w:val="FirstParagraph"/>
      </w:pPr>
      <w:r>
        <w:t xml:space="preserve">What do you notice about the estimated coefficient and standard errors for the variable</w:t>
      </w:r>
      <w:r>
        <w:t xml:space="preserve"> </w:t>
      </w:r>
      <w:r>
        <w:rPr>
          <w:rStyle w:val="VerbatimChar"/>
        </w:rPr>
        <w:t xml:space="preserve">highachiever</w:t>
      </w:r>
      <w:r>
        <w:t xml:space="preserve"> </w:t>
      </w:r>
      <w:r>
        <w:t xml:space="preserve">that varies between individual children?</w:t>
      </w:r>
    </w:p>
    <w:bookmarkEnd w:id="28"/>
    <w:bookmarkEnd w:id="29"/>
    <w:bookmarkStart w:id="36" w:name="Xceacae0d6fb7892814db827fd3c80c39ed3e364"/>
    <w:p>
      <w:pPr>
        <w:pStyle w:val="Heading2"/>
      </w:pPr>
      <w:r>
        <w:t xml:space="preserve">Using labdata12C – two crossed sources of correlation</w:t>
      </w:r>
    </w:p>
    <w:bookmarkStart w:id="30" w:name="q9"/>
    <w:p>
      <w:pPr>
        <w:pStyle w:val="Heading3"/>
      </w:pPr>
      <w:r>
        <w:t xml:space="preserve">Q9</w:t>
      </w:r>
    </w:p>
    <w:p>
      <w:pPr>
        <w:pStyle w:val="FirstParagraph"/>
      </w:pPr>
      <w:r>
        <w:t xml:space="preserve">Describe the number of schools and students per school as well as the number of preK centers and students per preK.</w:t>
      </w:r>
    </w:p>
    <w:bookmarkEnd w:id="30"/>
    <w:bookmarkStart w:id="31" w:name="q10"/>
    <w:p>
      <w:pPr>
        <w:pStyle w:val="Heading3"/>
      </w:pPr>
      <w:r>
        <w:t xml:space="preserve">Q10</w:t>
      </w:r>
    </w:p>
    <w:p>
      <w:pPr>
        <w:pStyle w:val="FirstParagraph"/>
      </w:pPr>
      <w:r>
        <w:t xml:space="preserve">Fit these data using a linear mixed model and correctly specifying the two crossed random effects. Report your results below.</w:t>
      </w:r>
    </w:p>
    <w:tbl>
      <w:tblPr>
        <w:tblStyle w:val="Table"/>
        <w:tblW w:type="pct" w:w="5000"/>
        <w:tblLayout w:type="fixed"/>
        <w:tblLook w:firstRow="1" w:lastRow="0" w:firstColumn="0" w:lastColumn="0" w:noHBand="0" w:noVBand="0" w:val="0020"/>
      </w:tblPr>
      <w:tblGrid>
        <w:gridCol w:w="501"/>
        <w:gridCol w:w="1804"/>
        <w:gridCol w:w="1904"/>
        <w:gridCol w:w="1804"/>
        <w:gridCol w:w="1904"/>
      </w:tblGrid>
      <w:tr>
        <w:trPr>
          <w:tblHeader w:val="on"/>
        </w:trPr>
        <w:tc>
          <w:tcPr/>
          <w:p>
            <w:pPr>
              <w:pStyle w:val="Compact"/>
              <w:jc w:val="left"/>
            </w:pPr>
            <w:r>
              <w:t xml:space="preserve">Model</w:t>
            </w:r>
          </w:p>
        </w:tc>
        <w:tc>
          <w:tcPr/>
          <w:p>
            <w:pPr>
              <w:pStyle w:val="Compact"/>
              <w:jc w:val="center"/>
            </w:pPr>
            <w:r>
              <w:rPr>
                <w:rStyle w:val="VerbatimChar"/>
              </w:rPr>
              <w:t xml:space="preserve">Fancyprogram</w:t>
            </w:r>
            <w:r>
              <w:t xml:space="preserve"> </w:t>
            </w:r>
            <w:r>
              <w:t xml:space="preserve">Est</w:t>
            </w:r>
          </w:p>
        </w:tc>
        <w:tc>
          <w:tcPr/>
          <w:p>
            <w:pPr>
              <w:pStyle w:val="Compact"/>
              <w:jc w:val="center"/>
            </w:pPr>
            <w:r>
              <w:rPr>
                <w:rStyle w:val="VerbatimChar"/>
              </w:rPr>
              <w:t xml:space="preserve">Fancyprogram</w:t>
            </w:r>
            <w:r>
              <w:t xml:space="preserve"> </w:t>
            </w:r>
            <w:r>
              <w:t xml:space="preserve">s.e.</w:t>
            </w:r>
          </w:p>
        </w:tc>
        <w:tc>
          <w:tcPr/>
          <w:p>
            <w:pPr>
              <w:pStyle w:val="Compact"/>
              <w:jc w:val="center"/>
            </w:pPr>
            <w:r>
              <w:rPr>
                <w:rStyle w:val="VerbatimChar"/>
              </w:rPr>
              <w:t xml:space="preserve">Highachiever</w:t>
            </w:r>
            <w:r>
              <w:t xml:space="preserve"> </w:t>
            </w:r>
            <w:r>
              <w:t xml:space="preserve">Est</w:t>
            </w:r>
          </w:p>
        </w:tc>
        <w:tc>
          <w:tcPr/>
          <w:p>
            <w:pPr>
              <w:pStyle w:val="Compact"/>
              <w:jc w:val="center"/>
            </w:pPr>
            <w:r>
              <w:rPr>
                <w:rStyle w:val="VerbatimChar"/>
              </w:rPr>
              <w:t xml:space="preserve">Highachiever</w:t>
            </w:r>
            <w:r>
              <w:t xml:space="preserve"> </w:t>
            </w:r>
            <w:r>
              <w:t xml:space="preserve">s.e.</w:t>
            </w:r>
          </w:p>
        </w:tc>
      </w:tr>
      <w:tr>
        <w:tc>
          <w:tcPr/>
          <w:p>
            <w:pPr>
              <w:pStyle w:val="Compact"/>
              <w:jc w:val="left"/>
            </w:pPr>
            <w:r>
              <w:t xml:space="preserve">LMM - correct</w:t>
            </w:r>
          </w:p>
        </w:tc>
        <w:tc>
          <w:tcPr/>
          <w:p>
            <w:pPr>
              <w:pStyle w:val="Compact"/>
            </w:pPr>
          </w:p>
        </w:tc>
        <w:tc>
          <w:tcPr/>
          <w:p>
            <w:pPr>
              <w:pStyle w:val="Compact"/>
            </w:pPr>
          </w:p>
        </w:tc>
        <w:tc>
          <w:tcPr/>
          <w:p>
            <w:pPr>
              <w:pStyle w:val="Compact"/>
            </w:pPr>
          </w:p>
        </w:tc>
        <w:tc>
          <w:tcPr/>
          <w:p>
            <w:pPr>
              <w:pStyle w:val="Compact"/>
            </w:pPr>
          </w:p>
        </w:tc>
      </w:tr>
    </w:tbl>
    <w:bookmarkEnd w:id="31"/>
    <w:bookmarkStart w:id="32" w:name="q11"/>
    <w:p>
      <w:pPr>
        <w:pStyle w:val="Heading3"/>
      </w:pPr>
      <w:r>
        <w:t xml:space="preserve">Q11</w:t>
      </w:r>
    </w:p>
    <w:p>
      <w:pPr>
        <w:pStyle w:val="FirstParagraph"/>
      </w:pPr>
      <w:r>
        <w:t xml:space="preserve">Fit models incorrectly specifying only one source of correlation (either school or preK, but not both). Report the estimated coefficient and standard error.</w:t>
      </w:r>
    </w:p>
    <w:tbl>
      <w:tblPr>
        <w:tblStyle w:val="Table"/>
        <w:tblW w:type="pct" w:w="5000"/>
        <w:tblLayout w:type="fixed"/>
        <w:tblLook w:firstRow="1" w:lastRow="0" w:firstColumn="0" w:lastColumn="0" w:noHBand="0" w:noVBand="0" w:val="0020"/>
      </w:tblPr>
      <w:tblGrid>
        <w:gridCol w:w="1618"/>
        <w:gridCol w:w="1532"/>
        <w:gridCol w:w="1618"/>
        <w:gridCol w:w="1532"/>
        <w:gridCol w:w="1618"/>
      </w:tblGrid>
      <w:tr>
        <w:trPr>
          <w:tblHeader w:val="on"/>
        </w:trPr>
        <w:tc>
          <w:tcPr/>
          <w:p>
            <w:pPr>
              <w:pStyle w:val="Compact"/>
              <w:jc w:val="left"/>
            </w:pPr>
            <w:r>
              <w:t xml:space="preserve">Model</w:t>
            </w:r>
          </w:p>
        </w:tc>
        <w:tc>
          <w:tcPr/>
          <w:p>
            <w:pPr>
              <w:pStyle w:val="Compact"/>
              <w:jc w:val="center"/>
            </w:pPr>
            <w:r>
              <w:rPr>
                <w:rStyle w:val="VerbatimChar"/>
              </w:rPr>
              <w:t xml:space="preserve">Fancyprogram</w:t>
            </w:r>
            <w:r>
              <w:t xml:space="preserve"> </w:t>
            </w:r>
            <w:r>
              <w:t xml:space="preserve">Est</w:t>
            </w:r>
          </w:p>
        </w:tc>
        <w:tc>
          <w:tcPr/>
          <w:p>
            <w:pPr>
              <w:pStyle w:val="Compact"/>
              <w:jc w:val="center"/>
            </w:pPr>
            <w:r>
              <w:rPr>
                <w:rStyle w:val="VerbatimChar"/>
              </w:rPr>
              <w:t xml:space="preserve">Fancyprogram</w:t>
            </w:r>
            <w:r>
              <w:t xml:space="preserve"> </w:t>
            </w:r>
            <w:r>
              <w:t xml:space="preserve">s.e.</w:t>
            </w:r>
          </w:p>
        </w:tc>
        <w:tc>
          <w:tcPr/>
          <w:p>
            <w:pPr>
              <w:pStyle w:val="Compact"/>
              <w:jc w:val="center"/>
            </w:pPr>
            <w:r>
              <w:rPr>
                <w:rStyle w:val="VerbatimChar"/>
              </w:rPr>
              <w:t xml:space="preserve">Highachiever</w:t>
            </w:r>
            <w:r>
              <w:t xml:space="preserve"> </w:t>
            </w:r>
            <w:r>
              <w:t xml:space="preserve">Est</w:t>
            </w:r>
          </w:p>
        </w:tc>
        <w:tc>
          <w:tcPr/>
          <w:p>
            <w:pPr>
              <w:pStyle w:val="Compact"/>
              <w:jc w:val="center"/>
            </w:pPr>
            <w:r>
              <w:rPr>
                <w:rStyle w:val="VerbatimChar"/>
              </w:rPr>
              <w:t xml:space="preserve">Highachiever</w:t>
            </w:r>
            <w:r>
              <w:t xml:space="preserve"> </w:t>
            </w:r>
            <w:r>
              <w:t xml:space="preserve">s.e.</w:t>
            </w:r>
          </w:p>
        </w:tc>
      </w:tr>
      <w:tr>
        <w:tc>
          <w:tcPr/>
          <w:p>
            <w:pPr>
              <w:pStyle w:val="Compact"/>
              <w:jc w:val="left"/>
            </w:pPr>
            <w:r>
              <w:t xml:space="preserve">LMM – school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LMM – preK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GEE – school only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GEE – preK only</w:t>
            </w:r>
          </w:p>
        </w:tc>
        <w:tc>
          <w:tcPr/>
          <w:p>
            <w:pPr>
              <w:pStyle w:val="Compact"/>
            </w:pPr>
          </w:p>
        </w:tc>
        <w:tc>
          <w:tcPr/>
          <w:p>
            <w:pPr>
              <w:pStyle w:val="Compact"/>
            </w:pPr>
          </w:p>
        </w:tc>
        <w:tc>
          <w:tcPr/>
          <w:p>
            <w:pPr>
              <w:pStyle w:val="Compact"/>
            </w:pPr>
          </w:p>
        </w:tc>
        <w:tc>
          <w:tcPr/>
          <w:p>
            <w:pPr>
              <w:pStyle w:val="Compact"/>
            </w:pPr>
          </w:p>
        </w:tc>
      </w:tr>
    </w:tbl>
    <w:bookmarkEnd w:id="32"/>
    <w:bookmarkStart w:id="33" w:name="q12"/>
    <w:p>
      <w:pPr>
        <w:pStyle w:val="Heading3"/>
      </w:pPr>
      <w:r>
        <w:t xml:space="preserve">Q12</w:t>
      </w:r>
    </w:p>
    <w:p>
      <w:pPr>
        <w:pStyle w:val="FirstParagraph"/>
      </w:pPr>
      <w:r>
        <w:t xml:space="preserve">What do you notice about the estimated coefficient and standard errors for the variable</w:t>
      </w:r>
      <w:r>
        <w:t xml:space="preserve"> </w:t>
      </w:r>
      <w:r>
        <w:rPr>
          <w:rStyle w:val="VerbatimChar"/>
        </w:rPr>
        <w:t xml:space="preserve">fancyprogram</w:t>
      </w:r>
      <w:r>
        <w:t xml:space="preserve"> </w:t>
      </w:r>
      <w:r>
        <w:t xml:space="preserve">that varies only between schools?</w:t>
      </w:r>
    </w:p>
    <w:bookmarkEnd w:id="33"/>
    <w:bookmarkStart w:id="34" w:name="q13"/>
    <w:p>
      <w:pPr>
        <w:pStyle w:val="Heading3"/>
      </w:pPr>
      <w:r>
        <w:t xml:space="preserve">Q13</w:t>
      </w:r>
    </w:p>
    <w:p>
      <w:pPr>
        <w:pStyle w:val="FirstParagraph"/>
      </w:pPr>
      <w:r>
        <w:t xml:space="preserve">What do you notice about the estimated coefficient and standard errors for the variable</w:t>
      </w:r>
      <w:r>
        <w:t xml:space="preserve"> </w:t>
      </w:r>
      <w:r>
        <w:rPr>
          <w:rStyle w:val="VerbatimChar"/>
        </w:rPr>
        <w:t xml:space="preserve">highachiever</w:t>
      </w:r>
      <w:r>
        <w:t xml:space="preserve"> </w:t>
      </w:r>
      <w:r>
        <w:t xml:space="preserve">that varies between individual children?</w:t>
      </w:r>
    </w:p>
    <w:bookmarkEnd w:id="34"/>
    <w:bookmarkStart w:id="35" w:name="q14"/>
    <w:p>
      <w:pPr>
        <w:pStyle w:val="Heading3"/>
      </w:pPr>
      <w:r>
        <w:t xml:space="preserve">Q14</w:t>
      </w:r>
    </w:p>
    <w:p>
      <w:pPr>
        <w:pStyle w:val="FirstParagraph"/>
      </w:pPr>
      <w:r>
        <w:t xml:space="preserve">Compare the point estimates and standard errors across the given scenarios to determine the effect of misspecifying sources of correlation. Does it matter if the coefficient of interest varies between students or only between schools for:</w:t>
      </w:r>
    </w:p>
    <w:p>
      <w:pPr>
        <w:pStyle w:val="Compact"/>
        <w:numPr>
          <w:ilvl w:val="0"/>
          <w:numId w:val="1001"/>
        </w:numPr>
      </w:pPr>
      <w:r>
        <w:t xml:space="preserve">The point estimates?</w:t>
      </w:r>
    </w:p>
    <w:p>
      <w:pPr>
        <w:pStyle w:val="Compact"/>
        <w:numPr>
          <w:ilvl w:val="0"/>
          <w:numId w:val="1001"/>
        </w:numPr>
      </w:pPr>
      <w:r>
        <w:t xml:space="preserve">The standard errors?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PUBHBIO 7230 – Lab Activity #12</dc:title>
  <dc:creator/>
  <cp:keywords/>
  <dcterms:created xsi:type="dcterms:W3CDTF">2026-04-11T20:22:01Z</dcterms:created>
  <dcterms:modified xsi:type="dcterms:W3CDTF">2026-04-11T20:22:01Z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