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PUBHBIO</w:t>
      </w:r>
      <w:r>
        <w:t xml:space="preserve"> </w:t>
      </w:r>
      <w:r>
        <w:t xml:space="preserve">7230</w:t>
      </w:r>
      <w:r>
        <w:t xml:space="preserve"> </w:t>
      </w:r>
      <w:r>
        <w:t xml:space="preserve">–</w:t>
      </w:r>
      <w:r>
        <w:t xml:space="preserve"> </w:t>
      </w:r>
      <w:r>
        <w:t xml:space="preserve">Lab</w:t>
      </w:r>
      <w:r>
        <w:t xml:space="preserve"> </w:t>
      </w:r>
      <w:r>
        <w:t xml:space="preserve">Activity</w:t>
      </w:r>
      <w:r>
        <w:t xml:space="preserve"> </w:t>
      </w:r>
      <w:r>
        <w:t xml:space="preserve">#10</w:t>
      </w:r>
    </w:p>
    <w:p>
      <w:pPr>
        <w:pStyle w:val="FirstParagraph"/>
      </w:pPr>
      <w:r>
        <w:t xml:space="preserve">For this lab, we will be using two new simulated datasets (</w:t>
      </w:r>
      <w:r>
        <w:rPr>
          <w:b/>
          <w:bCs/>
        </w:rPr>
        <w:t xml:space="preserve">labdata10A.csv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labdata10B.csv</w:t>
      </w:r>
      <w:r>
        <w:t xml:space="preserve">) available on Carmen. In these simulated data, investigators are interested in estimating the effect of an intervention (trt=0 or 1) on compliance with medical recommendations. Individuals are measured 3 times (visits 1-3) and at each visit they are recorded as being either compliant (good=1) or not compliant (good=0).</w:t>
      </w:r>
    </w:p>
    <w:p>
      <w:pPr>
        <w:pStyle w:val="BodyText"/>
      </w:pPr>
      <w:r>
        <w:t xml:space="preserve">In labdata10A, data were simulated such that there is no correlation among observations from the same individuals (obviously not a likely real scenario). There are, however, three groups of individuals: those</w:t>
      </w:r>
      <w:r>
        <w:t xml:space="preserve"> </w:t>
      </w:r>
      <w:r>
        <w:t xml:space="preserve">“</w:t>
      </w:r>
      <w:r>
        <w:t xml:space="preserve">typical</w:t>
      </w:r>
      <w:r>
        <w:t xml:space="preserve">”</w:t>
      </w:r>
      <w:r>
        <w:t xml:space="preserve"> </w:t>
      </w:r>
      <w:r>
        <w:t xml:space="preserve">individuals (grp=1), those with</w:t>
      </w:r>
      <w:r>
        <w:t xml:space="preserve"> </w:t>
      </w:r>
      <w:r>
        <w:t xml:space="preserve">“</w:t>
      </w:r>
      <w:r>
        <w:t xml:space="preserve">below normal</w:t>
      </w:r>
      <w:r>
        <w:t xml:space="preserve">”</w:t>
      </w:r>
      <w:r>
        <w:t xml:space="preserve"> </w:t>
      </w:r>
      <w:r>
        <w:t xml:space="preserve">chance of complying (grp=2) and those with</w:t>
      </w:r>
      <w:r>
        <w:t xml:space="preserve"> </w:t>
      </w:r>
      <w:r>
        <w:t xml:space="preserve">“</w:t>
      </w:r>
      <w:r>
        <w:t xml:space="preserve">above normal</w:t>
      </w:r>
      <w:r>
        <w:t xml:space="preserve">”</w:t>
      </w:r>
      <w:r>
        <w:t xml:space="preserve"> </w:t>
      </w:r>
      <w:r>
        <w:t xml:space="preserve">chance of complying (grp=3).</w:t>
      </w:r>
    </w:p>
    <w:p>
      <w:pPr>
        <w:pStyle w:val="BodyText"/>
      </w:pPr>
      <w:r>
        <w:rPr>
          <w:i/>
          <w:iCs/>
        </w:rPr>
        <w:t xml:space="preserve">Coding tips</w:t>
      </w:r>
      <w:r>
        <w:t xml:space="preserve">:</w:t>
      </w:r>
    </w:p>
    <w:p>
      <w:pPr>
        <w:pStyle w:val="BodyText"/>
      </w:pPr>
      <w:r>
        <w:rPr>
          <w:i/>
          <w:iCs/>
        </w:rPr>
        <w:t xml:space="preserve">In STATA (13+)</w:t>
      </w:r>
      <w:r>
        <w:t xml:space="preserve">, fit GLMM models using</w:t>
      </w:r>
      <w:r>
        <w:t xml:space="preserve"> </w:t>
      </w:r>
      <w:r>
        <w:rPr>
          <w:rStyle w:val="VerbatimChar"/>
        </w:rPr>
        <w:t xml:space="preserve">meqrlogit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meqrpoisson</w:t>
      </w:r>
      <w:r>
        <w:t xml:space="preserve">.</w:t>
      </w:r>
    </w:p>
    <w:p>
      <w:pPr>
        <w:pStyle w:val="BodyText"/>
      </w:pPr>
      <w:r>
        <w:t xml:space="preserve">Note that for both of these commands, the regular option</w:t>
      </w:r>
      <w:r>
        <w:t xml:space="preserve"> </w:t>
      </w:r>
      <w:r>
        <w:t xml:space="preserve">“</w:t>
      </w:r>
      <w:r>
        <w:t xml:space="preserve">eform</w:t>
      </w:r>
      <w:r>
        <w:t xml:space="preserve">”</w:t>
      </w:r>
      <w:r>
        <w:t xml:space="preserve"> </w:t>
      </w:r>
      <w:r>
        <w:t xml:space="preserve">does not work. To display exponentiated coefficient estimates, use the option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for logistic models and</w:t>
      </w:r>
      <w:r>
        <w:t xml:space="preserve"> </w:t>
      </w:r>
      <w:r>
        <w:rPr>
          <w:rStyle w:val="VerbatimChar"/>
        </w:rPr>
        <w:t xml:space="preserve">irr</w:t>
      </w:r>
      <w:r>
        <w:t xml:space="preserve"> </w:t>
      </w:r>
      <w:r>
        <w:t xml:space="preserve">for poisson models, e.g.,</w:t>
      </w:r>
      <w:r>
        <w:t xml:space="preserve"> </w:t>
      </w:r>
      <w:r>
        <w:rPr>
          <w:rStyle w:val="VerbatimChar"/>
        </w:rPr>
        <w:t xml:space="preserve">meqrlogit myoutcome age sex group2 || id: , or</w:t>
      </w:r>
    </w:p>
    <w:p>
      <w:pPr>
        <w:pStyle w:val="BodyText"/>
      </w:pPr>
      <w:r>
        <w:rPr>
          <w:i/>
          <w:iCs/>
        </w:rPr>
        <w:t xml:space="preserve">In R</w:t>
      </w:r>
      <w:r>
        <w:t xml:space="preserve">, use the function</w:t>
      </w:r>
      <w:r>
        <w:t xml:space="preserve"> </w:t>
      </w:r>
      <w:r>
        <w:rPr>
          <w:rStyle w:val="VerbatimChar"/>
        </w:rPr>
        <w:t xml:space="preserve">mixed_model</w:t>
      </w:r>
      <w:r>
        <w:t xml:space="preserve"> </w:t>
      </w:r>
      <w:r>
        <w:t xml:space="preserve">from the package</w:t>
      </w:r>
      <w:r>
        <w:t xml:space="preserve"> </w:t>
      </w:r>
      <w:r>
        <w:rPr>
          <w:b/>
          <w:bCs/>
        </w:rPr>
        <w:t xml:space="preserve">GLMMadaptive</w:t>
      </w:r>
      <w:r>
        <w:t xml:space="preserve">.</w:t>
      </w:r>
    </w:p>
    <w:bookmarkStart w:id="28" w:name="using-good-outcome-from-labdata10a"/>
    <w:p>
      <w:pPr>
        <w:pStyle w:val="Heading2"/>
      </w:pPr>
      <w:r>
        <w:t xml:space="preserve">Using</w:t>
      </w:r>
      <w:r>
        <w:t xml:space="preserve"> </w:t>
      </w:r>
      <w:r>
        <w:t xml:space="preserve">“</w:t>
      </w:r>
      <w:r>
        <w:t xml:space="preserve">good</w:t>
      </w:r>
      <w:r>
        <w:t xml:space="preserve">”</w:t>
      </w:r>
      <w:r>
        <w:t xml:space="preserve"> </w:t>
      </w:r>
      <w:r>
        <w:t xml:space="preserve">outcome from labdata10A</w:t>
      </w:r>
    </w:p>
    <w:bookmarkStart w:id="20" w:name="q1."/>
    <w:p>
      <w:pPr>
        <w:pStyle w:val="Heading3"/>
      </w:pPr>
      <w:r>
        <w:t xml:space="preserve">Q1.</w:t>
      </w:r>
    </w:p>
    <w:p>
      <w:pPr>
        <w:pStyle w:val="FirstParagraph"/>
      </w:pPr>
      <w:r>
        <w:t xml:space="preserve">Verify that group is not associated with treatment status with either descriptive statistics or a statistical test.</w:t>
      </w:r>
    </w:p>
    <w:bookmarkEnd w:id="20"/>
    <w:bookmarkStart w:id="21" w:name="q2."/>
    <w:p>
      <w:pPr>
        <w:pStyle w:val="Heading3"/>
      </w:pPr>
      <w:r>
        <w:t xml:space="preserve">Q2.</w:t>
      </w:r>
    </w:p>
    <w:p>
      <w:pPr>
        <w:pStyle w:val="FirstParagraph"/>
      </w:pPr>
      <w:r>
        <w:t xml:space="preserve">Fill in the table below showing the probability of being compliant in each strata: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of Compliance in Untreated (tmt=0)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 of Compliance in Treated (tmt=1)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 (grp=1)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Below normal (grp=2)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Above normal (grp=3)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Overall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Fit a GEE model using working independence and assuming no mean-variance relationship to estimate the absolute improvement in probability of being compliant</w:t>
      </w:r>
      <w:r>
        <w:t xml:space="preserve"> </w:t>
      </w:r>
      <w:r>
        <w:rPr>
          <w:b/>
          <w:bCs/>
        </w:rPr>
        <w:t xml:space="preserve">unadjusted</w:t>
      </w:r>
      <w:r>
        <w:t xml:space="preserve"> </w:t>
      </w:r>
      <w:r>
        <w:t xml:space="preserve">for group. Report the percentage point increase in probability in treated compared to untreated. How does this answer compare to your results in question 2?</w:t>
      </w:r>
    </w:p>
    <w:bookmarkEnd w:id="22"/>
    <w:bookmarkStart w:id="23" w:name="q4."/>
    <w:p>
      <w:pPr>
        <w:pStyle w:val="Heading3"/>
      </w:pPr>
      <w:r>
        <w:t xml:space="preserve">Q4.</w:t>
      </w:r>
    </w:p>
    <w:p>
      <w:pPr>
        <w:pStyle w:val="FirstParagraph"/>
      </w:pPr>
      <w:r>
        <w:t xml:space="preserve">Fit a GEE model using working independence and assuming no mean-variance relationship to estimate the absolute improvement in probability of being compliant</w:t>
      </w:r>
      <w:r>
        <w:t xml:space="preserve"> </w:t>
      </w:r>
      <w:r>
        <w:rPr>
          <w:b/>
          <w:bCs/>
        </w:rPr>
        <w:t xml:space="preserve">adjusting</w:t>
      </w:r>
      <w:r>
        <w:t xml:space="preserve"> </w:t>
      </w:r>
      <w:r>
        <w:t xml:space="preserve">for group. Report the percentage point increase in probability in treated compared to untreated, adjusted for group. How does this answer compare to your results in Q2?</w:t>
      </w:r>
    </w:p>
    <w:bookmarkEnd w:id="23"/>
    <w:bookmarkStart w:id="24" w:name="q5."/>
    <w:p>
      <w:pPr>
        <w:pStyle w:val="Heading3"/>
      </w:pPr>
      <w:r>
        <w:t xml:space="preserve">Q5.</w:t>
      </w:r>
    </w:p>
    <w:p>
      <w:pPr>
        <w:pStyle w:val="FirstParagraph"/>
      </w:pPr>
      <w:r>
        <w:t xml:space="preserve">Fit a GEE model using working independence (and binomial variance) to estimate the multiplicative change in the odds being compliant</w:t>
      </w:r>
      <w:r>
        <w:t xml:space="preserve"> </w:t>
      </w:r>
      <w:r>
        <w:rPr>
          <w:b/>
          <w:bCs/>
        </w:rPr>
        <w:t xml:space="preserve">unadjusted</w:t>
      </w:r>
      <w:r>
        <w:t xml:space="preserve"> </w:t>
      </w:r>
      <w:r>
        <w:t xml:space="preserve">for group. Report the odds ratio comparing treated to untreated. How does this answer compare to your results in Q2?</w:t>
      </w:r>
    </w:p>
    <w:bookmarkEnd w:id="24"/>
    <w:bookmarkStart w:id="25" w:name="q6."/>
    <w:p>
      <w:pPr>
        <w:pStyle w:val="Heading3"/>
      </w:pPr>
      <w:r>
        <w:t xml:space="preserve">Q6.</w:t>
      </w:r>
    </w:p>
    <w:p>
      <w:pPr>
        <w:pStyle w:val="FirstParagraph"/>
      </w:pPr>
      <w:r>
        <w:t xml:space="preserve">Fit a GEE model using working independence (and binomial variance) to estimate the multiplicative change in the odds being compliant</w:t>
      </w:r>
      <w:r>
        <w:t xml:space="preserve"> </w:t>
      </w:r>
      <w:r>
        <w:rPr>
          <w:b/>
          <w:bCs/>
        </w:rPr>
        <w:t xml:space="preserve">adjusting</w:t>
      </w:r>
      <w:r>
        <w:t xml:space="preserve"> </w:t>
      </w:r>
      <w:r>
        <w:t xml:space="preserve">for group. Report the odds ratio comparing treated to untreated.</w:t>
      </w:r>
    </w:p>
    <w:bookmarkEnd w:id="25"/>
    <w:bookmarkStart w:id="26" w:name="q7."/>
    <w:p>
      <w:pPr>
        <w:pStyle w:val="Heading3"/>
      </w:pPr>
      <w:r>
        <w:t xml:space="preserve">Q7.</w:t>
      </w:r>
    </w:p>
    <w:p>
      <w:pPr>
        <w:pStyle w:val="FirstParagraph"/>
      </w:pPr>
      <w:r>
        <w:t xml:space="preserve">One common explanation for the results in Q5 and Q6 is that</w:t>
      </w:r>
      <w:r>
        <w:t xml:space="preserve"> </w:t>
      </w:r>
      <w:r>
        <w:t xml:space="preserve">“</w:t>
      </w:r>
      <w:r>
        <w:t xml:space="preserve">Group must be an effect modifier</w:t>
      </w:r>
      <w:r>
        <w:t xml:space="preserve">”</w:t>
      </w:r>
      <w:r>
        <w:t xml:space="preserve">. Calculate the stratified odds ratio (treated:untreated) in each of the three groups and test for an interaction between treatment and group. Does that explain your results?</w:t>
      </w:r>
    </w:p>
    <w:bookmarkEnd w:id="26"/>
    <w:bookmarkStart w:id="27" w:name="q8."/>
    <w:p>
      <w:pPr>
        <w:pStyle w:val="Heading3"/>
      </w:pPr>
      <w:r>
        <w:t xml:space="preserve">Q8.</w:t>
      </w:r>
    </w:p>
    <w:p>
      <w:pPr>
        <w:pStyle w:val="FirstParagraph"/>
      </w:pPr>
      <w:r>
        <w:t xml:space="preserve">If the three groups from Q1-Q7 were more similar in terms of probability of being compliant, what do you think would happen to your estimated OR comparing the unadjusted and adjusted models?</w:t>
      </w:r>
    </w:p>
    <w:bookmarkEnd w:id="27"/>
    <w:bookmarkEnd w:id="28"/>
    <w:bookmarkStart w:id="33" w:name="X165061b2c88c4951f7f42bcf6d425fd2e856225"/>
    <w:p>
      <w:pPr>
        <w:pStyle w:val="Heading2"/>
      </w:pPr>
      <w:r>
        <w:t xml:space="preserve">Using</w:t>
      </w:r>
      <w:r>
        <w:t xml:space="preserve"> </w:t>
      </w:r>
      <w:r>
        <w:t xml:space="preserve">“</w:t>
      </w:r>
      <w:r>
        <w:t xml:space="preserve">good1</w:t>
      </w:r>
      <w:r>
        <w:t xml:space="preserve">”</w:t>
      </w:r>
      <w:r>
        <w:t xml:space="preserve"> </w:t>
      </w:r>
      <w:r>
        <w:t xml:space="preserve">outcome from labdata10B – large random effect</w:t>
      </w:r>
    </w:p>
    <w:bookmarkStart w:id="29" w:name="q9."/>
    <w:p>
      <w:pPr>
        <w:pStyle w:val="Heading3"/>
      </w:pPr>
      <w:r>
        <w:t xml:space="preserve">Q9.</w:t>
      </w:r>
    </w:p>
    <w:p>
      <w:pPr>
        <w:pStyle w:val="FirstParagraph"/>
      </w:pPr>
      <w:r>
        <w:t xml:space="preserve">Fit a GEE model using working exchangeable correlation to estimate the multiplicative change in the odds being compliant comparing treated to untreated. Report the estimated OR from this model.</w:t>
      </w:r>
    </w:p>
    <w:bookmarkEnd w:id="29"/>
    <w:bookmarkStart w:id="30" w:name="q10."/>
    <w:p>
      <w:pPr>
        <w:pStyle w:val="Heading3"/>
      </w:pPr>
      <w:r>
        <w:t xml:space="preserve">Q10.</w:t>
      </w:r>
    </w:p>
    <w:p>
      <w:pPr>
        <w:pStyle w:val="FirstParagraph"/>
      </w:pPr>
      <w:r>
        <w:t xml:space="preserve">Fit a GLMM model with a random intercept to estimate the multiplicative change in the odds of being compliant comparing treated to untreated. Report the estimated OR from this model.</w:t>
      </w:r>
    </w:p>
    <w:bookmarkEnd w:id="30"/>
    <w:bookmarkStart w:id="31" w:name="q11."/>
    <w:p>
      <w:pPr>
        <w:pStyle w:val="Heading3"/>
      </w:pPr>
      <w:r>
        <w:t xml:space="preserve">Q11.</w:t>
      </w:r>
    </w:p>
    <w:p>
      <w:pPr>
        <w:pStyle w:val="FirstParagraph"/>
      </w:pPr>
      <w:r>
        <w:t xml:space="preserve">Repeat the analyses in Q9 and Q10 while varying the variability of the random effects. Fill in the table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Simulated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GEE est. 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GLMM est. OR</w:t>
            </w:r>
          </w:p>
        </w:tc>
        <w:tc>
          <w:tcPr/>
          <w:p>
            <w:pPr>
              <w:pStyle w:val="Compact"/>
              <w:jc w:val="left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(from GLMM)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q12."/>
    <w:p>
      <w:pPr>
        <w:pStyle w:val="Heading3"/>
      </w:pPr>
      <w:r>
        <w:t xml:space="preserve">Q12.</w:t>
      </w:r>
    </w:p>
    <w:p>
      <w:pPr>
        <w:pStyle w:val="FirstParagraph"/>
      </w:pPr>
      <w:r>
        <w:t xml:space="preserve">What do you notice about the point estimates from GEE and GLMM?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PUBHBIO 7230 – Lab Activity #10</dc:title>
  <dc:creator/>
  <cp:keywords/>
  <dcterms:created xsi:type="dcterms:W3CDTF">2026-03-28T17:09:39Z</dcterms:created>
  <dcterms:modified xsi:type="dcterms:W3CDTF">2026-03-28T17:09:39Z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