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11/relationships/webextensiontaskpanes" Target="word/webextensions/taskpanes.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F1E43" w14:textId="77777777" w:rsidR="009A72D2" w:rsidRPr="000C0A34" w:rsidRDefault="009A72D2" w:rsidP="000C0A34">
      <w:pPr>
        <w:pBdr>
          <w:bottom w:val="single" w:sz="14" w:space="8" w:color="1A3A5C"/>
        </w:pBdr>
        <w:spacing w:line="276" w:lineRule="auto"/>
        <w:jc w:val="center"/>
        <w:rPr>
          <w:rFonts w:ascii="Times New Roman" w:hAnsi="Times New Roman" w:cs="Times New Roman"/>
          <w:b/>
          <w:bCs/>
          <w:color w:val="auto"/>
          <w:sz w:val="24"/>
          <w:szCs w:val="24"/>
        </w:rPr>
      </w:pPr>
      <w:r w:rsidRPr="000C0A34">
        <w:rPr>
          <w:rFonts w:ascii="Times New Roman" w:hAnsi="Times New Roman" w:cs="Times New Roman"/>
          <w:b/>
          <w:bCs/>
          <w:color w:val="auto"/>
          <w:sz w:val="24"/>
          <w:szCs w:val="24"/>
          <w:highlight w:val="yellow"/>
        </w:rPr>
        <w:t>PROPOSTA DE ESTRUTURA</w:t>
      </w:r>
    </w:p>
    <w:p w14:paraId="1628447D" w14:textId="3CBAA740" w:rsidR="004C4B34" w:rsidRPr="000C0A34" w:rsidRDefault="004E1A19" w:rsidP="000C0A34">
      <w:pPr>
        <w:pBdr>
          <w:bottom w:val="single" w:sz="14" w:space="8" w:color="1A3A5C"/>
        </w:pBdr>
        <w:spacing w:line="276" w:lineRule="auto"/>
        <w:jc w:val="center"/>
        <w:rPr>
          <w:rFonts w:ascii="Times New Roman" w:hAnsi="Times New Roman" w:cs="Times New Roman"/>
          <w:color w:val="auto"/>
          <w:sz w:val="24"/>
          <w:szCs w:val="24"/>
        </w:rPr>
      </w:pPr>
      <w:r w:rsidRPr="000C0A34">
        <w:rPr>
          <w:rFonts w:ascii="Times New Roman" w:hAnsi="Times New Roman" w:cs="Times New Roman"/>
          <w:b/>
          <w:bCs/>
          <w:color w:val="auto"/>
          <w:sz w:val="24"/>
          <w:szCs w:val="24"/>
        </w:rPr>
        <w:t>DIAGNÓSTICO SITUACIONAL</w:t>
      </w:r>
    </w:p>
    <w:p w14:paraId="572130C1" w14:textId="77777777" w:rsidR="009B593E" w:rsidRPr="000C0A34" w:rsidRDefault="009B593E" w:rsidP="000C0A34">
      <w:pPr>
        <w:spacing w:before="80" w:line="276" w:lineRule="auto"/>
        <w:jc w:val="center"/>
        <w:rPr>
          <w:rFonts w:ascii="Times New Roman" w:hAnsi="Times New Roman" w:cs="Times New Roman"/>
          <w:b/>
          <w:bCs/>
          <w:color w:val="auto"/>
          <w:sz w:val="24"/>
          <w:szCs w:val="24"/>
        </w:rPr>
      </w:pPr>
    </w:p>
    <w:p w14:paraId="21D83B9E" w14:textId="4C7B516C" w:rsidR="004C4B34" w:rsidRPr="000C0A34" w:rsidRDefault="009A72D2" w:rsidP="000C0A34">
      <w:pPr>
        <w:spacing w:before="80" w:line="276" w:lineRule="auto"/>
        <w:jc w:val="center"/>
        <w:rPr>
          <w:rFonts w:ascii="Times New Roman" w:hAnsi="Times New Roman" w:cs="Times New Roman"/>
          <w:b/>
          <w:bCs/>
          <w:color w:val="auto"/>
          <w:sz w:val="24"/>
          <w:szCs w:val="24"/>
        </w:rPr>
      </w:pPr>
      <w:r w:rsidRPr="000C0A34">
        <w:rPr>
          <w:rFonts w:ascii="Times New Roman" w:hAnsi="Times New Roman" w:cs="Times New Roman"/>
          <w:b/>
          <w:bCs/>
          <w:color w:val="auto"/>
          <w:sz w:val="24"/>
          <w:szCs w:val="24"/>
          <w:highlight w:val="yellow"/>
        </w:rPr>
        <w:t xml:space="preserve">TERRITÓRIO DE EXEMPLO: </w:t>
      </w:r>
      <w:r w:rsidR="004E1A19" w:rsidRPr="000C0A34">
        <w:rPr>
          <w:rFonts w:ascii="Times New Roman" w:hAnsi="Times New Roman" w:cs="Times New Roman"/>
          <w:b/>
          <w:bCs/>
          <w:color w:val="auto"/>
          <w:sz w:val="24"/>
          <w:szCs w:val="24"/>
          <w:highlight w:val="yellow"/>
        </w:rPr>
        <w:t>CAMPO GRANDE</w:t>
      </w:r>
      <w:r w:rsidRPr="000C0A34">
        <w:rPr>
          <w:rFonts w:ascii="Times New Roman" w:hAnsi="Times New Roman" w:cs="Times New Roman"/>
          <w:b/>
          <w:bCs/>
          <w:color w:val="auto"/>
          <w:sz w:val="24"/>
          <w:szCs w:val="24"/>
          <w:highlight w:val="yellow"/>
        </w:rPr>
        <w:t>/MS</w:t>
      </w:r>
    </w:p>
    <w:p w14:paraId="0C560A1F" w14:textId="77777777" w:rsidR="000C0A34" w:rsidRPr="000C0A34" w:rsidRDefault="000C0A34" w:rsidP="000C0A34">
      <w:pPr>
        <w:rPr>
          <w:color w:val="auto"/>
          <w:lang w:eastAsia="en-US"/>
        </w:rPr>
      </w:pPr>
    </w:p>
    <w:p w14:paraId="04091878" w14:textId="283F587D" w:rsidR="004C4B34" w:rsidRPr="000C0A34" w:rsidRDefault="009A72D2" w:rsidP="000C0A34">
      <w:pPr>
        <w:pStyle w:val="Ttulo1"/>
        <w:keepNext/>
        <w:keepLines/>
        <w:spacing w:before="240" w:line="276" w:lineRule="auto"/>
        <w:rPr>
          <w:rFonts w:ascii="Times New Roman" w:eastAsiaTheme="majorEastAsia" w:hAnsi="Times New Roman" w:cs="Times New Roman"/>
          <w:bCs w:val="0"/>
          <w:color w:val="auto"/>
          <w:kern w:val="2"/>
          <w:sz w:val="24"/>
          <w:szCs w:val="24"/>
          <w:lang w:eastAsia="en-US"/>
          <w14:ligatures w14:val="standardContextual"/>
        </w:rPr>
      </w:pPr>
      <w:r w:rsidRPr="000C0A34">
        <w:rPr>
          <w:rFonts w:ascii="Times New Roman" w:eastAsiaTheme="majorEastAsia" w:hAnsi="Times New Roman" w:cs="Times New Roman"/>
          <w:bCs w:val="0"/>
          <w:color w:val="auto"/>
          <w:kern w:val="2"/>
          <w:sz w:val="24"/>
          <w:szCs w:val="24"/>
          <w:lang w:eastAsia="en-US"/>
          <w14:ligatures w14:val="standardContextual"/>
        </w:rPr>
        <w:t>RESUMO EXECUTIVO</w:t>
      </w:r>
    </w:p>
    <w:p w14:paraId="6BFC7501" w14:textId="77777777" w:rsidR="004C4B34" w:rsidRPr="000C0A34" w:rsidRDefault="004E1A19" w:rsidP="000C0A34">
      <w:pPr>
        <w:spacing w:before="60" w:line="276" w:lineRule="auto"/>
        <w:jc w:val="both"/>
        <w:rPr>
          <w:rFonts w:ascii="Times New Roman" w:hAnsi="Times New Roman" w:cs="Times New Roman"/>
          <w:color w:val="auto"/>
          <w:sz w:val="24"/>
          <w:szCs w:val="24"/>
        </w:rPr>
      </w:pPr>
      <w:r w:rsidRPr="000C0A34">
        <w:rPr>
          <w:rFonts w:ascii="Times New Roman" w:hAnsi="Times New Roman" w:cs="Times New Roman"/>
          <w:color w:val="auto"/>
          <w:sz w:val="24"/>
          <w:szCs w:val="24"/>
        </w:rPr>
        <w:t>Campo Grande, capital de Mato Grosso do Sul, concentra 897.938 habitantes (Censo 2022), representa 32,6% da população estadual e gera PIB estimado em R$ 40 bilhões (2023). A contradição estrutural que atravessa todos os seis eixos é a coexistência de um dos maiores produtos econômicos do Centro-Oeste com vulnerabilidades sociais, territoriais e ambientais persistentes: PIB per capita de R$ 37,9 mil abaixo da média estadual de R$ 50,1 mil, seis aldeias indígenas Terena em precariedade habitacional, dengue endêmica com 19.473 casos prováveis no estado em 2024, 18,3 bilhões de litros anuais de esgoto lançados sem tratamento, periferias Sul e Leste negadas de infraestrutura, cultura e mobilidade, e instâncias de participação social com poder efetivo de influência ainda a ser consolidado. Este diagnóstico organiza as evidências territoriais de Campo Grande segundo os 126 fatores distribuídos nos seis Temas Geradores da Pedagogia da Práxis no Território, estrutura que garante coerência entre o que a cartografia social produz nos Círculos de Cultura e o que o planejamento estratégico situacional utiliza para identificar nós críticos e propor intervenções.</w:t>
      </w:r>
    </w:p>
    <w:p w14:paraId="77D4D34F" w14:textId="77777777" w:rsidR="000C0A34" w:rsidRPr="000C0A34" w:rsidRDefault="000C0A34" w:rsidP="000C0A34">
      <w:pPr>
        <w:spacing w:before="60" w:line="276" w:lineRule="auto"/>
        <w:jc w:val="both"/>
        <w:rPr>
          <w:rFonts w:ascii="Times New Roman" w:hAnsi="Times New Roman" w:cs="Times New Roman"/>
          <w:color w:val="auto"/>
          <w:sz w:val="24"/>
          <w:szCs w:val="24"/>
        </w:rPr>
        <w:sectPr w:rsidR="000C0A34" w:rsidRPr="000C0A34" w:rsidSect="00AC2725">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09" w:footer="709" w:gutter="0"/>
          <w:cols w:space="720"/>
          <w:titlePg/>
          <w:docGrid w:linePitch="360"/>
        </w:sectPr>
      </w:pPr>
    </w:p>
    <w:p w14:paraId="2786EB3F" w14:textId="2D0CCBAA" w:rsidR="009A72D2" w:rsidRPr="000C0A34" w:rsidRDefault="009A72D2" w:rsidP="000C0A34">
      <w:pPr>
        <w:pStyle w:val="Ttulo1"/>
        <w:keepNext/>
        <w:keepLines/>
        <w:spacing w:before="0" w:after="0" w:line="276" w:lineRule="auto"/>
        <w:jc w:val="center"/>
        <w:rPr>
          <w:rFonts w:ascii="Times New Roman" w:eastAsiaTheme="majorEastAsia" w:hAnsi="Times New Roman" w:cs="Times New Roman"/>
          <w:bCs w:val="0"/>
          <w:color w:val="auto"/>
          <w:kern w:val="2"/>
          <w:sz w:val="24"/>
          <w:szCs w:val="24"/>
          <w:lang w:eastAsia="en-US"/>
          <w14:ligatures w14:val="standardContextual"/>
        </w:rPr>
      </w:pPr>
      <w:r w:rsidRPr="000C0A34">
        <w:rPr>
          <w:rFonts w:ascii="Times New Roman" w:eastAsiaTheme="majorEastAsia" w:hAnsi="Times New Roman" w:cs="Times New Roman"/>
          <w:bCs w:val="0"/>
          <w:color w:val="auto"/>
          <w:kern w:val="2"/>
          <w:sz w:val="24"/>
          <w:szCs w:val="24"/>
          <w:lang w:eastAsia="en-US"/>
          <w14:ligatures w14:val="standardContextual"/>
        </w:rPr>
        <w:t>EIXO 1. O SUOR QUE NÃO NOS SUSTENTA</w:t>
      </w:r>
    </w:p>
    <w:p w14:paraId="425B5F82" w14:textId="466BE241" w:rsidR="00B24AE0" w:rsidRPr="000C0A34" w:rsidRDefault="004E1A19" w:rsidP="000C0A34">
      <w:pPr>
        <w:spacing w:line="276" w:lineRule="auto"/>
        <w:jc w:val="both"/>
        <w:rPr>
          <w:rFonts w:ascii="Times New Roman" w:hAnsi="Times New Roman" w:cs="Times New Roman"/>
          <w:color w:val="auto"/>
          <w:sz w:val="24"/>
          <w:szCs w:val="24"/>
        </w:rPr>
      </w:pPr>
      <w:r w:rsidRPr="000C0A34">
        <w:rPr>
          <w:rFonts w:ascii="Times New Roman" w:hAnsi="Times New Roman" w:cs="Times New Roman"/>
          <w:color w:val="auto"/>
          <w:sz w:val="24"/>
          <w:szCs w:val="24"/>
        </w:rPr>
        <w:t>Este capítulo apresenta a leitura territorial de Campo Grande pelos 21 fatores do Eixo 1 (O Suor que não nos Sustenta). Cada fator é analisado em sua expressão concreta no território campo-grandense, articulando dados secundários</w:t>
      </w:r>
      <w:r w:rsidR="00B24AE0" w:rsidRPr="000C0A34">
        <w:rPr>
          <w:rFonts w:ascii="Times New Roman" w:hAnsi="Times New Roman" w:cs="Times New Roman"/>
          <w:color w:val="auto"/>
          <w:sz w:val="24"/>
          <w:szCs w:val="24"/>
        </w:rPr>
        <w:t xml:space="preserve"> e</w:t>
      </w:r>
      <w:r w:rsidRPr="000C0A34">
        <w:rPr>
          <w:rFonts w:ascii="Times New Roman" w:hAnsi="Times New Roman" w:cs="Times New Roman"/>
          <w:color w:val="auto"/>
          <w:sz w:val="24"/>
          <w:szCs w:val="24"/>
        </w:rPr>
        <w:t xml:space="preserve"> indicadores dos sistemas de informação em saúde</w:t>
      </w:r>
      <w:r w:rsidR="00B24AE0" w:rsidRPr="000C0A34">
        <w:rPr>
          <w:rFonts w:ascii="Times New Roman" w:hAnsi="Times New Roman" w:cs="Times New Roman"/>
          <w:color w:val="auto"/>
          <w:sz w:val="24"/>
          <w:szCs w:val="24"/>
        </w:rPr>
        <w:t>.</w:t>
      </w:r>
    </w:p>
    <w:p w14:paraId="0A42030B" w14:textId="77777777" w:rsidR="009A72D2" w:rsidRPr="000C0A34" w:rsidRDefault="009A72D2" w:rsidP="000C0A34">
      <w:pPr>
        <w:spacing w:line="276" w:lineRule="auto"/>
        <w:jc w:val="both"/>
        <w:rPr>
          <w:rFonts w:ascii="Times New Roman" w:hAnsi="Times New Roman" w:cs="Times New Roman"/>
          <w:color w:val="auto"/>
          <w:sz w:val="24"/>
          <w:szCs w:val="24"/>
        </w:rPr>
      </w:pPr>
    </w:p>
    <w:p w14:paraId="3E795058" w14:textId="7BFB9509" w:rsidR="004C4B34" w:rsidRPr="000C0A34" w:rsidRDefault="009A72D2" w:rsidP="000C0A34">
      <w:pPr>
        <w:spacing w:line="276" w:lineRule="auto"/>
        <w:jc w:val="both"/>
        <w:rPr>
          <w:rFonts w:ascii="Times New Roman" w:hAnsi="Times New Roman" w:cs="Times New Roman"/>
          <w:i/>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Agricultura Familiar</w:t>
      </w:r>
      <w:r w:rsidR="00AC2725" w:rsidRPr="000C0A34">
        <w:rPr>
          <w:rFonts w:ascii="Times New Roman" w:hAnsi="Times New Roman" w:cs="Times New Roman"/>
          <w:b/>
          <w:i/>
          <w:color w:val="auto"/>
          <w:sz w:val="24"/>
          <w:szCs w:val="24"/>
        </w:rPr>
        <w:t xml:space="preserve">: </w:t>
      </w:r>
      <w:r w:rsidR="004E1A19" w:rsidRPr="000C0A34">
        <w:rPr>
          <w:rFonts w:ascii="Times New Roman" w:hAnsi="Times New Roman" w:cs="Times New Roman"/>
          <w:color w:val="auto"/>
          <w:sz w:val="24"/>
          <w:szCs w:val="24"/>
        </w:rPr>
        <w:t>A agricultura familiar tem expressão incipiente no território campo-grandense, concentrando-se em assentamentos rurais do cinturão periurbano e em práticas de quintais produtivos em bairros periféricos. O município não dispõe de política municipal estruturada de compras institucionais da agricultura familiar que alcance o potencial do PNAE e do PAA em escala relevante. O Perfil Socioeconômico de Campo Grande (PLANURB, 2023) registra participação da agropecuária de apenas 2,8% no PIB municipal, evidenciando que a produção alimentar local cobre fração mínima do consumo da cidade. A Região Sul e as margens da zona rural próximas a assentamentos do MST e do INCRA concentram as experiências mais organizadas de produção familiar, com potencial para integração a cadeias curtas de comercialização.</w:t>
      </w:r>
    </w:p>
    <w:p w14:paraId="4F0C25DF" w14:textId="00ABE2F2" w:rsidR="004C4B34" w:rsidRPr="000C0A34" w:rsidRDefault="004C4B34" w:rsidP="000C0A34">
      <w:pPr>
        <w:tabs>
          <w:tab w:val="left" w:pos="1060"/>
        </w:tabs>
        <w:spacing w:line="276" w:lineRule="auto"/>
        <w:jc w:val="both"/>
        <w:rPr>
          <w:rFonts w:ascii="Times New Roman" w:hAnsi="Times New Roman" w:cs="Times New Roman"/>
          <w:color w:val="auto"/>
          <w:sz w:val="24"/>
          <w:szCs w:val="24"/>
        </w:rPr>
      </w:pPr>
    </w:p>
    <w:p w14:paraId="3C1F1C2D" w14:textId="1ED03944" w:rsidR="004C4B34" w:rsidRPr="000C0A34" w:rsidRDefault="009A72D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Desemprego</w:t>
      </w:r>
      <w:r w:rsidR="004C08BE" w:rsidRPr="000C0A34">
        <w:rPr>
          <w:rFonts w:ascii="Times New Roman" w:hAnsi="Times New Roman" w:cs="Times New Roman"/>
          <w:b/>
          <w:i/>
          <w:color w:val="auto"/>
          <w:sz w:val="24"/>
          <w:szCs w:val="24"/>
        </w:rPr>
        <w:t xml:space="preserve">: </w:t>
      </w:r>
      <w:r w:rsidR="004E1A19" w:rsidRPr="000C0A34">
        <w:rPr>
          <w:rFonts w:ascii="Times New Roman" w:hAnsi="Times New Roman" w:cs="Times New Roman"/>
          <w:color w:val="auto"/>
          <w:sz w:val="24"/>
          <w:szCs w:val="24"/>
        </w:rPr>
        <w:t>O desemprego estrutural afeta desproporcionalmente as periferias Sul e Leste de Campo Grande, onde se concentram as famílias inscritas no CadÚnico e os beneficiários de transferência de renda. Em 2025, o saldo de emprego formal acumulado entre janeiro e setembro foi de 8.107 postos</w:t>
      </w:r>
      <w:r w:rsidR="00001CC6"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inferior ao saldo de 8.612 do mesmo período de 2024</w:t>
      </w:r>
      <w:r w:rsidR="00001CC6"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sinalizando moderação do mercado formal. O emprego predominante nas ocupações de base (faxineiros, assistentes administrativos, prestadores de serviços gerais) reflete a estrutura salarial achatada que não rompe com a condição de vulnerabilidade mesmo para quem tem trabalho. A informalidade</w:t>
      </w:r>
      <w:r w:rsidR="00001CC6"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invisível nas estatísticas de emprego formal</w:t>
      </w:r>
      <w:r w:rsidR="00001CC6"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atinge trabalhadores domésticos, da construção civil, do comércio ambulante e da reciclagem, sem proteção previdenciária ou trabalhista.</w:t>
      </w:r>
    </w:p>
    <w:p w14:paraId="2DCD88D6" w14:textId="77777777" w:rsidR="009A72D2" w:rsidRPr="000C0A34" w:rsidRDefault="009A72D2" w:rsidP="000C0A34">
      <w:pPr>
        <w:spacing w:line="276" w:lineRule="auto"/>
        <w:jc w:val="both"/>
        <w:rPr>
          <w:rFonts w:ascii="Times New Roman" w:hAnsi="Times New Roman" w:cs="Times New Roman"/>
          <w:color w:val="auto"/>
          <w:sz w:val="24"/>
          <w:szCs w:val="24"/>
        </w:rPr>
      </w:pPr>
    </w:p>
    <w:p w14:paraId="5A20B232" w14:textId="139FA563" w:rsidR="004C4B34" w:rsidRPr="000C0A34" w:rsidRDefault="009A72D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Geração de emprego e renda</w:t>
      </w:r>
      <w:r w:rsidR="004C08BE" w:rsidRPr="000C0A34">
        <w:rPr>
          <w:rFonts w:ascii="Times New Roman" w:hAnsi="Times New Roman" w:cs="Times New Roman"/>
          <w:b/>
          <w:i/>
          <w:color w:val="auto"/>
          <w:sz w:val="24"/>
          <w:szCs w:val="24"/>
        </w:rPr>
        <w:t xml:space="preserve">: </w:t>
      </w:r>
      <w:r w:rsidR="004E1A19" w:rsidRPr="000C0A34">
        <w:rPr>
          <w:rFonts w:ascii="Times New Roman" w:hAnsi="Times New Roman" w:cs="Times New Roman"/>
          <w:color w:val="auto"/>
          <w:sz w:val="24"/>
          <w:szCs w:val="24"/>
        </w:rPr>
        <w:t>O PIB de Campo Grande estimado em R$ 40 bilhões para 2023 posiciona a capital como 3ª maior economia do Centro-Oeste e 35ª do Brasil, mas o PIB per capita de R$ 37,9 mil é inferior à média estadual de R$ 50,1 mil. Essa dissociação entre crescimento do produto agregado e renda per capita indica que a geração de riqueza não se traduz proporcionalmente em geração de renda distribuída. O setor de serviços responde por 70,9% do PIB municipal, a administração pública por 22,8%, a indústria por 14,8% e a agropecuária por 2,8%. As faixas de menor renda (classes D e E) participam com 31,4% da massa salarial formal, enquanto as classes mais altas controlam 33,7%</w:t>
      </w:r>
      <w:r w:rsidR="00001CC6"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estrutura que reproduz a desigualdade no âmbito do mercado de trabalho formal.</w:t>
      </w:r>
    </w:p>
    <w:p w14:paraId="336117E2" w14:textId="77777777" w:rsidR="004C4B34" w:rsidRPr="000C0A34" w:rsidRDefault="004C4B34" w:rsidP="000C0A34">
      <w:pPr>
        <w:spacing w:before="40" w:line="276" w:lineRule="auto"/>
        <w:jc w:val="both"/>
        <w:rPr>
          <w:rFonts w:ascii="Times New Roman" w:hAnsi="Times New Roman" w:cs="Times New Roman"/>
          <w:color w:val="auto"/>
          <w:sz w:val="24"/>
          <w:szCs w:val="24"/>
        </w:rPr>
      </w:pPr>
    </w:p>
    <w:p w14:paraId="3BAC9513" w14:textId="668B3CFC"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Formalização (CLT, MEI, ECOSOL): </w:t>
      </w:r>
      <w:r w:rsidRPr="000C0A34">
        <w:rPr>
          <w:rFonts w:ascii="Times New Roman" w:hAnsi="Times New Roman" w:cs="Times New Roman"/>
          <w:color w:val="auto"/>
          <w:sz w:val="24"/>
          <w:szCs w:val="24"/>
        </w:rPr>
        <w:t>O emprego formal em Campo Grande alcança 307.100 postos com remuneração média de R$ 4.000, superior à média estadual de R$ 3.300, mas com distribuição concentrada nas ocupações ligadas ao setor público. A formalização via MEI cresceu no pós-pandemia, o número de empresas ativas saltou de 103.129 em março de 2020 para 117.722 em janeiro de 2023 (+14,15%), mas a conversão de trabalhadores informais em MEI não necessariamente implica proteção social plena. A Economia Solidária (ECOSOL) tem presença organizada em segmentos de catadores de recicláveis e em grupos de mulheres em bairros periféricos, mas sem política municipal de fomento estruturada que integre crédito, formação e mercados.</w:t>
      </w:r>
    </w:p>
    <w:p w14:paraId="5B818418" w14:textId="77777777" w:rsidR="00A303F2" w:rsidRPr="000C0A34" w:rsidRDefault="00A303F2" w:rsidP="000C0A34">
      <w:pPr>
        <w:spacing w:line="276" w:lineRule="auto"/>
        <w:rPr>
          <w:rFonts w:ascii="Times New Roman" w:hAnsi="Times New Roman" w:cs="Times New Roman"/>
          <w:color w:val="auto"/>
          <w:sz w:val="24"/>
        </w:rPr>
      </w:pPr>
    </w:p>
    <w:p w14:paraId="12F7A64E" w14:textId="7529B13E"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Trabalho em condições análogas às de escravo: </w:t>
      </w:r>
      <w:r w:rsidRPr="000C0A34">
        <w:rPr>
          <w:rFonts w:ascii="Times New Roman" w:hAnsi="Times New Roman" w:cs="Times New Roman"/>
          <w:color w:val="auto"/>
          <w:sz w:val="24"/>
          <w:szCs w:val="24"/>
        </w:rPr>
        <w:t>Campo Grande, como capital logística do agronegócio sul-mato-grossense, é ponto de passagem e destino de trabalhadores recrutados para lavouras e frigoríficos do estado em condições que frequentemente violam normas trabalhistas. O Ministério do Trabalho e Emprego registra operações de fiscalização em propriedades rurais de Mato Grosso do Sul com resgates de trabalhadores submetidos a condições análogas à escravidão. Trabalhadores migrantes, especialmente paraguaios e bolivianos, e brasileiros do Nordeste, são os grupos de maior vulnerabilidade, com acesso precário a serviços de saúde e proteção jurídica.</w:t>
      </w:r>
    </w:p>
    <w:p w14:paraId="29E5EFB5" w14:textId="77777777" w:rsidR="00A303F2" w:rsidRPr="000C0A34" w:rsidRDefault="00A303F2" w:rsidP="000C0A34">
      <w:pPr>
        <w:spacing w:line="276" w:lineRule="auto"/>
        <w:rPr>
          <w:rFonts w:ascii="Times New Roman" w:hAnsi="Times New Roman" w:cs="Times New Roman"/>
          <w:color w:val="auto"/>
          <w:sz w:val="24"/>
        </w:rPr>
      </w:pPr>
    </w:p>
    <w:p w14:paraId="0BFC8A7C" w14:textId="25CFA47C"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Trabalho infantil: </w:t>
      </w:r>
      <w:r w:rsidRPr="000C0A34">
        <w:rPr>
          <w:rFonts w:ascii="Times New Roman" w:hAnsi="Times New Roman" w:cs="Times New Roman"/>
          <w:color w:val="auto"/>
          <w:sz w:val="24"/>
          <w:szCs w:val="24"/>
        </w:rPr>
        <w:t>O trabalho infantil em Campo Grande manifesta-se principalmente nas formas mais invisíveis: trabalho doméstico intrafamiliar, catação de materiais recicláveis com adultos em situação de vulnerabilidade, e venda ambulante nos sinais de trânsito da área central. O PETI (Programa de Erradicação do Trabalho Infantil) opera por meio dos CRAS municipais, mas a cobertura é insuficiente para identificar e acompanhar todos os casos, especialmente em comunidades indígenas urbanas e em famílias em situação de rua. A articulação entre SESAU, assistência social, escola e Conselho Tutelar é o mecanismo formal de resposta, mas exige protocolos claros de identificação e encaminhamento.</w:t>
      </w:r>
    </w:p>
    <w:p w14:paraId="5E4C07AF" w14:textId="77777777" w:rsidR="00A303F2" w:rsidRPr="000C0A34" w:rsidRDefault="00A303F2" w:rsidP="000C0A34">
      <w:pPr>
        <w:spacing w:line="276" w:lineRule="auto"/>
        <w:rPr>
          <w:rFonts w:ascii="Times New Roman" w:hAnsi="Times New Roman" w:cs="Times New Roman"/>
          <w:color w:val="auto"/>
          <w:sz w:val="24"/>
        </w:rPr>
      </w:pPr>
    </w:p>
    <w:p w14:paraId="6E216AAB" w14:textId="52032916"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Ambientes de trabalho seguros: </w:t>
      </w:r>
      <w:r w:rsidRPr="000C0A34">
        <w:rPr>
          <w:rFonts w:ascii="Times New Roman" w:hAnsi="Times New Roman" w:cs="Times New Roman"/>
          <w:color w:val="auto"/>
          <w:sz w:val="24"/>
          <w:szCs w:val="24"/>
        </w:rPr>
        <w:t>A vigilância em saúde do trabalhador em Campo Grande é operada pelo CEREST (Centro de Referência em Saúde do Trabalhador) estadual, com capacidade de atuação restrita frente à dimensão da força de trabalho municipal. Os acidentes de trabalho notificados concentram-se nos setores da construção civil, frigoríficos, transporte e serviços de limpeza urbana, setores com alta informalidade e baixa cobertura sindical. O Hospital Regional de Mato Grosso do Sul e as UPAs municipais são as portas de entrada para acidentes de trabalho graves, sem sempre haver o registro e a notificação adequados no SINAN-Acidentes.</w:t>
      </w:r>
    </w:p>
    <w:p w14:paraId="037C48D8" w14:textId="77777777" w:rsidR="00A303F2" w:rsidRPr="000C0A34" w:rsidRDefault="00A303F2" w:rsidP="000C0A34">
      <w:pPr>
        <w:spacing w:line="276" w:lineRule="auto"/>
        <w:rPr>
          <w:rFonts w:ascii="Times New Roman" w:hAnsi="Times New Roman" w:cs="Times New Roman"/>
          <w:color w:val="auto"/>
          <w:sz w:val="24"/>
        </w:rPr>
      </w:pPr>
    </w:p>
    <w:p w14:paraId="31AF879B" w14:textId="45770EB6"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Economia circular: </w:t>
      </w:r>
      <w:r w:rsidRPr="000C0A34">
        <w:rPr>
          <w:rFonts w:ascii="Times New Roman" w:hAnsi="Times New Roman" w:cs="Times New Roman"/>
          <w:color w:val="auto"/>
          <w:sz w:val="24"/>
          <w:szCs w:val="24"/>
        </w:rPr>
        <w:t>A economia circular tem expressão incipiente em Campo Grande, concentrada nas cooperativas de catadores de recicláveis que operam em interface com o sistema de coleta seletiva municipal. A geração de 0,98 kg de resíduos por habitante/dia, com coleta de 99,23% da população, cria fluxo relevante de materiais que poderia sustentar uma cadeia organizada de reciclagem. O número de cooperativas e associações de catadores é insuficiente para absorver o volume gerado, e a ausência de política municipal de logística reversa para setores como construção civil, eletrônicos e agroquímicos limita o alcance das iniciativas existentes.</w:t>
      </w:r>
    </w:p>
    <w:p w14:paraId="226CDD6B" w14:textId="77777777" w:rsidR="00A303F2" w:rsidRPr="000C0A34" w:rsidRDefault="00A303F2" w:rsidP="000C0A34">
      <w:pPr>
        <w:spacing w:line="276" w:lineRule="auto"/>
        <w:rPr>
          <w:rFonts w:ascii="Times New Roman" w:hAnsi="Times New Roman" w:cs="Times New Roman"/>
          <w:color w:val="auto"/>
          <w:sz w:val="24"/>
        </w:rPr>
      </w:pPr>
    </w:p>
    <w:p w14:paraId="5A1E063A" w14:textId="4DE68170"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Iniciativas de Economia Solidária: </w:t>
      </w:r>
      <w:r w:rsidRPr="000C0A34">
        <w:rPr>
          <w:rFonts w:ascii="Times New Roman" w:hAnsi="Times New Roman" w:cs="Times New Roman"/>
          <w:color w:val="auto"/>
          <w:sz w:val="24"/>
          <w:szCs w:val="24"/>
        </w:rPr>
        <w:t xml:space="preserve">As iniciativas de Economia Solidária em Campo Grande incluem cooperativas de catadores, grupos de produção artesanal em bairros periféricos e experiências de banco comunitário em algumas regiões. A SESAU mantém interface com grupos de ECOSOL por meio dos Agentes Comunitários de Saúde, que identificam iniciativas nos territórios de suas microáreas. A Incubadora Tecnológica de Cooperativas Populares da UFMS é o principal ator acadêmico de apoio a </w:t>
      </w:r>
      <w:r w:rsidR="000C0A34" w:rsidRPr="000C0A34">
        <w:rPr>
          <w:rFonts w:ascii="Times New Roman" w:hAnsi="Times New Roman" w:cs="Times New Roman"/>
          <w:color w:val="auto"/>
          <w:sz w:val="24"/>
          <w:szCs w:val="24"/>
        </w:rPr>
        <w:t>empreendimentos</w:t>
      </w:r>
      <w:r w:rsidRPr="000C0A34">
        <w:rPr>
          <w:rFonts w:ascii="Times New Roman" w:hAnsi="Times New Roman" w:cs="Times New Roman"/>
          <w:color w:val="auto"/>
          <w:sz w:val="24"/>
          <w:szCs w:val="24"/>
        </w:rPr>
        <w:t xml:space="preserve"> solidários, mas a escala das iniciativas existentes é ainda desproporcional à demanda por alternativas de renda nas periferias.</w:t>
      </w:r>
    </w:p>
    <w:p w14:paraId="3B1303B8" w14:textId="77777777" w:rsidR="00A303F2" w:rsidRPr="000C0A34" w:rsidRDefault="00A303F2" w:rsidP="000C0A34">
      <w:pPr>
        <w:spacing w:line="276" w:lineRule="auto"/>
        <w:rPr>
          <w:rFonts w:ascii="Times New Roman" w:hAnsi="Times New Roman" w:cs="Times New Roman"/>
          <w:color w:val="auto"/>
          <w:sz w:val="24"/>
        </w:rPr>
      </w:pPr>
    </w:p>
    <w:p w14:paraId="4AC97654" w14:textId="014E7CB6"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Industrialização inclusiva e sustentável: </w:t>
      </w:r>
      <w:r w:rsidRPr="000C0A34">
        <w:rPr>
          <w:rFonts w:ascii="Times New Roman" w:hAnsi="Times New Roman" w:cs="Times New Roman"/>
          <w:color w:val="auto"/>
          <w:sz w:val="24"/>
          <w:szCs w:val="24"/>
        </w:rPr>
        <w:t>A indústria de Campo Grande representa 14,8% do PIB municipal, com predominância de frigoríficos, processamento de grãos, construção civil e setor farmacêutico. A industrialização local não incorpora critérios de inclusividade social de forma sistêmica, a participação de trabalhadores negros, indígenas e de baixa escolaridade nas faixas salariais mais baixas da indústria reproduz a estratificação social do território. A zona industrial da região Leste apresenta interface com áreas de moradia popular, produzindo conflitos socioambientais por poluição atmosférica e sonora não adequadamente monitorados.</w:t>
      </w:r>
    </w:p>
    <w:p w14:paraId="2F4B92E1" w14:textId="77777777" w:rsidR="00A303F2" w:rsidRPr="000C0A34" w:rsidRDefault="00A303F2" w:rsidP="000C0A34">
      <w:pPr>
        <w:spacing w:line="276" w:lineRule="auto"/>
        <w:rPr>
          <w:rFonts w:ascii="Times New Roman" w:hAnsi="Times New Roman" w:cs="Times New Roman"/>
          <w:color w:val="auto"/>
          <w:sz w:val="24"/>
        </w:rPr>
      </w:pPr>
    </w:p>
    <w:p w14:paraId="4D1E8EFC" w14:textId="46EA8DB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Crédito para micro, pequenas empresas e cooperativas: </w:t>
      </w:r>
      <w:r w:rsidRPr="000C0A34">
        <w:rPr>
          <w:rFonts w:ascii="Times New Roman" w:hAnsi="Times New Roman" w:cs="Times New Roman"/>
          <w:color w:val="auto"/>
          <w:sz w:val="24"/>
          <w:szCs w:val="24"/>
        </w:rPr>
        <w:t>O acesso ao crédito para empreendimentos de pequeno porte e cooperativas em Campo Grande é operado pelo Banco do Brasil, Caixa Econômica Federal e pelo programa municipal de microcrédito gerido pela FUNSAT (Fundação Social do Trabalho). A FUNSAT opera como principal equipamento municipal de intermediação de emprego e qualificação profissional, com interface com o sistema de microcrédito produtivo orientado. A cobertura dos instrumentos de crédito orientado às comunidades indígenas urbanas e aos grupos de economia solidária nas periferias é insuficiente, com barreiras de documentação, garantias e letramento financeiro que excluem justamente os grupos de maior necessidade.</w:t>
      </w:r>
    </w:p>
    <w:p w14:paraId="69F3BEC5" w14:textId="77777777" w:rsidR="00A303F2" w:rsidRPr="000C0A34" w:rsidRDefault="00A303F2" w:rsidP="000C0A34">
      <w:pPr>
        <w:spacing w:line="276" w:lineRule="auto"/>
        <w:rPr>
          <w:rFonts w:ascii="Times New Roman" w:hAnsi="Times New Roman" w:cs="Times New Roman"/>
          <w:color w:val="auto"/>
          <w:sz w:val="24"/>
        </w:rPr>
      </w:pPr>
    </w:p>
    <w:p w14:paraId="1B2BB70C" w14:textId="14C879C2"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Regulamentação e monitoramento dos mercados: </w:t>
      </w:r>
      <w:r w:rsidRPr="000C0A34">
        <w:rPr>
          <w:rFonts w:ascii="Times New Roman" w:hAnsi="Times New Roman" w:cs="Times New Roman"/>
          <w:color w:val="auto"/>
          <w:sz w:val="24"/>
          <w:szCs w:val="24"/>
        </w:rPr>
        <w:t>Campo Grande concentra o poder de mercado do agronegócio sul-mato-grossense, com entidades como Famasul e cooperativas exercendo influência significativa sobre as políticas agrícolas e ambientais do estado. A regulação dos preços de alimentos na base da pirâmide social, hortifrúti, proteína animal, cereais, é variável determinante da segurança alimentar de famílias de baixa renda, mas opera fora da capacidade de intervenção direta do governo municipal. O Mercado Municipal de Campo Grande é um equipamento público de comercialização que poderia cumprir função regulatória de preços para produtos locais, mas opera com capacidade subutilizada.</w:t>
      </w:r>
    </w:p>
    <w:p w14:paraId="5E7DA24E" w14:textId="77777777" w:rsidR="00A303F2" w:rsidRPr="000C0A34" w:rsidRDefault="00A303F2" w:rsidP="000C0A34">
      <w:pPr>
        <w:spacing w:line="276" w:lineRule="auto"/>
        <w:rPr>
          <w:rFonts w:ascii="Times New Roman" w:hAnsi="Times New Roman" w:cs="Times New Roman"/>
          <w:color w:val="auto"/>
          <w:sz w:val="24"/>
        </w:rPr>
      </w:pPr>
    </w:p>
    <w:p w14:paraId="345976F4" w14:textId="35A0377E"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Empreendedorismo, criatividade e inovação: </w:t>
      </w:r>
      <w:r w:rsidRPr="000C0A34">
        <w:rPr>
          <w:rFonts w:ascii="Times New Roman" w:hAnsi="Times New Roman" w:cs="Times New Roman"/>
          <w:color w:val="auto"/>
          <w:sz w:val="24"/>
          <w:szCs w:val="24"/>
        </w:rPr>
        <w:t>O ecossistema de inovação de Campo Grande articula UFMS, UCDB, Uniderp e instituições como SEBRAE e SENAI em torno de um polo tecnológico em consolidação. A Secretaria Municipal de Inovação, Desenvolvimento Econômico e Agronegócio (SIDAGRO) monitora indicadores de abertura de empresas e geração de emprego formal com periodicidade mensal. O desafio é que o empreendedorismo de necessidade, trabalhadores que abrem MEI por ausência de vínculo formal, não por oportunidade, constitui parcela expressiva do crescimento de novas empresas nas regiões periféricas, sem que isso represente melhoria real das condições de vida.</w:t>
      </w:r>
    </w:p>
    <w:p w14:paraId="5B1E5498" w14:textId="77777777" w:rsidR="00A303F2" w:rsidRPr="000C0A34" w:rsidRDefault="00A303F2" w:rsidP="000C0A34">
      <w:pPr>
        <w:spacing w:line="276" w:lineRule="auto"/>
        <w:rPr>
          <w:rFonts w:ascii="Times New Roman" w:hAnsi="Times New Roman" w:cs="Times New Roman"/>
          <w:color w:val="auto"/>
          <w:sz w:val="24"/>
        </w:rPr>
      </w:pPr>
    </w:p>
    <w:p w14:paraId="57C4DF15" w14:textId="217D331B"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Promoção de políticas de investimento local: </w:t>
      </w:r>
      <w:r w:rsidRPr="000C0A34">
        <w:rPr>
          <w:rFonts w:ascii="Times New Roman" w:hAnsi="Times New Roman" w:cs="Times New Roman"/>
          <w:color w:val="auto"/>
          <w:sz w:val="24"/>
          <w:szCs w:val="24"/>
        </w:rPr>
        <w:t>Campo Grande responde por quase 40% do PIB estadual e concentra a maior parte dos investimentos públicos e privados de Mato Grosso do Sul. A desconcentração do investimento em direção às periferias intraurbanas, identificada como necessidade estrutural pelo IVS do IPEA, exige instrumentos de discriminação positiva territorial: aplicação de recursos do FNAS, do Fundo Municipal de Saúde e de programas federais priorizando os setores censitários com piores indicadores.</w:t>
      </w:r>
    </w:p>
    <w:p w14:paraId="089D9C2E" w14:textId="77777777" w:rsidR="00A303F2" w:rsidRPr="000C0A34" w:rsidRDefault="00A303F2" w:rsidP="000C0A34">
      <w:pPr>
        <w:spacing w:line="276" w:lineRule="auto"/>
        <w:rPr>
          <w:rFonts w:ascii="Times New Roman" w:hAnsi="Times New Roman" w:cs="Times New Roman"/>
          <w:color w:val="auto"/>
          <w:sz w:val="24"/>
        </w:rPr>
      </w:pPr>
    </w:p>
    <w:p w14:paraId="3ADCCBC5" w14:textId="2A653B38"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Sistemas sustentáveis de produção de alimentos (consumo): </w:t>
      </w:r>
      <w:r w:rsidRPr="000C0A34">
        <w:rPr>
          <w:rFonts w:ascii="Times New Roman" w:hAnsi="Times New Roman" w:cs="Times New Roman"/>
          <w:color w:val="auto"/>
          <w:sz w:val="24"/>
          <w:szCs w:val="24"/>
        </w:rPr>
        <w:t>O padrão de consumo alimentar em Campo Grande reflete a urbanização acelerada: predominância de alimentos ultraprocessados de baixo custo nas famílias de menor renda, com acesso restrito a frutas, verduras e proteínas in natura nas periferias. O SISVAN documenta déficits nutricionais em crianças menores de cinco anos atendidas nas UBS das regiões Sul e Leste. A ausência de mercados e feiras de alimentos frescos nessas regiões, onde o comércio é dominado por supermercados e atacarejos com oferta restrita de alimentos in natura, é uma barreira estrutural à alimentação adequada identificada na cartografia social PICAPS.</w:t>
      </w:r>
    </w:p>
    <w:p w14:paraId="4F91E0AD" w14:textId="77777777" w:rsidR="00A303F2" w:rsidRPr="000C0A34" w:rsidRDefault="00A303F2" w:rsidP="000C0A34">
      <w:pPr>
        <w:spacing w:line="276" w:lineRule="auto"/>
        <w:rPr>
          <w:rFonts w:ascii="Times New Roman" w:hAnsi="Times New Roman" w:cs="Times New Roman"/>
          <w:color w:val="auto"/>
          <w:sz w:val="24"/>
        </w:rPr>
      </w:pPr>
    </w:p>
    <w:p w14:paraId="27E72681" w14:textId="1A0BBE5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Produção de alimentos, hortas, hortos, quintais: </w:t>
      </w:r>
      <w:r w:rsidRPr="000C0A34">
        <w:rPr>
          <w:rFonts w:ascii="Times New Roman" w:hAnsi="Times New Roman" w:cs="Times New Roman"/>
          <w:color w:val="auto"/>
          <w:sz w:val="24"/>
          <w:szCs w:val="24"/>
        </w:rPr>
        <w:t>Hortas comunitárias e quintais produtivos existem em vários bairros periféricos de Campo Grande, geralmente associados a iniciativas de mulheres, grupos religiosos e movimentos de moradia. A SESAU apoia algumas dessas experiências por meio dos ACS como parte da estratégia de promoção da saúde e segurança alimentar nos territórios de APS. O programa de hortas escolares vinculado ao PNAE tem presença nas unidades de educação municipal, mas sem integração sistemática com a rede de saúde. A cartografia social PICAPS identificou hortas e quintais produtivos como potencialidade de alto valor nos territórios mais vulneráveis, com capacidade de integrar segurança alimentar, renda e saúde.</w:t>
      </w:r>
    </w:p>
    <w:p w14:paraId="5063A708" w14:textId="77777777" w:rsidR="00A303F2" w:rsidRPr="000C0A34" w:rsidRDefault="00A303F2" w:rsidP="000C0A34">
      <w:pPr>
        <w:spacing w:line="276" w:lineRule="auto"/>
        <w:rPr>
          <w:rFonts w:ascii="Times New Roman" w:hAnsi="Times New Roman" w:cs="Times New Roman"/>
          <w:color w:val="auto"/>
          <w:sz w:val="24"/>
        </w:rPr>
      </w:pPr>
    </w:p>
    <w:p w14:paraId="34C2EFE5" w14:textId="7F3932ED"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Produção Orgânica: </w:t>
      </w:r>
      <w:r w:rsidRPr="000C0A34">
        <w:rPr>
          <w:rFonts w:ascii="Times New Roman" w:hAnsi="Times New Roman" w:cs="Times New Roman"/>
          <w:color w:val="auto"/>
          <w:sz w:val="24"/>
          <w:szCs w:val="24"/>
        </w:rPr>
        <w:t>A produção orgânica certificada no município de Campo Grande é concentrada em poucas propriedades rurais periurbanas e em iniciativas de produtores familiares com acesso a canais alternativos de comercialização, como feiras agroecológicas e grupos de consumo. O mercado consumidor de orgânicos em Campo Grande é crescente nas classes médias, mas as famílias de baixa renda, que mais se beneficiariam da ausência de agrotóxicos, têm acesso restrito por preço e distribuição. A interface entre produção orgânica local e os programas de aquisição pública (PNAE, PAA) é o mecanismo mais eficaz para ampliar o acesso e sustentar os produtores.</w:t>
      </w:r>
    </w:p>
    <w:p w14:paraId="0F886938" w14:textId="77777777" w:rsidR="00A303F2" w:rsidRPr="000C0A34" w:rsidRDefault="00A303F2" w:rsidP="000C0A34">
      <w:pPr>
        <w:spacing w:line="276" w:lineRule="auto"/>
        <w:rPr>
          <w:rFonts w:ascii="Times New Roman" w:hAnsi="Times New Roman" w:cs="Times New Roman"/>
          <w:color w:val="auto"/>
          <w:sz w:val="24"/>
        </w:rPr>
      </w:pPr>
    </w:p>
    <w:p w14:paraId="6C1F9CF8" w14:textId="1FA17168"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Acesso a serviços bancários: </w:t>
      </w:r>
      <w:r w:rsidRPr="000C0A34">
        <w:rPr>
          <w:rFonts w:ascii="Times New Roman" w:hAnsi="Times New Roman" w:cs="Times New Roman"/>
          <w:color w:val="auto"/>
          <w:sz w:val="24"/>
          <w:szCs w:val="24"/>
        </w:rPr>
        <w:t>O acesso a serviços bancários em Campo Grande tem cobertura relativamente alta para as capitais do Centro-Oeste, com agências, correspondentes bancários e agências dos Correios distribuídas pelo território. As populações indígenas urbanas e em situação de rua apresentam maior barreira de acesso, seja por ausência de documentação (vinculado ao fator E3-13), seja por ausência de endereço fixo exigido por algumas modalidades. O Cadastro Único e o CadÚnico habilitam o acesso a benefícios de transferência de renda via conta simplificada, mas a educação financeira para gestão desses recursos é insuficiente na maioria dos equipamentos de proteção social.</w:t>
      </w:r>
    </w:p>
    <w:p w14:paraId="47EB0EBE" w14:textId="77777777" w:rsidR="00A303F2" w:rsidRPr="000C0A34" w:rsidRDefault="00A303F2" w:rsidP="000C0A34">
      <w:pPr>
        <w:spacing w:line="276" w:lineRule="auto"/>
        <w:rPr>
          <w:rFonts w:ascii="Times New Roman" w:hAnsi="Times New Roman" w:cs="Times New Roman"/>
          <w:color w:val="auto"/>
          <w:sz w:val="24"/>
        </w:rPr>
      </w:pPr>
    </w:p>
    <w:p w14:paraId="547441A3" w14:textId="49E3EC3F"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Atividades econômicas sustentáveis, indústrias ecologicamente corretas: </w:t>
      </w:r>
      <w:r w:rsidRPr="000C0A34">
        <w:rPr>
          <w:rFonts w:ascii="Times New Roman" w:hAnsi="Times New Roman" w:cs="Times New Roman"/>
          <w:color w:val="auto"/>
          <w:sz w:val="24"/>
          <w:szCs w:val="24"/>
        </w:rPr>
        <w:t>Campo Grande não dispõe de política industrial explicitamente orientada para a sustentabilidade ambiental, embora iniciativas isoladas de empresas do setor de construção civil, tecnologia e serviços incorporem práticas de eficiência energética e redução de resíduos. O potencial de energia solar fotovoltaica, dado o clima da região com alta irradiação, é subutilizado no parque industrial municipal. A integração entre as políticas de meio ambiente (SEMADUR), desenvolvimento econômico (SIDAGRO) e saúde (SESAU) para criar incentivos a atividades econômicas sustentáveis é ainda incipiente no planejamento municipal.</w:t>
      </w:r>
    </w:p>
    <w:p w14:paraId="0F83AF2C" w14:textId="77777777" w:rsidR="00A303F2" w:rsidRPr="000C0A34" w:rsidRDefault="00A303F2" w:rsidP="000C0A34">
      <w:pPr>
        <w:spacing w:line="276" w:lineRule="auto"/>
        <w:rPr>
          <w:rFonts w:ascii="Times New Roman" w:hAnsi="Times New Roman" w:cs="Times New Roman"/>
          <w:color w:val="auto"/>
          <w:sz w:val="24"/>
        </w:rPr>
      </w:pPr>
    </w:p>
    <w:p w14:paraId="06C0289A" w14:textId="05B86EEA"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Trabalho de assistência e doméstico não remunerado: </w:t>
      </w:r>
      <w:r w:rsidRPr="000C0A34">
        <w:rPr>
          <w:rFonts w:ascii="Times New Roman" w:hAnsi="Times New Roman" w:cs="Times New Roman"/>
          <w:color w:val="auto"/>
          <w:sz w:val="24"/>
          <w:szCs w:val="24"/>
        </w:rPr>
        <w:t>O trabalho doméstico e de cuidados não remunerado recai desproporcionalmente sobre mulheres, especialmente mulheres negras e indígenas, e constitui um fator gerador de invisibilidade econômica e vulnerabilidade social documentado pelo Eixo 3 da matriz. Em Campo Grande, a ausência de creches públicas em número suficiente nas periferias Sul e Leste obriga mulheres a abandonar o mercado de trabalho ou a acumular dupla jornada sem suporte institucional. O fator E1-20 articula-se diretamente com os fatores E3-1 (violência contra mulheres) e E3-5 (empoderamento feminino), operando como mecanismo de reprodução da pobreza entre famílias chefiadas por mulheres.</w:t>
      </w:r>
    </w:p>
    <w:p w14:paraId="4BD6AD05" w14:textId="77777777" w:rsidR="00A303F2" w:rsidRPr="000C0A34" w:rsidRDefault="00A303F2" w:rsidP="000C0A34">
      <w:pPr>
        <w:spacing w:line="276" w:lineRule="auto"/>
        <w:rPr>
          <w:rFonts w:ascii="Times New Roman" w:hAnsi="Times New Roman" w:cs="Times New Roman"/>
          <w:color w:val="auto"/>
          <w:sz w:val="24"/>
        </w:rPr>
      </w:pPr>
    </w:p>
    <w:p w14:paraId="708C496C" w14:textId="0C8E581B"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Alimentos: </w:t>
      </w:r>
      <w:r w:rsidRPr="000C0A34">
        <w:rPr>
          <w:rFonts w:ascii="Times New Roman" w:hAnsi="Times New Roman" w:cs="Times New Roman"/>
          <w:color w:val="auto"/>
          <w:sz w:val="24"/>
          <w:szCs w:val="24"/>
        </w:rPr>
        <w:t>A segurança alimentar e nutricional de Campo Grande apresenta distribuição territorial heterogênea. As famílias inscritas no CadÚnico nas regiões Sul e Leste apresentam insegurança alimentar documentada pelo SISVAN, com proporção relevante de crianças menores de cinco anos com déficit ponderal atendidas nas UBS dessas regiões. O Restaurante Popular municipal e as cozinhas comunitárias operadas por organizações sociais são os equipamentos de referência para o acesso à alimentação de grupos em situação de extrema vulnerabilidade, incluindo população em situação de rua e trabalhadores informais de baixa renda.</w:t>
      </w:r>
    </w:p>
    <w:p w14:paraId="5DF5DC9C" w14:textId="77777777" w:rsidR="004C4B34" w:rsidRPr="000C0A34" w:rsidRDefault="004C4B34" w:rsidP="000C0A34">
      <w:pPr>
        <w:spacing w:before="40" w:line="276" w:lineRule="auto"/>
        <w:jc w:val="both"/>
        <w:rPr>
          <w:rFonts w:ascii="Times New Roman" w:hAnsi="Times New Roman" w:cs="Times New Roman"/>
          <w:color w:val="auto"/>
          <w:sz w:val="24"/>
          <w:szCs w:val="24"/>
        </w:rPr>
      </w:pPr>
    </w:p>
    <w:p w14:paraId="2A5E75EA" w14:textId="77777777" w:rsidR="00A303F2" w:rsidRPr="000C0A34" w:rsidRDefault="00A303F2" w:rsidP="000C0A34">
      <w:pPr>
        <w:pStyle w:val="Ttulo1"/>
        <w:spacing w:after="0" w:line="276" w:lineRule="auto"/>
        <w:jc w:val="center"/>
        <w:rPr>
          <w:rFonts w:ascii="Times New Roman" w:hAnsi="Times New Roman" w:cs="Times New Roman"/>
          <w:color w:val="auto"/>
          <w:sz w:val="24"/>
          <w:szCs w:val="24"/>
        </w:rPr>
      </w:pPr>
      <w:r w:rsidRPr="000C0A34">
        <w:rPr>
          <w:rFonts w:ascii="Times New Roman" w:hAnsi="Times New Roman" w:cs="Times New Roman"/>
          <w:color w:val="auto"/>
          <w:sz w:val="24"/>
          <w:szCs w:val="24"/>
        </w:rPr>
        <w:t>EIXO 2. A VIDA EM RISCO</w:t>
      </w:r>
    </w:p>
    <w:p w14:paraId="48511C28" w14:textId="0A66F1FF" w:rsidR="00A303F2" w:rsidRPr="000C0A34" w:rsidRDefault="00A303F2" w:rsidP="000C0A34">
      <w:pPr>
        <w:spacing w:line="276" w:lineRule="auto"/>
        <w:jc w:val="both"/>
        <w:rPr>
          <w:rFonts w:ascii="Times New Roman" w:hAnsi="Times New Roman" w:cs="Times New Roman"/>
          <w:color w:val="auto"/>
          <w:sz w:val="24"/>
          <w:szCs w:val="24"/>
        </w:rPr>
      </w:pPr>
      <w:r w:rsidRPr="000C0A34">
        <w:rPr>
          <w:rFonts w:ascii="Times New Roman" w:hAnsi="Times New Roman" w:cs="Times New Roman"/>
          <w:color w:val="auto"/>
          <w:sz w:val="24"/>
          <w:szCs w:val="24"/>
        </w:rPr>
        <w:t>Este capítulo apresenta a leitura territorial de Campo Grande pelos 26 fatores do Eixo 2 (A Vida em Risco). Cada fator é analisado em sua expressão concreta no território campo-grandense, articulando dados secundários, indicadores dos sistemas de informação em saúde e inscrições da cartografia social.</w:t>
      </w:r>
    </w:p>
    <w:p w14:paraId="48089D15" w14:textId="77777777" w:rsidR="00A303F2" w:rsidRPr="000C0A34" w:rsidRDefault="00A303F2" w:rsidP="000C0A34">
      <w:pPr>
        <w:spacing w:line="276" w:lineRule="auto"/>
        <w:rPr>
          <w:rFonts w:ascii="Times New Roman" w:hAnsi="Times New Roman" w:cs="Times New Roman"/>
          <w:color w:val="auto"/>
          <w:sz w:val="24"/>
          <w:szCs w:val="24"/>
        </w:rPr>
      </w:pPr>
    </w:p>
    <w:p w14:paraId="33418566"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Mortalidade infantil: </w:t>
      </w:r>
      <w:r w:rsidRPr="000C0A34">
        <w:rPr>
          <w:rFonts w:ascii="Times New Roman" w:hAnsi="Times New Roman" w:cs="Times New Roman"/>
          <w:color w:val="auto"/>
          <w:sz w:val="24"/>
          <w:szCs w:val="24"/>
        </w:rPr>
        <w:t>A mortalidade infantil na macrorregião de Campo Grande apresentou melhora progressiva na série histórica, reflexo da expansão da Estratégia Saúde da Família, cuja cobertura passou de 33,27% em 2017 para 76,28% em 2023. Campo Grande, como polo de referência hospitalar do estado, atrai casos de alta complexidade de outros municípios, o que pode inflar artificialmente sua taxa quando calculada pelo local de ocorrência sem desagregação por local de residência. A análise do PRMS Campo Grande (2018–2021) aponta que os óbitos infantis evitáveis, aqueles relacionados a causas sensíveis à APS, concentram-se nos territórios com menor cobertura de equipes de saúde da família, correlacionados com as regiões de maior vulnerabilidade social.</w:t>
      </w:r>
    </w:p>
    <w:p w14:paraId="763BF638" w14:textId="77777777" w:rsidR="00A303F2" w:rsidRPr="000C0A34" w:rsidRDefault="00A303F2" w:rsidP="000C0A34">
      <w:pPr>
        <w:spacing w:line="276" w:lineRule="auto"/>
        <w:rPr>
          <w:rFonts w:ascii="Times New Roman" w:hAnsi="Times New Roman" w:cs="Times New Roman"/>
          <w:color w:val="auto"/>
          <w:sz w:val="24"/>
          <w:szCs w:val="24"/>
        </w:rPr>
      </w:pPr>
    </w:p>
    <w:p w14:paraId="46B68618"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Mortalidade materna: </w:t>
      </w:r>
      <w:r w:rsidRPr="000C0A34">
        <w:rPr>
          <w:rFonts w:ascii="Times New Roman" w:hAnsi="Times New Roman" w:cs="Times New Roman"/>
          <w:color w:val="auto"/>
          <w:sz w:val="24"/>
          <w:szCs w:val="24"/>
        </w:rPr>
        <w:t>A mortalidade materna em Mato Grosso do Sul apresenta perfil sociorracial documentado: 66% das vítimas são mulheres pardas, 61% solteiras, e a faixa etária de 30 a 39 anos concentra 48% dos casos (SES-MS, 2023). Esse perfil expressa a intersecção entre raça, renda e acesso qualificado ao pré-natal. Em Campo Grande, a rede de pré-natal de alto risco é referenciada pelo Hospital Regional de Mato Grosso do Sul e pela Santa Casa, mas a identificação e estratificação de risco na APS, etapa crítica para prevenção da morte materna, ainda apresenta lacunas documentadas no Plano Municipal de Saúde 2022-2025.</w:t>
      </w:r>
    </w:p>
    <w:p w14:paraId="1F64D539" w14:textId="77777777" w:rsidR="00A303F2" w:rsidRPr="000C0A34" w:rsidRDefault="00A303F2" w:rsidP="000C0A34">
      <w:pPr>
        <w:spacing w:line="276" w:lineRule="auto"/>
        <w:rPr>
          <w:rFonts w:ascii="Times New Roman" w:hAnsi="Times New Roman" w:cs="Times New Roman"/>
          <w:color w:val="auto"/>
          <w:sz w:val="24"/>
          <w:szCs w:val="24"/>
        </w:rPr>
      </w:pPr>
    </w:p>
    <w:p w14:paraId="69DD764E"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Mortalidade neonatal: </w:t>
      </w:r>
      <w:r w:rsidRPr="000C0A34">
        <w:rPr>
          <w:rFonts w:ascii="Times New Roman" w:hAnsi="Times New Roman" w:cs="Times New Roman"/>
          <w:color w:val="auto"/>
          <w:sz w:val="24"/>
          <w:szCs w:val="24"/>
        </w:rPr>
        <w:t>A mortalidade neonatal, óbitos nas primeiras 28 horas de vida, é o componente de maior peso na mortalidade infantil em contextos com boa cobertura de APS, pois reflete a qualidade da atenção ao parto e ao recém-nascido. Em Campo Grande, os indicadores de prematuridade, peso insuficiente ao nascer e acesso ao pré-natal são os determinantes proximais mais relevantes. A integração entre APS, maternidades de referência e UTI neonatal, Linha de Cuidado da gestante e do recém-nascido, é o eixo estruturante da resposta, mas exige protocolos de regulação e contrarreferência que funcionem sem fragmentação.</w:t>
      </w:r>
    </w:p>
    <w:p w14:paraId="4378D57D" w14:textId="77777777" w:rsidR="00A303F2" w:rsidRPr="000C0A34" w:rsidRDefault="00A303F2" w:rsidP="000C0A34">
      <w:pPr>
        <w:spacing w:line="276" w:lineRule="auto"/>
        <w:rPr>
          <w:rFonts w:ascii="Times New Roman" w:hAnsi="Times New Roman" w:cs="Times New Roman"/>
          <w:color w:val="auto"/>
          <w:sz w:val="24"/>
          <w:szCs w:val="24"/>
        </w:rPr>
      </w:pPr>
    </w:p>
    <w:p w14:paraId="52B80540"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Profissionais de saúde: </w:t>
      </w:r>
      <w:r w:rsidRPr="000C0A34">
        <w:rPr>
          <w:rFonts w:ascii="Times New Roman" w:hAnsi="Times New Roman" w:cs="Times New Roman"/>
          <w:color w:val="auto"/>
          <w:sz w:val="24"/>
          <w:szCs w:val="24"/>
        </w:rPr>
        <w:t>A expansão das 197 ESF de Campo Grande foi viabilizada pelo maior programa de residência multiprofissional em saúde da família do Centro-Oeste, parceria entre SESAU e Fiocruz. Esse modelo criou capacidade instalada, mas com vínculo precário para parte dos profissionais residentes. A transição de residentes para servidores efetivos, com carreira municipal, plano de cargos e salários e estabilidade, é o nó crítico da sustentabilidade da APS campo-grandense. O SCNES registra a composição das equipes, mas a rotatividade de profissionais nas periferias, os cargos vagos e a distribuição desigual entre distritos sanitários são variáveis que o dado agregado não captura.</w:t>
      </w:r>
    </w:p>
    <w:p w14:paraId="4EDFACE6" w14:textId="77777777" w:rsidR="00A303F2" w:rsidRPr="000C0A34" w:rsidRDefault="00A303F2" w:rsidP="000C0A34">
      <w:pPr>
        <w:spacing w:line="276" w:lineRule="auto"/>
        <w:rPr>
          <w:rFonts w:ascii="Times New Roman" w:hAnsi="Times New Roman" w:cs="Times New Roman"/>
          <w:color w:val="auto"/>
          <w:sz w:val="24"/>
          <w:szCs w:val="24"/>
        </w:rPr>
      </w:pPr>
    </w:p>
    <w:p w14:paraId="4D5885E1"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Acesso a medicamentos e vacinas: </w:t>
      </w:r>
      <w:r w:rsidRPr="000C0A34">
        <w:rPr>
          <w:rFonts w:ascii="Times New Roman" w:hAnsi="Times New Roman" w:cs="Times New Roman"/>
          <w:color w:val="auto"/>
          <w:sz w:val="24"/>
          <w:szCs w:val="24"/>
        </w:rPr>
        <w:t>O acesso a medicamentos na APS é assegurado pela Farmácia Básica das UBS, com distribuição de itens do Componente Básico da Assistência Farmacêutica. A CAFE (Farmácia Especializada Estadual) em Campo Grande registrou repasse federal de R$ 12,7 milhões nos primeiros oito meses de 2025, indicando escala relevante de dispensação de medicamentos de alto custo. A cobertura vacinal, após a queda pós-pandemia, está em processo de recuperação com campanhas de busca ativa pelos ACS. A vacina contra dengue foi incorporada ao calendário do SUS em 2024, ampliando a estratégia de controle das arboviroses no município.</w:t>
      </w:r>
    </w:p>
    <w:p w14:paraId="34FFF108" w14:textId="77777777" w:rsidR="00A303F2" w:rsidRPr="000C0A34" w:rsidRDefault="00A303F2" w:rsidP="000C0A34">
      <w:pPr>
        <w:spacing w:line="276" w:lineRule="auto"/>
        <w:rPr>
          <w:rFonts w:ascii="Times New Roman" w:hAnsi="Times New Roman" w:cs="Times New Roman"/>
          <w:color w:val="auto"/>
          <w:sz w:val="24"/>
          <w:szCs w:val="24"/>
        </w:rPr>
      </w:pPr>
    </w:p>
    <w:p w14:paraId="251E32BE"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Serviços de saúde: </w:t>
      </w:r>
      <w:r w:rsidRPr="000C0A34">
        <w:rPr>
          <w:rFonts w:ascii="Times New Roman" w:hAnsi="Times New Roman" w:cs="Times New Roman"/>
          <w:color w:val="auto"/>
          <w:sz w:val="24"/>
          <w:szCs w:val="24"/>
        </w:rPr>
        <w:t>A rede de serviços de saúde de Campo Grande é a mais robusta do Mato Grosso do Sul. No nível primário, 197 ESF, 147 Equipes de Saúde Bucal, 4 CEOs e unidades básicas de saúde distribuídas por 7 distritos sanitários. No nível secundário, policlínicas regionais e centros de especialidades. No nível terciário, Hospital Regional de Mato Grosso do Sul (HRMS), Hospital Santa Casa, Hospital Universitário da UFMS, UPAs e pronto-socorros. A rede de saúde mental inclui CAPS I, II, III, CAPS-AD e o Hospital Rachid Saldanha Derzi. A concentração de serviços especializados atrai pacientes de todo o estado, pressionando o sistema de regulação municipal e exigindo gestão eficiente do SISREG para garantir acesso preferencial à população residente.</w:t>
      </w:r>
    </w:p>
    <w:p w14:paraId="53647C5C" w14:textId="77777777" w:rsidR="00A303F2" w:rsidRPr="000C0A34" w:rsidRDefault="00A303F2" w:rsidP="000C0A34">
      <w:pPr>
        <w:spacing w:line="276" w:lineRule="auto"/>
        <w:rPr>
          <w:rFonts w:ascii="Times New Roman" w:hAnsi="Times New Roman" w:cs="Times New Roman"/>
          <w:color w:val="auto"/>
          <w:sz w:val="24"/>
          <w:szCs w:val="24"/>
        </w:rPr>
      </w:pPr>
    </w:p>
    <w:p w14:paraId="7D8AFCE8"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Saúde sexual e reprodutiva: </w:t>
      </w:r>
      <w:r w:rsidRPr="000C0A34">
        <w:rPr>
          <w:rFonts w:ascii="Times New Roman" w:hAnsi="Times New Roman" w:cs="Times New Roman"/>
          <w:color w:val="auto"/>
          <w:sz w:val="24"/>
          <w:szCs w:val="24"/>
        </w:rPr>
        <w:t>A saúde sexual e reprodutiva em Campo Grande é operada na APS pelas ESF, com oferta de planejamento familiar, pré-natal, prevenção de ISTs e testagem para HIV. As notificações de sífilis adquirida e sífilis congênita em Mato Grosso do Sul seguem a tendência nacional de aumento, demandando intensificação do rastreamento na atenção primária. A saúde sexual e reprodutiva de mulheres indígenas urbanas e em situação de rua apresenta lacunas específicas de acesso e de adequação cultural dos serviços, com barreiras idiomáticas e culturais que os protocolos padrão não contemplam.</w:t>
      </w:r>
    </w:p>
    <w:p w14:paraId="417EBC3E" w14:textId="77777777" w:rsidR="00A303F2" w:rsidRPr="000C0A34" w:rsidRDefault="00A303F2" w:rsidP="000C0A34">
      <w:pPr>
        <w:spacing w:line="276" w:lineRule="auto"/>
        <w:rPr>
          <w:rFonts w:ascii="Times New Roman" w:hAnsi="Times New Roman" w:cs="Times New Roman"/>
          <w:color w:val="auto"/>
          <w:sz w:val="24"/>
          <w:szCs w:val="24"/>
        </w:rPr>
      </w:pPr>
    </w:p>
    <w:p w14:paraId="56183D87"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Doenças não transmissíveis (crônicas): </w:t>
      </w:r>
      <w:r w:rsidRPr="000C0A34">
        <w:rPr>
          <w:rFonts w:ascii="Times New Roman" w:hAnsi="Times New Roman" w:cs="Times New Roman"/>
          <w:color w:val="auto"/>
          <w:sz w:val="24"/>
          <w:szCs w:val="24"/>
        </w:rPr>
        <w:t>As DCNTs, doenças cardiovasculares, diabetes mellitus, neoplasias e doenças respiratórias crônicas, são a principal causa de mortalidade em adultos e idosos em Campo Grande, padrão epidemiológico comum a capitais brasileiras de médio porte. O PRMS Campo Grande (2018–2021) registra doenças do aparelho circulatório como primeira causa de óbito na macrorregião. O manejo das DCNTs na APS, com estratificação de risco cardiovascular, monitoramento de hipertensos e diabéticos pelo HIPERDIA, e acesso a medicamentos de uso contínuo, é o eixo da resposta preventiva, mas a cobertura é heterogênea entre os distritos sanitários.</w:t>
      </w:r>
    </w:p>
    <w:p w14:paraId="63B6F0AE" w14:textId="77777777" w:rsidR="00A303F2" w:rsidRPr="000C0A34" w:rsidRDefault="00A303F2" w:rsidP="000C0A34">
      <w:pPr>
        <w:spacing w:line="276" w:lineRule="auto"/>
        <w:rPr>
          <w:rFonts w:ascii="Times New Roman" w:hAnsi="Times New Roman" w:cs="Times New Roman"/>
          <w:color w:val="auto"/>
          <w:sz w:val="24"/>
          <w:szCs w:val="24"/>
        </w:rPr>
      </w:pPr>
    </w:p>
    <w:p w14:paraId="16ED36FB"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Doenças Transmissíveis (AIDS, tuberculose, hanseníase, negligenciadas): </w:t>
      </w:r>
      <w:r w:rsidRPr="000C0A34">
        <w:rPr>
          <w:rFonts w:ascii="Times New Roman" w:hAnsi="Times New Roman" w:cs="Times New Roman"/>
          <w:color w:val="auto"/>
          <w:sz w:val="24"/>
          <w:szCs w:val="24"/>
        </w:rPr>
        <w:t>Campo Grande mantém notificações relevantes de tuberculose, HIV/AIDS e hanseníase, com coinfecção TB-HIV como indicador crítico de vulnerabilidade social concentrada nos territórios de maior exclusão. A leishmaniose visceral humana (LVH) é endêmica no município, o Informe Técnico em Saúde Única da SES-MS (2025) documenta transmissão ativa com distribuição nos bairros periféricos com cães infectados e saneamento ambiental precário. O controle da LVH exige articulação entre saúde humana, saúde animal e ambiente (Saúde Única), com SESAU, IAGRO estadual e serviços veterinários, integração ainda não plenamente institucionalizada.</w:t>
      </w:r>
    </w:p>
    <w:p w14:paraId="62D7539F" w14:textId="77777777" w:rsidR="00A303F2" w:rsidRPr="000C0A34" w:rsidRDefault="00A303F2" w:rsidP="000C0A34">
      <w:pPr>
        <w:spacing w:line="276" w:lineRule="auto"/>
        <w:rPr>
          <w:rFonts w:ascii="Times New Roman" w:hAnsi="Times New Roman" w:cs="Times New Roman"/>
          <w:color w:val="auto"/>
          <w:sz w:val="24"/>
          <w:szCs w:val="24"/>
        </w:rPr>
      </w:pPr>
    </w:p>
    <w:p w14:paraId="3773A7EA"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Dengue: </w:t>
      </w:r>
      <w:r w:rsidRPr="000C0A34">
        <w:rPr>
          <w:rFonts w:ascii="Times New Roman" w:hAnsi="Times New Roman" w:cs="Times New Roman"/>
          <w:color w:val="auto"/>
          <w:sz w:val="24"/>
          <w:szCs w:val="24"/>
        </w:rPr>
        <w:t>A dengue é o agravo de maior carga epidêmica em Campo Grande e na macrorregião. Em 2024, Mato Grosso do Sul registrou 19.473 casos prováveis, 16.229 confirmados e 32 óbitos confirmados. Campo Grande concentrou a maior proporção da transmissão estadual, favorecida pela densidade demográfica elevada, pela urbanização acelerada com infraestrutura deficitária nas periferias e pelo regime climático tropical com período chuvoso prolongado. O chikungunya atingiu recorde histórico no estado em 2024, com 2.766 casos prováveis e incidência de 100,3 por 100 mil habitantes. A emergência simultânea de dengue, chikungunya e zika, transmitidas pelo mesmo vetor, exige estratégia integrada de controle vetorial, vigilância ambiental ativa e mobilização comunitária que transcende as respostas setoriais isoladas.</w:t>
      </w:r>
    </w:p>
    <w:p w14:paraId="197C64C5" w14:textId="77777777" w:rsidR="00A303F2" w:rsidRPr="000C0A34" w:rsidRDefault="00A303F2" w:rsidP="000C0A34">
      <w:pPr>
        <w:spacing w:line="276" w:lineRule="auto"/>
        <w:rPr>
          <w:rFonts w:ascii="Times New Roman" w:hAnsi="Times New Roman" w:cs="Times New Roman"/>
          <w:color w:val="auto"/>
          <w:sz w:val="24"/>
          <w:szCs w:val="24"/>
        </w:rPr>
      </w:pPr>
    </w:p>
    <w:p w14:paraId="27B54461"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Uso abusivo de drogas e álcool: </w:t>
      </w:r>
      <w:r w:rsidRPr="000C0A34">
        <w:rPr>
          <w:rFonts w:ascii="Times New Roman" w:hAnsi="Times New Roman" w:cs="Times New Roman"/>
          <w:color w:val="auto"/>
          <w:sz w:val="24"/>
          <w:szCs w:val="24"/>
        </w:rPr>
        <w:t>O uso problemático de álcool e outras drogas é registrado pela cartografia social como um dos fatores com maior densidade de inscrições nos territórios de vulnerabilidade de Campo Grande. O CAPS-AD e os demais equipamentos da Rede de Atenção Psicossocial (RAPS) atendem mais de 1.282 indivíduos em situação de rua com uso de substâncias, conforme Plano Municipal de Saúde 2022-2025. A sobreposição entre uso de substâncias, situação de rua, violência e falta de proteção social constitui um nó crítico de alta complexidade que demanda resposta intersetorial com protagonismo da APS territorializada, sem que haja ainda protocolo municipal consolidado para esse fluxo.</w:t>
      </w:r>
    </w:p>
    <w:p w14:paraId="3E63ECA8" w14:textId="77777777" w:rsidR="00A303F2" w:rsidRPr="000C0A34" w:rsidRDefault="00A303F2" w:rsidP="000C0A34">
      <w:pPr>
        <w:spacing w:line="276" w:lineRule="auto"/>
        <w:rPr>
          <w:rFonts w:ascii="Times New Roman" w:hAnsi="Times New Roman" w:cs="Times New Roman"/>
          <w:color w:val="auto"/>
          <w:sz w:val="24"/>
          <w:szCs w:val="24"/>
        </w:rPr>
      </w:pPr>
    </w:p>
    <w:p w14:paraId="1060595D"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Desnutrição: </w:t>
      </w:r>
      <w:r w:rsidRPr="000C0A34">
        <w:rPr>
          <w:rFonts w:ascii="Times New Roman" w:hAnsi="Times New Roman" w:cs="Times New Roman"/>
          <w:color w:val="auto"/>
          <w:sz w:val="24"/>
          <w:szCs w:val="24"/>
        </w:rPr>
        <w:t>A desnutrição infantil em Campo Grande apresenta distribuição territorial heterogênea, concentrada nos bairros de maior vulnerabilidade social das regiões Sul e Leste. O SISVAN registra proporções relevantes de crianças menores de cinco anos com baixo peso para a idade nas microáreas atendidas por ESF nessas regiões, reflexo da insegurança alimentar documentada pelo CadÚnico. A desnutrição de idosos, frequentemente subdiagnosticada, é outro componente relevante, especialmente entre idosos que vivem sozinhos sem suporte familiar ou de proteção social ativa.</w:t>
      </w:r>
    </w:p>
    <w:p w14:paraId="4E4ADD40" w14:textId="77777777" w:rsidR="00A303F2" w:rsidRPr="000C0A34" w:rsidRDefault="00A303F2" w:rsidP="000C0A34">
      <w:pPr>
        <w:spacing w:line="276" w:lineRule="auto"/>
        <w:rPr>
          <w:rFonts w:ascii="Times New Roman" w:hAnsi="Times New Roman" w:cs="Times New Roman"/>
          <w:color w:val="auto"/>
          <w:sz w:val="24"/>
          <w:szCs w:val="24"/>
        </w:rPr>
      </w:pPr>
    </w:p>
    <w:p w14:paraId="5D84D1F9"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Gestão da água e saneamento, uso e escassez: </w:t>
      </w:r>
      <w:r w:rsidRPr="000C0A34">
        <w:rPr>
          <w:rFonts w:ascii="Times New Roman" w:hAnsi="Times New Roman" w:cs="Times New Roman"/>
          <w:color w:val="auto"/>
          <w:sz w:val="24"/>
          <w:szCs w:val="24"/>
        </w:rPr>
        <w:t>O abastecimento de água em Campo Grande alcança cobertura de 97,41% da população pela rede pública da concessionária Águas Guariroba (SNIS/Trata Brasil 2023), com perdas na distribuição de 19,7%, abaixo do parâmetro de 25% considerado eficiente. A gestão de bacias hidrográficas que abastecem o município enfrenta pressão crescente por degradação do Cerrado no entorno, desmatamento que compromete a recarga dos mananciais e acelera o assoreamento dos córregos formadores do sistema hídrico urbano. As projeções climáticas de intensificação das estiagens para a região Centro-Oeste impõem necessidade de planejamento hídrico de longo prazo ainda ausente no planejamento municipal.</w:t>
      </w:r>
    </w:p>
    <w:p w14:paraId="59986AFA" w14:textId="77777777" w:rsidR="00A303F2" w:rsidRPr="000C0A34" w:rsidRDefault="00A303F2" w:rsidP="000C0A34">
      <w:pPr>
        <w:spacing w:line="276" w:lineRule="auto"/>
        <w:rPr>
          <w:rFonts w:ascii="Times New Roman" w:hAnsi="Times New Roman" w:cs="Times New Roman"/>
          <w:color w:val="auto"/>
          <w:sz w:val="24"/>
          <w:szCs w:val="24"/>
        </w:rPr>
      </w:pPr>
    </w:p>
    <w:p w14:paraId="7E49D4FF"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Acesso à água e saneamento: </w:t>
      </w:r>
      <w:r w:rsidRPr="000C0A34">
        <w:rPr>
          <w:rFonts w:ascii="Times New Roman" w:hAnsi="Times New Roman" w:cs="Times New Roman"/>
          <w:color w:val="auto"/>
          <w:sz w:val="24"/>
          <w:szCs w:val="24"/>
        </w:rPr>
        <w:t>A cobertura de esgotamento sanitário alcança 87,64% dos domicílios para coleta, mas com tratamento de apenas 66,1% do volume gerado. Isso significa que 18.316,72 mil m³ de efluentes foram lançados anualmente nos córregos urbanos sem tratamento (SNIS 2022), com impacto direto sobre a qualidade da água dos córregos Prosa, Segredo e Anhanduí e sobre a transmissão de doenças de veiculação hídrica. A queda de 20 posições no Ranking Trata Brasil, do 17º lugar em 2024 para o 37º em 2025, com base nos dados de 2023, evidencia que o investimento de R$ 195,31 por habitante está abaixo do parâmetro ideal de R$ 231,09 estabelecido pelo PLANSAB.</w:t>
      </w:r>
    </w:p>
    <w:p w14:paraId="6C865901" w14:textId="77777777" w:rsidR="00A303F2" w:rsidRPr="000C0A34" w:rsidRDefault="00A303F2" w:rsidP="000C0A34">
      <w:pPr>
        <w:spacing w:line="276" w:lineRule="auto"/>
        <w:rPr>
          <w:rFonts w:ascii="Times New Roman" w:hAnsi="Times New Roman" w:cs="Times New Roman"/>
          <w:color w:val="auto"/>
          <w:sz w:val="24"/>
          <w:szCs w:val="24"/>
        </w:rPr>
      </w:pPr>
    </w:p>
    <w:p w14:paraId="3AF1CF02"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Participação das comunidades na gestão da água: </w:t>
      </w:r>
      <w:r w:rsidRPr="000C0A34">
        <w:rPr>
          <w:rFonts w:ascii="Times New Roman" w:hAnsi="Times New Roman" w:cs="Times New Roman"/>
          <w:color w:val="auto"/>
          <w:sz w:val="24"/>
          <w:szCs w:val="24"/>
        </w:rPr>
        <w:t>A participação comunitária na gestão da água e saneamento em Campo Grande é exercida formalmente pelo Conselho Municipal de Saneamento e pela interface com o Conselho de Bacia do Rio Anhanduí. Na prática, as comunidades periféricas que mais sofrem com o déficit de saneamento têm menor capacidade de influenciar as decisões de investimento da concessionária Águas Guariroba, cujo contrato de concessão é regulado pela AGEREG (Agência Reguladora Municipal). A cartografia social PICAPS, ao mapear as inscrições das comunidades sobre os pontos críticos de saneamento, produz dados qualificados que deveriam alimentar o processo regulatório.</w:t>
      </w:r>
    </w:p>
    <w:p w14:paraId="2258748C" w14:textId="77777777" w:rsidR="00A303F2" w:rsidRPr="000C0A34" w:rsidRDefault="00A303F2" w:rsidP="000C0A34">
      <w:pPr>
        <w:spacing w:line="276" w:lineRule="auto"/>
        <w:rPr>
          <w:rFonts w:ascii="Times New Roman" w:hAnsi="Times New Roman" w:cs="Times New Roman"/>
          <w:color w:val="auto"/>
          <w:sz w:val="24"/>
          <w:szCs w:val="24"/>
        </w:rPr>
      </w:pPr>
    </w:p>
    <w:p w14:paraId="2283E6B3"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Contaminação e poluição do ar, da água e do solo: </w:t>
      </w:r>
      <w:r w:rsidRPr="000C0A34">
        <w:rPr>
          <w:rFonts w:ascii="Times New Roman" w:hAnsi="Times New Roman" w:cs="Times New Roman"/>
          <w:color w:val="auto"/>
          <w:sz w:val="24"/>
          <w:szCs w:val="24"/>
        </w:rPr>
        <w:t>A contaminação ambiental em Campo Grande apresenta múltiplos vetores: lançamento de esgoto não tratado nos córregos urbanos; descarte irregular de resíduos sólidos em terrenos baldios das periferias; aplicação de agroquímicos em propriedades rurais periurbanas sem zona de amortecimento com áreas residenciais; e emissões industriais na zona industrial da região Leste. A vigilância em saúde ambiental, operada pelos sistemas VIGISOLO, VIGIAR e VIGIAGUA do Ministério da Saúde, produz dados sobre a qualidade da água e do ar que precisam ser sistematicamente integrados à análise de risco territorial da SESAU.</w:t>
      </w:r>
    </w:p>
    <w:p w14:paraId="6D2A4E99" w14:textId="77777777" w:rsidR="00A303F2" w:rsidRPr="000C0A34" w:rsidRDefault="00A303F2" w:rsidP="000C0A34">
      <w:pPr>
        <w:spacing w:line="276" w:lineRule="auto"/>
        <w:rPr>
          <w:rFonts w:ascii="Times New Roman" w:hAnsi="Times New Roman" w:cs="Times New Roman"/>
          <w:color w:val="auto"/>
          <w:sz w:val="24"/>
          <w:szCs w:val="24"/>
        </w:rPr>
      </w:pPr>
    </w:p>
    <w:p w14:paraId="02974A6A"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Doenças decorrentes de contaminação ambiental: </w:t>
      </w:r>
      <w:r w:rsidRPr="000C0A34">
        <w:rPr>
          <w:rFonts w:ascii="Times New Roman" w:hAnsi="Times New Roman" w:cs="Times New Roman"/>
          <w:color w:val="auto"/>
          <w:sz w:val="24"/>
          <w:szCs w:val="24"/>
        </w:rPr>
        <w:t>As doenças de veiculação hídrica, leptospirose, hepatite A, diarreias infecciosas, apresentam incidência sazonal elevada no período chuvoso em Campo Grande, com concentração nos bairros periféricos onde o saneamento é deficiente e as enchentes expõem a população a água contaminada. A leptospirose, em particular, tem associação documentada com as enchentes urbanas que atingem as margens dos córregos canalizados precariamente. Intoxicações por agrotóxicos, embora subnotificadas, são registradas pelo SINAN nos períodos de colheita em municípios produtores próximos à capital.</w:t>
      </w:r>
    </w:p>
    <w:p w14:paraId="20FBA8CC" w14:textId="77777777" w:rsidR="00A303F2" w:rsidRPr="000C0A34" w:rsidRDefault="00A303F2" w:rsidP="000C0A34">
      <w:pPr>
        <w:spacing w:line="276" w:lineRule="auto"/>
        <w:rPr>
          <w:rFonts w:ascii="Times New Roman" w:hAnsi="Times New Roman" w:cs="Times New Roman"/>
          <w:color w:val="auto"/>
          <w:sz w:val="24"/>
          <w:szCs w:val="24"/>
        </w:rPr>
      </w:pPr>
    </w:p>
    <w:p w14:paraId="5AFCC9FB"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Qualidade do ar: </w:t>
      </w:r>
      <w:r w:rsidRPr="000C0A34">
        <w:rPr>
          <w:rFonts w:ascii="Times New Roman" w:hAnsi="Times New Roman" w:cs="Times New Roman"/>
          <w:color w:val="auto"/>
          <w:sz w:val="24"/>
          <w:szCs w:val="24"/>
        </w:rPr>
        <w:t>A qualidade do ar em Campo Grande não dispõe de rede de monitoramento municipal contínua. Os episódios de fumaça provenientes de queimadas no Cerrado e no Pantanal, que afetam o estado entre julho e setembro, no período de estiagem, produzem deterioração expressiva da qualidade do ar com impacto comprovado sobre o agravamento de doenças respiratórias, especialmente em crianças e idosos. O VIGIAR (Vigilância em Saúde Ambiental relacionada à Qualidade do Ar) é o instrumento federal de monitoramento, mas sua operacionalização local é ainda incipiente.</w:t>
      </w:r>
    </w:p>
    <w:p w14:paraId="04F3E0F0" w14:textId="77777777" w:rsidR="00A303F2" w:rsidRPr="000C0A34" w:rsidRDefault="00A303F2" w:rsidP="000C0A34">
      <w:pPr>
        <w:spacing w:line="276" w:lineRule="auto"/>
        <w:rPr>
          <w:rFonts w:ascii="Times New Roman" w:hAnsi="Times New Roman" w:cs="Times New Roman"/>
          <w:color w:val="auto"/>
          <w:sz w:val="24"/>
          <w:szCs w:val="24"/>
        </w:rPr>
      </w:pPr>
    </w:p>
    <w:p w14:paraId="3B39AE89" w14:textId="7247364F"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Redução, reciclagem e </w:t>
      </w:r>
      <w:r w:rsidR="000C0A34" w:rsidRPr="000C0A34">
        <w:rPr>
          <w:rFonts w:ascii="Times New Roman" w:hAnsi="Times New Roman" w:cs="Times New Roman"/>
          <w:b/>
          <w:i/>
          <w:color w:val="auto"/>
          <w:sz w:val="24"/>
          <w:szCs w:val="24"/>
        </w:rPr>
        <w:t>reuso</w:t>
      </w:r>
      <w:r w:rsidRPr="000C0A34">
        <w:rPr>
          <w:rFonts w:ascii="Times New Roman" w:hAnsi="Times New Roman" w:cs="Times New Roman"/>
          <w:b/>
          <w:i/>
          <w:color w:val="auto"/>
          <w:sz w:val="24"/>
          <w:szCs w:val="24"/>
        </w:rPr>
        <w:t xml:space="preserve">, água e saneamento: </w:t>
      </w:r>
      <w:r w:rsidRPr="000C0A34">
        <w:rPr>
          <w:rFonts w:ascii="Times New Roman" w:hAnsi="Times New Roman" w:cs="Times New Roman"/>
          <w:color w:val="auto"/>
          <w:sz w:val="24"/>
          <w:szCs w:val="24"/>
        </w:rPr>
        <w:t xml:space="preserve">A reutilização de água em Campo Grande é praticamente inexistente em escala sistêmica. O </w:t>
      </w:r>
      <w:r w:rsidR="000C0A34" w:rsidRPr="000C0A34">
        <w:rPr>
          <w:rFonts w:ascii="Times New Roman" w:hAnsi="Times New Roman" w:cs="Times New Roman"/>
          <w:color w:val="auto"/>
          <w:sz w:val="24"/>
          <w:szCs w:val="24"/>
        </w:rPr>
        <w:t>reuso</w:t>
      </w:r>
      <w:r w:rsidRPr="000C0A34">
        <w:rPr>
          <w:rFonts w:ascii="Times New Roman" w:hAnsi="Times New Roman" w:cs="Times New Roman"/>
          <w:color w:val="auto"/>
          <w:sz w:val="24"/>
          <w:szCs w:val="24"/>
        </w:rPr>
        <w:t xml:space="preserve"> de efluentes tratados para irrigação de áreas verdes públicas e para usos industriais não potáveis é uma tecnologia disponível e aplicável ao contexto, especialmente considerando a pressão crescente sobre os mananciais no contexto de mudanças climáticas. A ETA (Estação de Tratamento de Água) e as ETEs (Estações de Tratamento de Esgoto) da Águas Guariroba poderiam operar como pontos de origem de circuitos de </w:t>
      </w:r>
      <w:r w:rsidR="000C0A34" w:rsidRPr="000C0A34">
        <w:rPr>
          <w:rFonts w:ascii="Times New Roman" w:hAnsi="Times New Roman" w:cs="Times New Roman"/>
          <w:color w:val="auto"/>
          <w:sz w:val="24"/>
          <w:szCs w:val="24"/>
        </w:rPr>
        <w:t>reuso</w:t>
      </w:r>
      <w:r w:rsidRPr="000C0A34">
        <w:rPr>
          <w:rFonts w:ascii="Times New Roman" w:hAnsi="Times New Roman" w:cs="Times New Roman"/>
          <w:color w:val="auto"/>
          <w:sz w:val="24"/>
          <w:szCs w:val="24"/>
        </w:rPr>
        <w:t>, mas isso exigiria investimento e marco regulatório municipal ainda não existente.</w:t>
      </w:r>
    </w:p>
    <w:p w14:paraId="520B319C" w14:textId="77777777" w:rsidR="00A303F2" w:rsidRPr="000C0A34" w:rsidRDefault="00A303F2" w:rsidP="000C0A34">
      <w:pPr>
        <w:spacing w:line="276" w:lineRule="auto"/>
        <w:rPr>
          <w:rFonts w:ascii="Times New Roman" w:hAnsi="Times New Roman" w:cs="Times New Roman"/>
          <w:color w:val="auto"/>
          <w:sz w:val="24"/>
          <w:szCs w:val="24"/>
        </w:rPr>
      </w:pPr>
    </w:p>
    <w:p w14:paraId="4230D175" w14:textId="5CCC9AA3"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Redução, reciclagem e </w:t>
      </w:r>
      <w:r w:rsidR="000C0A34" w:rsidRPr="000C0A34">
        <w:rPr>
          <w:rFonts w:ascii="Times New Roman" w:hAnsi="Times New Roman" w:cs="Times New Roman"/>
          <w:b/>
          <w:i/>
          <w:color w:val="auto"/>
          <w:sz w:val="24"/>
          <w:szCs w:val="24"/>
        </w:rPr>
        <w:t>reuso</w:t>
      </w:r>
      <w:r w:rsidRPr="000C0A34">
        <w:rPr>
          <w:rFonts w:ascii="Times New Roman" w:hAnsi="Times New Roman" w:cs="Times New Roman"/>
          <w:b/>
          <w:i/>
          <w:color w:val="auto"/>
          <w:sz w:val="24"/>
          <w:szCs w:val="24"/>
        </w:rPr>
        <w:t xml:space="preserve">, gestão de resíduos: </w:t>
      </w:r>
      <w:r w:rsidRPr="000C0A34">
        <w:rPr>
          <w:rFonts w:ascii="Times New Roman" w:hAnsi="Times New Roman" w:cs="Times New Roman"/>
          <w:color w:val="auto"/>
          <w:sz w:val="24"/>
          <w:szCs w:val="24"/>
        </w:rPr>
        <w:t>A coleta de resíduos sólidos atinge 99,23% da população campo-grandense, com geração de 0,98 kg por habitante por dia. A coleta seletiva existe em alguns bairros, mas com cobertura parcial e dependência de cooperativas de catadores com capacidade operacional limitada. O aterro sanitário municipal opera como destino final da maioria dos resíduos coletados. A ausência de uma política de logística reversa estruturada para resíduos de construção civil, eletrônicos e embalagens de agroquímicos representa passivo ambiental relevante para o município.</w:t>
      </w:r>
    </w:p>
    <w:p w14:paraId="6A678818" w14:textId="77777777" w:rsidR="00A303F2" w:rsidRPr="000C0A34" w:rsidRDefault="00A303F2" w:rsidP="000C0A34">
      <w:pPr>
        <w:spacing w:line="276" w:lineRule="auto"/>
        <w:rPr>
          <w:rFonts w:ascii="Times New Roman" w:hAnsi="Times New Roman" w:cs="Times New Roman"/>
          <w:color w:val="auto"/>
          <w:sz w:val="24"/>
          <w:szCs w:val="24"/>
        </w:rPr>
      </w:pPr>
    </w:p>
    <w:p w14:paraId="5AC716D2"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Gestão de riscos e emergências: </w:t>
      </w:r>
      <w:r w:rsidRPr="000C0A34">
        <w:rPr>
          <w:rFonts w:ascii="Times New Roman" w:hAnsi="Times New Roman" w:cs="Times New Roman"/>
          <w:color w:val="auto"/>
          <w:sz w:val="24"/>
          <w:szCs w:val="24"/>
        </w:rPr>
        <w:t>A pandemia de COVID-19 evidenciou fragilidades na gestão de emergências de saúde pública em Campo Grande: insuficiência de leitos de UTI no pico da crise, déficit de pessoal especializado e fragmentação da gestão de dados entre níveis de governo. A sala de situação da SESAU, estruturada durante a pandemia, precisa ser mantida como instrumento permanente de monitoramento e não apenas ativada em crises. Os surtos endêmicos anuais de dengue e leishmaniose são emergências programadas, previsíveis nos seus ciclos sazonais, que demandam prontidão operacional permanente e protocolos de resposta integrada entre vigilância epidemiológica, APS e rede hospitalar.</w:t>
      </w:r>
    </w:p>
    <w:p w14:paraId="3BD9FD28" w14:textId="77777777" w:rsidR="00A303F2" w:rsidRPr="000C0A34" w:rsidRDefault="00A303F2" w:rsidP="000C0A34">
      <w:pPr>
        <w:spacing w:line="276" w:lineRule="auto"/>
        <w:rPr>
          <w:rFonts w:ascii="Times New Roman" w:hAnsi="Times New Roman" w:cs="Times New Roman"/>
          <w:color w:val="auto"/>
          <w:sz w:val="24"/>
          <w:szCs w:val="24"/>
        </w:rPr>
      </w:pPr>
    </w:p>
    <w:p w14:paraId="57432637"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Gestão de riscos, defesa civil, bombeiros e brigadas: </w:t>
      </w:r>
      <w:r w:rsidRPr="000C0A34">
        <w:rPr>
          <w:rFonts w:ascii="Times New Roman" w:hAnsi="Times New Roman" w:cs="Times New Roman"/>
          <w:color w:val="auto"/>
          <w:sz w:val="24"/>
          <w:szCs w:val="24"/>
        </w:rPr>
        <w:t>A Defesa Civil de Campo Grande e o Corpo de Bombeiros são os atores institucionais da resposta a desastres e emergências não sanitárias. A capacidade operacional é limitada frente à extensão territorial e à diversidade de riscos do município. O modelo das Brigadas Populares de Resposta a Desastres, desenvolvido pela PICAPS em parceria com comunidades de Rio Bonito do Iguaçu (PR) após o tornado de 2024, oferece referência metodológica aplicável às periferias campo-grandenses sujeitas a enchentes e às aldeias indígenas urbanas com baixa cobertura de proteção civil.</w:t>
      </w:r>
    </w:p>
    <w:p w14:paraId="03658235" w14:textId="77777777" w:rsidR="00A303F2" w:rsidRPr="000C0A34" w:rsidRDefault="00A303F2" w:rsidP="000C0A34">
      <w:pPr>
        <w:spacing w:line="276" w:lineRule="auto"/>
        <w:rPr>
          <w:rFonts w:ascii="Times New Roman" w:hAnsi="Times New Roman" w:cs="Times New Roman"/>
          <w:color w:val="auto"/>
          <w:sz w:val="24"/>
          <w:szCs w:val="24"/>
        </w:rPr>
      </w:pPr>
    </w:p>
    <w:p w14:paraId="2109111B"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Pontos de riscos e desastres no território: </w:t>
      </w:r>
      <w:r w:rsidRPr="000C0A34">
        <w:rPr>
          <w:rFonts w:ascii="Times New Roman" w:hAnsi="Times New Roman" w:cs="Times New Roman"/>
          <w:color w:val="auto"/>
          <w:sz w:val="24"/>
          <w:szCs w:val="24"/>
        </w:rPr>
        <w:t>O mapeamento de pontos de risco territorial em Campo Grande é um produto que os pesquisadores populares PICAPS podem gerar com precisão superior ao que os dados institucionais oferecem. Os moradores das periferias conhecem os pontos de alagamento recorrentes, as áreas de deslizamento, os locais de descarte irregular de resíduos, os pontos de conflito violento e os focos de vetores de doenças, conhecimento que não está em nenhum banco de dados oficial. A integração desse mapeamento comunitário com os dados da Defesa Civil e da Vigilância em Saúde Ambiental é uma inovação metodológica com alto valor para a gestão de riscos.</w:t>
      </w:r>
    </w:p>
    <w:p w14:paraId="407418B0" w14:textId="77777777" w:rsidR="00A303F2" w:rsidRPr="000C0A34" w:rsidRDefault="00A303F2" w:rsidP="000C0A34">
      <w:pPr>
        <w:spacing w:line="276" w:lineRule="auto"/>
        <w:rPr>
          <w:rFonts w:ascii="Times New Roman" w:hAnsi="Times New Roman" w:cs="Times New Roman"/>
          <w:color w:val="auto"/>
          <w:sz w:val="24"/>
          <w:szCs w:val="24"/>
        </w:rPr>
      </w:pPr>
    </w:p>
    <w:p w14:paraId="684D2F2B"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Acidentes em estradas: </w:t>
      </w:r>
      <w:r w:rsidRPr="000C0A34">
        <w:rPr>
          <w:rFonts w:ascii="Times New Roman" w:hAnsi="Times New Roman" w:cs="Times New Roman"/>
          <w:color w:val="auto"/>
          <w:sz w:val="24"/>
          <w:szCs w:val="24"/>
        </w:rPr>
        <w:t>Campo Grande é polo logístico do Centro-Oeste, com fluxo intenso de veículos pesados nas rodovias federais BR-163, BR-262 e BR-060 que convergem na capital. Os acidentes de trânsito nas rodovias de acesso à cidade e nas vias urbanas de alto fluxo são causa relevante de mortalidade por causas externas na faixa etária de 15 a 39 anos. O INFOSIGA e o DATASUS registram as internações e óbitos por acidentes de trânsito, mas a análise territorial intraurbana, identificando os corredores de maior risco, exige cruzamento com dados do DETRAN-MS e com as notificações de violência no SINAN.</w:t>
      </w:r>
    </w:p>
    <w:p w14:paraId="428C4423" w14:textId="77777777" w:rsidR="00A303F2" w:rsidRPr="000C0A34" w:rsidRDefault="00A303F2" w:rsidP="000C0A34">
      <w:pPr>
        <w:spacing w:line="276" w:lineRule="auto"/>
        <w:rPr>
          <w:rFonts w:ascii="Times New Roman" w:hAnsi="Times New Roman" w:cs="Times New Roman"/>
          <w:color w:val="auto"/>
          <w:sz w:val="24"/>
          <w:szCs w:val="24"/>
        </w:rPr>
      </w:pPr>
    </w:p>
    <w:p w14:paraId="7DB8CADA" w14:textId="77777777"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Segurança: </w:t>
      </w:r>
      <w:r w:rsidRPr="000C0A34">
        <w:rPr>
          <w:rFonts w:ascii="Times New Roman" w:hAnsi="Times New Roman" w:cs="Times New Roman"/>
          <w:color w:val="auto"/>
          <w:sz w:val="24"/>
          <w:szCs w:val="24"/>
        </w:rPr>
        <w:t>A segurança pública em Campo Grande é determinante de saúde documentado pela cartografia social: a insegurança e o medo restringem a mobilidade, o uso de espaços públicos e a adesão a atividades de saúde preventiva nas periferias. O Índice de Vulnerabilidade Social do IPEA identifica as regiões Sul e Leste como de maior insegurança, com correlação com indicadores de tráfico, violência doméstica e homicídios. As UBSs localizadas em áreas de risco relatam dificuldades de acesso de usuários e de equipes nos horários noturnos, comprometendo a oferta de serviços de saúde nesses territórios.</w:t>
      </w:r>
    </w:p>
    <w:p w14:paraId="19FD8303" w14:textId="77777777" w:rsidR="00A303F2" w:rsidRPr="000C0A34" w:rsidRDefault="00A303F2" w:rsidP="000C0A34">
      <w:pPr>
        <w:spacing w:line="276" w:lineRule="auto"/>
        <w:rPr>
          <w:rFonts w:ascii="Times New Roman" w:hAnsi="Times New Roman" w:cs="Times New Roman"/>
          <w:color w:val="auto"/>
          <w:sz w:val="24"/>
          <w:szCs w:val="24"/>
        </w:rPr>
      </w:pPr>
    </w:p>
    <w:p w14:paraId="6958EAF2" w14:textId="30FB6DEF" w:rsidR="00A303F2" w:rsidRPr="000C0A34" w:rsidRDefault="00A303F2"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Violência: </w:t>
      </w:r>
      <w:r w:rsidRPr="000C0A34">
        <w:rPr>
          <w:rFonts w:ascii="Times New Roman" w:hAnsi="Times New Roman" w:cs="Times New Roman"/>
          <w:color w:val="auto"/>
          <w:sz w:val="24"/>
          <w:szCs w:val="24"/>
        </w:rPr>
        <w:t>A violência é o determinante de saúde mais diretamente letal para jovens negros e indígenas de Campo Grande. A taxa de homicídios na cidade posiciona Mato Grosso do Sul entre os estados com maior mortalidade por causas violentas no Brasil. Jovens negros e indígenas masculinos de 15 a 29 anos morrem proporcionalmente mais por homicídio do que rapazes brancos da mesma faixa etária, dado documentado pela Agência Brasil (2024) e correlato à sobredeterminação racial da violência estrutural. O SINAN-Violências registra as notificações de violência física, sexual e psicológica, com concentração nas regiões periféricas e forte associação com uso de álcool e drogas e com violência doméstica.</w:t>
      </w:r>
    </w:p>
    <w:p w14:paraId="1679491B" w14:textId="77777777" w:rsidR="004C4B34" w:rsidRPr="000C0A34" w:rsidRDefault="004C4B34" w:rsidP="000C0A34">
      <w:pPr>
        <w:spacing w:before="80" w:line="276" w:lineRule="auto"/>
        <w:jc w:val="both"/>
        <w:rPr>
          <w:rFonts w:ascii="Times New Roman" w:hAnsi="Times New Roman" w:cs="Times New Roman"/>
          <w:color w:val="auto"/>
          <w:sz w:val="24"/>
          <w:szCs w:val="24"/>
        </w:rPr>
      </w:pPr>
    </w:p>
    <w:p w14:paraId="7208A125" w14:textId="501B0B7E" w:rsidR="007E55C4" w:rsidRPr="000C0A34" w:rsidRDefault="007E55C4" w:rsidP="000C0A34">
      <w:pPr>
        <w:pStyle w:val="Ttulo1"/>
        <w:spacing w:after="0" w:line="276" w:lineRule="auto"/>
        <w:jc w:val="center"/>
        <w:rPr>
          <w:rFonts w:ascii="Times New Roman" w:hAnsi="Times New Roman" w:cs="Times New Roman"/>
          <w:color w:val="auto"/>
          <w:sz w:val="24"/>
          <w:szCs w:val="24"/>
        </w:rPr>
      </w:pPr>
      <w:r w:rsidRPr="000C0A34">
        <w:rPr>
          <w:rFonts w:ascii="Times New Roman" w:hAnsi="Times New Roman" w:cs="Times New Roman"/>
          <w:color w:val="auto"/>
          <w:sz w:val="24"/>
          <w:szCs w:val="24"/>
        </w:rPr>
        <w:t>EIXO 3. NOSSOS CORPOS SILENCIADOS</w:t>
      </w:r>
    </w:p>
    <w:p w14:paraId="3894AEC6" w14:textId="4D0EA06B" w:rsidR="007E55C4" w:rsidRPr="000C0A34" w:rsidRDefault="007E55C4" w:rsidP="000C0A34">
      <w:pPr>
        <w:spacing w:line="276" w:lineRule="auto"/>
        <w:jc w:val="both"/>
        <w:rPr>
          <w:rFonts w:ascii="Times New Roman" w:hAnsi="Times New Roman" w:cs="Times New Roman"/>
          <w:color w:val="auto"/>
          <w:sz w:val="24"/>
          <w:szCs w:val="24"/>
        </w:rPr>
      </w:pPr>
      <w:r w:rsidRPr="000C0A34">
        <w:rPr>
          <w:rFonts w:ascii="Times New Roman" w:hAnsi="Times New Roman" w:cs="Times New Roman"/>
          <w:color w:val="auto"/>
          <w:sz w:val="24"/>
          <w:szCs w:val="24"/>
        </w:rPr>
        <w:t>Este capítulo apresenta a leitura territorial de Campo Grande pelos 19 fatores do Eixo 3 (Nossos Corpos Silenciados). Cada fator é analisado em sua expressão concreta no território campo-grandense, articulando dados secundários, indicadores dos sistemas de informação em saúde e inscrições da cartografia social.</w:t>
      </w:r>
    </w:p>
    <w:p w14:paraId="1C5C2928" w14:textId="77777777" w:rsidR="000C0A34" w:rsidRPr="000C0A34" w:rsidRDefault="000C0A34" w:rsidP="000C0A34">
      <w:pPr>
        <w:spacing w:line="276" w:lineRule="auto"/>
        <w:jc w:val="both"/>
        <w:rPr>
          <w:rFonts w:ascii="Times New Roman" w:hAnsi="Times New Roman" w:cs="Times New Roman"/>
          <w:color w:val="auto"/>
          <w:sz w:val="24"/>
          <w:szCs w:val="24"/>
        </w:rPr>
      </w:pPr>
    </w:p>
    <w:p w14:paraId="6BB0E792" w14:textId="038D3583"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Discriminação e violência contra mulheres e meninas: </w:t>
      </w:r>
      <w:r w:rsidRPr="000C0A34">
        <w:rPr>
          <w:rFonts w:ascii="Times New Roman" w:hAnsi="Times New Roman" w:cs="Times New Roman"/>
          <w:color w:val="auto"/>
          <w:sz w:val="24"/>
          <w:szCs w:val="24"/>
        </w:rPr>
        <w:t>As notificações de violência doméstica no SINAN e os registros de feminicídio nos boletins estaduais de 2023 indicam concentração nas periferias Sul e Leste de Campo Grande, com forte associação com uso de álcool e drogas. Mulheres pardas e negras são desproporcionalmente afetadas, operando a intersecção entre gênero e raça como amplificadora da vulnerabilidade. A rede de proteção inclui CRAS, CREAS, DEAM, Casa da Mulher Brasileira e serviços da RAPS, mas com capacidade de acolhimento e acompanhamento longitudinal insuficiente frente à magnitude da demanda.</w:t>
      </w:r>
    </w:p>
    <w:p w14:paraId="443A52FC" w14:textId="77777777" w:rsidR="00A303F2" w:rsidRPr="000C0A34" w:rsidRDefault="00A303F2" w:rsidP="000C0A34">
      <w:pPr>
        <w:spacing w:line="276" w:lineRule="auto"/>
        <w:rPr>
          <w:rFonts w:ascii="Times New Roman" w:hAnsi="Times New Roman" w:cs="Times New Roman"/>
          <w:color w:val="auto"/>
          <w:sz w:val="24"/>
        </w:rPr>
      </w:pPr>
    </w:p>
    <w:p w14:paraId="59A7E21C" w14:textId="26778598"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Discriminação racial, todas as formas: </w:t>
      </w:r>
      <w:r w:rsidRPr="000C0A34">
        <w:rPr>
          <w:rFonts w:ascii="Times New Roman" w:hAnsi="Times New Roman" w:cs="Times New Roman"/>
          <w:color w:val="auto"/>
          <w:sz w:val="24"/>
          <w:szCs w:val="24"/>
        </w:rPr>
        <w:t xml:space="preserve">A discriminação racial em Campo Grande manifesta-se em múltiplas dimensões: no mercado de trabalho, com negros e indígenas concentrados nas faixas salariais mais baixas e nos empregos de maior precariedade; no acesso diferenciado a serviços de saúde e educação; na </w:t>
      </w:r>
      <w:r w:rsidR="000C0A34" w:rsidRPr="000C0A34">
        <w:rPr>
          <w:rFonts w:ascii="Times New Roman" w:hAnsi="Times New Roman" w:cs="Times New Roman"/>
          <w:color w:val="auto"/>
          <w:sz w:val="24"/>
          <w:szCs w:val="24"/>
        </w:rPr>
        <w:t>sobre representação</w:t>
      </w:r>
      <w:r w:rsidRPr="000C0A34">
        <w:rPr>
          <w:rFonts w:ascii="Times New Roman" w:hAnsi="Times New Roman" w:cs="Times New Roman"/>
          <w:color w:val="auto"/>
          <w:sz w:val="24"/>
          <w:szCs w:val="24"/>
        </w:rPr>
        <w:t xml:space="preserve"> no sistema prisional; e na invisibilidade nos processos de tomada de decisão institucional. Os dados do Censo 2022 para Campo Grande ainda não estão plenamente desagregados por raça e etnia em indicadores de saúde e educação ao nível intraurbano, lacuna que o sistema de informação da APS (e-SUS) pode preencher.</w:t>
      </w:r>
    </w:p>
    <w:p w14:paraId="7CF8E134" w14:textId="77777777" w:rsidR="00A303F2" w:rsidRPr="000C0A34" w:rsidRDefault="00A303F2" w:rsidP="000C0A34">
      <w:pPr>
        <w:spacing w:line="276" w:lineRule="auto"/>
        <w:rPr>
          <w:rFonts w:ascii="Times New Roman" w:hAnsi="Times New Roman" w:cs="Times New Roman"/>
          <w:color w:val="auto"/>
          <w:sz w:val="24"/>
        </w:rPr>
      </w:pPr>
    </w:p>
    <w:p w14:paraId="60059E62" w14:textId="6D1C97CF"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Igualdade racial: </w:t>
      </w:r>
      <w:r w:rsidRPr="000C0A34">
        <w:rPr>
          <w:rFonts w:ascii="Times New Roman" w:hAnsi="Times New Roman" w:cs="Times New Roman"/>
          <w:color w:val="auto"/>
          <w:sz w:val="24"/>
          <w:szCs w:val="24"/>
        </w:rPr>
        <w:t>A promoção da igualdade racial em Campo Grande tem como principal referência normativa a Política Nacional de Saúde Integral da População Negra (PNSIPN), implementada na SESAU por meio da qualificação de equipes para o manejo diferenciado de condições de saúde prevalentes na população negra, como anemia falciforme, hipertensão e saúde mental. O Conselho Municipal de Promoção da Igualdade Racial é a instância de controle social dessa política, mas sua efetividade depende de orçamento específico e de articulação intersetorial entre saúde, educação e assistência social.</w:t>
      </w:r>
    </w:p>
    <w:p w14:paraId="13959909" w14:textId="77777777" w:rsidR="00A303F2" w:rsidRPr="000C0A34" w:rsidRDefault="00A303F2" w:rsidP="000C0A34">
      <w:pPr>
        <w:spacing w:line="276" w:lineRule="auto"/>
        <w:rPr>
          <w:rFonts w:ascii="Times New Roman" w:hAnsi="Times New Roman" w:cs="Times New Roman"/>
          <w:color w:val="auto"/>
          <w:sz w:val="24"/>
        </w:rPr>
      </w:pPr>
    </w:p>
    <w:p w14:paraId="553F0D1F" w14:textId="04FDB1AB"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Igualdade de oportunidades: </w:t>
      </w:r>
      <w:r w:rsidRPr="000C0A34">
        <w:rPr>
          <w:rFonts w:ascii="Times New Roman" w:hAnsi="Times New Roman" w:cs="Times New Roman"/>
          <w:color w:val="auto"/>
          <w:sz w:val="24"/>
          <w:szCs w:val="24"/>
        </w:rPr>
        <w:t>A desigualdade de oportunidades em Campo Grande é estruturada territorialmente: moradores das periferias Sul e Leste têm acesso a escolas com piores indicadores do IDEB, menor cobertura de equipamentos culturais e esportivos, maior distância dos centros de formação técnica e profissional e menor acesso ao emprego formal de qualidade. O fator E3-04 articula a dimensão racial e de gênero à dimensão territorial: não ser branco, não ser homem e morar na periferia é uma combinação de desvantagens que se multiplicam ao longo das trajetórias de vida.</w:t>
      </w:r>
    </w:p>
    <w:p w14:paraId="00923B68" w14:textId="77777777" w:rsidR="00A303F2" w:rsidRPr="000C0A34" w:rsidRDefault="00A303F2" w:rsidP="000C0A34">
      <w:pPr>
        <w:spacing w:line="276" w:lineRule="auto"/>
        <w:rPr>
          <w:rFonts w:ascii="Times New Roman" w:hAnsi="Times New Roman" w:cs="Times New Roman"/>
          <w:color w:val="auto"/>
          <w:sz w:val="24"/>
        </w:rPr>
      </w:pPr>
    </w:p>
    <w:p w14:paraId="4C1D5D08" w14:textId="7CB6817B"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Igualdade de oportunidades para empoderamento das mulheres: </w:t>
      </w:r>
      <w:r w:rsidRPr="000C0A34">
        <w:rPr>
          <w:rFonts w:ascii="Times New Roman" w:hAnsi="Times New Roman" w:cs="Times New Roman"/>
          <w:color w:val="auto"/>
          <w:sz w:val="24"/>
          <w:szCs w:val="24"/>
        </w:rPr>
        <w:t>Os programas de empoderamento de mulheres em Campo Grande operam principalmente por meio dos CRAS, com grupos de geração de renda, oficinas de qualificação e acesso ao microcrédito produtivo. As mulheres indígenas urbanas têm acesso ainda mais restrito a esses programas, por barreiras culturais e de distância física das aldeias urbanas em relação aos equipamentos de proteção social. A política de saúde da mulher na APS, com oferta de planejamento familiar, rastreamento de câncer e cuidado pré-natal, é um ponto de entrada potente para a identificação de mulheres em situação de vulnerabilidade e conexão com os programas de empoderamento.</w:t>
      </w:r>
    </w:p>
    <w:p w14:paraId="04EC6A4B" w14:textId="77777777" w:rsidR="00A303F2" w:rsidRPr="000C0A34" w:rsidRDefault="00A303F2" w:rsidP="000C0A34">
      <w:pPr>
        <w:spacing w:line="276" w:lineRule="auto"/>
        <w:rPr>
          <w:rFonts w:ascii="Times New Roman" w:hAnsi="Times New Roman" w:cs="Times New Roman"/>
          <w:color w:val="auto"/>
          <w:sz w:val="24"/>
        </w:rPr>
      </w:pPr>
    </w:p>
    <w:p w14:paraId="011CA99F" w14:textId="18DD82B7"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Casamentos prematuros, forçados e de crianças: </w:t>
      </w:r>
      <w:r w:rsidRPr="000C0A34">
        <w:rPr>
          <w:rFonts w:ascii="Times New Roman" w:hAnsi="Times New Roman" w:cs="Times New Roman"/>
          <w:color w:val="auto"/>
          <w:sz w:val="24"/>
          <w:szCs w:val="24"/>
        </w:rPr>
        <w:t>O casamento infantil e as uniões precoces têm incidência documentada nas comunidades indígenas urbanas de Campo Grande, onde práticas culturais tradicionais interagem com condições de pobreza e ausência de alternativas econômicas para adolescentes. O Conselho Tutelar e a rede de proteção social têm responsabilidade de identificação e notificação, mas a sensibilidade cultural para abordagem em comunidades indígenas exige formação específica de profissionais que frequentemente não recebem.</w:t>
      </w:r>
    </w:p>
    <w:p w14:paraId="2E0BE1AD" w14:textId="77777777" w:rsidR="00A303F2" w:rsidRPr="000C0A34" w:rsidRDefault="00A303F2" w:rsidP="000C0A34">
      <w:pPr>
        <w:spacing w:line="276" w:lineRule="auto"/>
        <w:rPr>
          <w:rFonts w:ascii="Times New Roman" w:hAnsi="Times New Roman" w:cs="Times New Roman"/>
          <w:color w:val="auto"/>
          <w:sz w:val="24"/>
        </w:rPr>
      </w:pPr>
    </w:p>
    <w:p w14:paraId="61C5AC03" w14:textId="4CA6976C"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Tráfico de pessoas: </w:t>
      </w:r>
      <w:r w:rsidRPr="000C0A34">
        <w:rPr>
          <w:rFonts w:ascii="Times New Roman" w:hAnsi="Times New Roman" w:cs="Times New Roman"/>
          <w:color w:val="auto"/>
          <w:sz w:val="24"/>
          <w:szCs w:val="24"/>
        </w:rPr>
        <w:t>Campo Grande, como capital e polo logístico do Centro-Oeste na fronteira com Paraguai e Bolívia, está inserida em rotas documentadas de tráfico de pessoas para fins de exploração sexual e trabalho forçado. O Núcleo de Enfrentamento ao Tráfico de Pessoas do Mato Grosso do Sul opera em Campo Grande com articulação com a Polícia Federal, mas a subnotificação é expressiva. Mulheres e crianças em situação de vulnerabilidade social, incluindo indígenas e imigrantes em situação irregular, são os grupos de maior risco, exigindo capacitação das equipes de saúde para identificação de sinais de alerta.</w:t>
      </w:r>
    </w:p>
    <w:p w14:paraId="6D0AA69C" w14:textId="77777777" w:rsidR="00A303F2" w:rsidRPr="000C0A34" w:rsidRDefault="00A303F2" w:rsidP="000C0A34">
      <w:pPr>
        <w:spacing w:line="276" w:lineRule="auto"/>
        <w:rPr>
          <w:rFonts w:ascii="Times New Roman" w:hAnsi="Times New Roman" w:cs="Times New Roman"/>
          <w:color w:val="auto"/>
          <w:sz w:val="24"/>
        </w:rPr>
      </w:pPr>
    </w:p>
    <w:p w14:paraId="54A9F357" w14:textId="3845E90F"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Empoderamento e inclusão social, econômica e política: </w:t>
      </w:r>
      <w:r w:rsidRPr="000C0A34">
        <w:rPr>
          <w:rFonts w:ascii="Times New Roman" w:hAnsi="Times New Roman" w:cs="Times New Roman"/>
          <w:color w:val="auto"/>
          <w:sz w:val="24"/>
          <w:szCs w:val="24"/>
        </w:rPr>
        <w:t>O empoderamento comunitário é condição metodológica central da Pedagogia da Práxis no Território: os pesquisadores populares PICAPS são a expressão operacional desse princípio em Campo Grande. A inclusão política de mulheres, negros e indígenas nos espaços de controle social, CMS, CMAS, CMDCA, Conselho Indígena Municipal, é um indicador processual de qualidade democrática que precisa ser monitorado ao longo do ciclo de planejamento.</w:t>
      </w:r>
    </w:p>
    <w:p w14:paraId="530D175B" w14:textId="77777777" w:rsidR="00A303F2" w:rsidRPr="000C0A34" w:rsidRDefault="00A303F2" w:rsidP="000C0A34">
      <w:pPr>
        <w:spacing w:line="276" w:lineRule="auto"/>
        <w:rPr>
          <w:rFonts w:ascii="Times New Roman" w:hAnsi="Times New Roman" w:cs="Times New Roman"/>
          <w:color w:val="auto"/>
          <w:sz w:val="24"/>
        </w:rPr>
      </w:pPr>
    </w:p>
    <w:p w14:paraId="2734A4C5" w14:textId="17B9EEDB"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Propriedade e controle sobre a terra para as mulheres: </w:t>
      </w:r>
      <w:r w:rsidRPr="000C0A34">
        <w:rPr>
          <w:rFonts w:ascii="Times New Roman" w:hAnsi="Times New Roman" w:cs="Times New Roman"/>
          <w:color w:val="auto"/>
          <w:sz w:val="24"/>
          <w:szCs w:val="24"/>
        </w:rPr>
        <w:t>A regularização fundiária urbana nas periferias de Campo Grande raramente garante a titulação preferencial para mulheres, conforme prevê o Estatuto da Cidade para áreas de interesse social. As mulheres chefes de família nas regiões Sul e Leste frequentemente habitam domicílios sem documentação fundiária, o que as exclui do acesso a programas de habitação popular que exigem comprovação de posse ou propriedade.</w:t>
      </w:r>
    </w:p>
    <w:p w14:paraId="6AFA19BA" w14:textId="77777777" w:rsidR="00A303F2" w:rsidRPr="000C0A34" w:rsidRDefault="00A303F2" w:rsidP="000C0A34">
      <w:pPr>
        <w:spacing w:line="276" w:lineRule="auto"/>
        <w:rPr>
          <w:rFonts w:ascii="Times New Roman" w:hAnsi="Times New Roman" w:cs="Times New Roman"/>
          <w:color w:val="auto"/>
          <w:sz w:val="24"/>
        </w:rPr>
      </w:pPr>
    </w:p>
    <w:p w14:paraId="5AFB809C" w14:textId="00843536"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Igualdade de direitos à terra para comunidades tradicionais e quilombolas: </w:t>
      </w:r>
      <w:r w:rsidRPr="000C0A34">
        <w:rPr>
          <w:rFonts w:ascii="Times New Roman" w:hAnsi="Times New Roman" w:cs="Times New Roman"/>
          <w:color w:val="auto"/>
          <w:sz w:val="24"/>
          <w:szCs w:val="24"/>
        </w:rPr>
        <w:t>As aldeias urbanas indígenas de Campo Grande, majoritariamente Terena, com seis aldeias formais identificadas, incluindo Água Bonita e Marçal de Souza, habitam territórios sem titulação fundiária formal, sob constante pressão da especulação imobiliária. A reestruturação do Conselho Municipal dos Direitos e Defesa dos Povos Indígenas (Lei nº 7.227/2024) é um avanço normativo, mas a efetivação do direito à terra exige demarcação, regularização e proteção jurídica que transcendem a capacidade municipal e demandam articulação com FUNAI, INCRA e Ministério dos Povos Indígenas.</w:t>
      </w:r>
    </w:p>
    <w:p w14:paraId="6565769C" w14:textId="77777777" w:rsidR="00A303F2" w:rsidRPr="000C0A34" w:rsidRDefault="00A303F2" w:rsidP="000C0A34">
      <w:pPr>
        <w:spacing w:line="276" w:lineRule="auto"/>
        <w:rPr>
          <w:rFonts w:ascii="Times New Roman" w:hAnsi="Times New Roman" w:cs="Times New Roman"/>
          <w:color w:val="auto"/>
          <w:sz w:val="24"/>
        </w:rPr>
      </w:pPr>
    </w:p>
    <w:p w14:paraId="2A929854" w14:textId="62E424D2"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Ação do Estado na coordenação de políticas para igualdade de gênero: </w:t>
      </w:r>
      <w:r w:rsidRPr="000C0A34">
        <w:rPr>
          <w:rFonts w:ascii="Times New Roman" w:hAnsi="Times New Roman" w:cs="Times New Roman"/>
          <w:color w:val="auto"/>
          <w:sz w:val="24"/>
          <w:szCs w:val="24"/>
        </w:rPr>
        <w:t>A coordenação municipal de políticas para igualdade de gênero em Campo Grande opera de forma descentralizada entre SESAU, Secretaria de Assistência Social e Secretaria de Governo, sem uma estrutura específica de monitoramento e avaliação. A implementação do Programa Mulher Segura, da Rede de Proteção à Mulher e dos protocolos de violência doméstica na APS são pontos de entrada concretos, mas a integração entre os setores para garantir continuidade do cuidado após a notificação ainda apresenta lacunas.</w:t>
      </w:r>
    </w:p>
    <w:p w14:paraId="15471458" w14:textId="77777777" w:rsidR="00A303F2" w:rsidRPr="000C0A34" w:rsidRDefault="00A303F2" w:rsidP="000C0A34">
      <w:pPr>
        <w:spacing w:line="276" w:lineRule="auto"/>
        <w:rPr>
          <w:rFonts w:ascii="Times New Roman" w:hAnsi="Times New Roman" w:cs="Times New Roman"/>
          <w:color w:val="auto"/>
          <w:sz w:val="24"/>
        </w:rPr>
      </w:pPr>
    </w:p>
    <w:p w14:paraId="55065C82" w14:textId="52DA2194"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Tecnologias de informação para empoderamento das mulheres: </w:t>
      </w:r>
      <w:r w:rsidRPr="000C0A34">
        <w:rPr>
          <w:rFonts w:ascii="Times New Roman" w:hAnsi="Times New Roman" w:cs="Times New Roman"/>
          <w:color w:val="auto"/>
          <w:sz w:val="24"/>
          <w:szCs w:val="24"/>
        </w:rPr>
        <w:t>O uso de aplicativos, grupos de WhatsApp e plataformas digitais por grupos de mulheres em bairros periféricos de Campo Grande é uma realidade identificada pelos ACS como canal de circulação de informações sobre saúde, violência e direitos. A PICAPS pode potencializar esse uso ao capacitar mulheres como pesquisadoras populares e ao integrar ferramentas digitais ao ciclo de investigação do universo temático.</w:t>
      </w:r>
    </w:p>
    <w:p w14:paraId="43C40AAB" w14:textId="77777777" w:rsidR="00A303F2" w:rsidRPr="000C0A34" w:rsidRDefault="00A303F2" w:rsidP="000C0A34">
      <w:pPr>
        <w:spacing w:line="276" w:lineRule="auto"/>
        <w:rPr>
          <w:rFonts w:ascii="Times New Roman" w:hAnsi="Times New Roman" w:cs="Times New Roman"/>
          <w:color w:val="auto"/>
          <w:sz w:val="24"/>
        </w:rPr>
      </w:pPr>
    </w:p>
    <w:p w14:paraId="6A6F6E47" w14:textId="08F1EAA9"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Acesso a direitos fundamentais, Registro de Nascimento e RG: </w:t>
      </w:r>
      <w:r w:rsidRPr="000C0A34">
        <w:rPr>
          <w:rFonts w:ascii="Times New Roman" w:hAnsi="Times New Roman" w:cs="Times New Roman"/>
          <w:color w:val="auto"/>
          <w:sz w:val="24"/>
          <w:szCs w:val="24"/>
        </w:rPr>
        <w:t>A ausência de documentação civil, registro de nascimento e RG, é uma barreira de acesso a direitos que afeta principalmente populações indígenas urbanas, pessoas em situação de rua e filhos de mulheres migrantes em situação irregular. Em Campo Grande, o Cartório de Registro Civil atende em parceria com unidades de saúde e assistência social para registro de recém-nascidos, mas a cobertura para populações adultas indígenas sem documentação é insuficiente. Sem RG, não há acesso ao CadÚnico, ao SUS com prontuário nominado, ou à Previdência Social.</w:t>
      </w:r>
    </w:p>
    <w:p w14:paraId="74E4CF4E" w14:textId="77777777" w:rsidR="00A303F2" w:rsidRPr="000C0A34" w:rsidRDefault="00A303F2" w:rsidP="000C0A34">
      <w:pPr>
        <w:spacing w:line="276" w:lineRule="auto"/>
        <w:rPr>
          <w:rFonts w:ascii="Times New Roman" w:hAnsi="Times New Roman" w:cs="Times New Roman"/>
          <w:color w:val="auto"/>
          <w:sz w:val="24"/>
        </w:rPr>
      </w:pPr>
    </w:p>
    <w:p w14:paraId="31E586F9" w14:textId="167A8248"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Direitos fundamentais: </w:t>
      </w:r>
      <w:r w:rsidRPr="000C0A34">
        <w:rPr>
          <w:rFonts w:ascii="Times New Roman" w:hAnsi="Times New Roman" w:cs="Times New Roman"/>
          <w:color w:val="auto"/>
          <w:sz w:val="24"/>
          <w:szCs w:val="24"/>
        </w:rPr>
        <w:t>A garantia dos direitos fundamentais, saúde, educação, moradia, alimentação, segurança, é a finalidade para a qual o diagnóstico situacional produz evidências. A cartografia social PICAPS nomeia as violações como fatores geradores de situações-limite, e o Plano Popular de Territórios Saudáveis é a resposta coletivamente construída. Em Campo Grande, os territórios das periferias Sul e Leste e das aldeias indígenas urbanas são os espaços onde a violação simultânea de múltiplos direitos é mais intensa e sistemática.</w:t>
      </w:r>
    </w:p>
    <w:p w14:paraId="056BDFEF" w14:textId="77777777" w:rsidR="00A303F2" w:rsidRPr="000C0A34" w:rsidRDefault="00A303F2" w:rsidP="000C0A34">
      <w:pPr>
        <w:spacing w:line="276" w:lineRule="auto"/>
        <w:rPr>
          <w:rFonts w:ascii="Times New Roman" w:hAnsi="Times New Roman" w:cs="Times New Roman"/>
          <w:color w:val="auto"/>
          <w:sz w:val="24"/>
        </w:rPr>
      </w:pPr>
    </w:p>
    <w:p w14:paraId="60826CC7" w14:textId="694B3638"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Direitos fundamentais para pessoas em situação de vulnerabilidade: </w:t>
      </w:r>
      <w:r w:rsidRPr="000C0A34">
        <w:rPr>
          <w:rFonts w:ascii="Times New Roman" w:hAnsi="Times New Roman" w:cs="Times New Roman"/>
          <w:color w:val="auto"/>
          <w:sz w:val="24"/>
          <w:szCs w:val="24"/>
        </w:rPr>
        <w:t>Pessoas em situação de rua, usuários de drogas, indígenas sem documentação e trabalhadoras domésticas informais constituem os grupos de maior invisibilidade nos sistemas de informação e de maior dificuldade de acesso a serviços públicos em Campo Grande. O Consultório na Rua, o CAPS-AD e as equipes de assistência social itinerantes são os pontos de atenção que mais diretamente atendem esses grupos, mas com capacidade insuficiente frente à magnitude da demanda.</w:t>
      </w:r>
    </w:p>
    <w:p w14:paraId="32BBCA43" w14:textId="77777777" w:rsidR="00A303F2" w:rsidRPr="000C0A34" w:rsidRDefault="00A303F2" w:rsidP="000C0A34">
      <w:pPr>
        <w:spacing w:line="276" w:lineRule="auto"/>
        <w:rPr>
          <w:rFonts w:ascii="Times New Roman" w:hAnsi="Times New Roman" w:cs="Times New Roman"/>
          <w:color w:val="auto"/>
          <w:sz w:val="24"/>
        </w:rPr>
      </w:pPr>
    </w:p>
    <w:p w14:paraId="164778C2" w14:textId="39DB7246"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Serviços públicos e políticas de proteção social: </w:t>
      </w:r>
      <w:r w:rsidRPr="000C0A34">
        <w:rPr>
          <w:rFonts w:ascii="Times New Roman" w:hAnsi="Times New Roman" w:cs="Times New Roman"/>
          <w:color w:val="auto"/>
          <w:sz w:val="24"/>
          <w:szCs w:val="24"/>
        </w:rPr>
        <w:t>O Sistema Único de Assistência Social (SUAS) em Campo Grande opera por meio de CRAS distribuídos pelos sete distritos sanitários, com interface direta com as ESF da APS. O Cadastro Único registra as famílias em situação de pobreza e extrema pobreza, habilitando o acesso a benefícios como o Bolsa Família. A cobertura e a qualidade dos serviços de proteção social apresentam variação territorial, com os CRAS das periferias Sul e Leste operando com maior demanda e, frequentemente, com menor infraestrutura relativa.</w:t>
      </w:r>
    </w:p>
    <w:p w14:paraId="7A0F5922" w14:textId="77777777" w:rsidR="00A303F2" w:rsidRPr="000C0A34" w:rsidRDefault="00A303F2" w:rsidP="000C0A34">
      <w:pPr>
        <w:spacing w:line="276" w:lineRule="auto"/>
        <w:rPr>
          <w:rFonts w:ascii="Times New Roman" w:hAnsi="Times New Roman" w:cs="Times New Roman"/>
          <w:color w:val="auto"/>
          <w:sz w:val="24"/>
        </w:rPr>
      </w:pPr>
    </w:p>
    <w:p w14:paraId="04861303" w14:textId="3B42504C"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Proteção social para pessoas em situação de vulnerabilidade: </w:t>
      </w:r>
      <w:r w:rsidRPr="000C0A34">
        <w:rPr>
          <w:rFonts w:ascii="Times New Roman" w:hAnsi="Times New Roman" w:cs="Times New Roman"/>
          <w:color w:val="auto"/>
          <w:sz w:val="24"/>
          <w:szCs w:val="24"/>
        </w:rPr>
        <w:t>O atendimento especializado a populações em situação de vulnerabilidade extrema, pessoas em situação de rua, vítimas de violência doméstica, crianças em situação de risco, é operado pelos CREAS e por unidades de acolhimento institucional. A capacidade de vagas para acolhimento, incluindo casas de passagem, abrigos para mulheres em situação de violência e moradias assistidas para pessoas com transtorno mental, é insuficiente para a demanda documentada no Plano Municipal de Saúde.</w:t>
      </w:r>
    </w:p>
    <w:p w14:paraId="6CACC65A" w14:textId="77777777" w:rsidR="00A303F2" w:rsidRPr="000C0A34" w:rsidRDefault="00A303F2" w:rsidP="000C0A34">
      <w:pPr>
        <w:spacing w:line="276" w:lineRule="auto"/>
        <w:rPr>
          <w:rFonts w:ascii="Times New Roman" w:hAnsi="Times New Roman" w:cs="Times New Roman"/>
          <w:color w:val="auto"/>
          <w:sz w:val="24"/>
        </w:rPr>
      </w:pPr>
    </w:p>
    <w:p w14:paraId="6A9CF9E3" w14:textId="0EF1C8B0"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Pobreza: </w:t>
      </w:r>
      <w:r w:rsidRPr="000C0A34">
        <w:rPr>
          <w:rFonts w:ascii="Times New Roman" w:hAnsi="Times New Roman" w:cs="Times New Roman"/>
          <w:color w:val="auto"/>
          <w:sz w:val="24"/>
          <w:szCs w:val="24"/>
        </w:rPr>
        <w:t>A pobreza em Campo Grande tem distribuição territorial concentrada nas periferias Sul e Leste, onde o IVS do IPEA identifica os maiores déficits simultâneos de renda, saneamento, habitação, educação e saúde. As famílias chefiadas por mulheres negras e as aldeias indígenas urbanas apresentam as maiores proporções de pobreza extrema. O crescimento do PIB municipal de R$ 40 bilhões não se traduz em redução proporcional da pobreza nas periferias, evidenciando que o modelo de desenvolvimento campo-grandense é extensivo em produção e restrito em justiça distributiva.</w:t>
      </w:r>
    </w:p>
    <w:p w14:paraId="06E80AC4" w14:textId="77777777" w:rsidR="00A303F2" w:rsidRPr="000C0A34" w:rsidRDefault="00A303F2" w:rsidP="000C0A34">
      <w:pPr>
        <w:spacing w:line="276" w:lineRule="auto"/>
        <w:rPr>
          <w:rFonts w:ascii="Times New Roman" w:hAnsi="Times New Roman" w:cs="Times New Roman"/>
          <w:color w:val="auto"/>
          <w:sz w:val="24"/>
        </w:rPr>
      </w:pPr>
    </w:p>
    <w:p w14:paraId="2ECC83D5" w14:textId="1B076CDD" w:rsidR="007E55C4" w:rsidRPr="000C0A34" w:rsidRDefault="007E55C4" w:rsidP="000C0A34">
      <w:pPr>
        <w:spacing w:line="276" w:lineRule="auto"/>
        <w:jc w:val="both"/>
        <w:rPr>
          <w:rFonts w:ascii="Times New Roman" w:hAnsi="Times New Roman" w:cs="Times New Roman"/>
          <w:b/>
          <w:i/>
          <w:color w:val="auto"/>
          <w:sz w:val="24"/>
          <w:szCs w:val="24"/>
        </w:rPr>
      </w:pPr>
      <w:r w:rsidRPr="000C0A34">
        <w:rPr>
          <w:rFonts w:ascii="Times New Roman" w:hAnsi="Times New Roman" w:cs="Times New Roman"/>
          <w:b/>
          <w:i/>
          <w:color w:val="auto"/>
          <w:sz w:val="24"/>
          <w:szCs w:val="24"/>
        </w:rPr>
        <w:t xml:space="preserve">Migração: </w:t>
      </w:r>
      <w:r w:rsidRPr="000C0A34">
        <w:rPr>
          <w:rFonts w:ascii="Times New Roman" w:hAnsi="Times New Roman" w:cs="Times New Roman"/>
          <w:color w:val="auto"/>
          <w:sz w:val="24"/>
          <w:szCs w:val="24"/>
        </w:rPr>
        <w:t>Campo Grande recebe fluxos migratórios de múltiplas origens: migrantes nordestinos em busca de trabalho no agronegócio e construção civil; indígenas Terena e Guarani-Kaiowá das aldeias do interior em busca de oportunidades na capital (processo documentado no período 2003-2023 por FERNANDES &amp; OLIVEIRA, 2024); imigrantes paraguaios, bolivianos e haitianos em busca de emprego na capital do estado de fronteira. Cada grupo apresenta vulnerabilidades específicas de acesso a serviços de saúde, documentação e proteção social que demandam adaptações nos protocolos padrão de atendimento.</w:t>
      </w:r>
    </w:p>
    <w:p w14:paraId="0EC572EA" w14:textId="77777777" w:rsidR="004C4B34" w:rsidRPr="000C0A34" w:rsidRDefault="004C4B34" w:rsidP="000C0A34">
      <w:pPr>
        <w:spacing w:before="80" w:line="276" w:lineRule="auto"/>
        <w:jc w:val="both"/>
        <w:rPr>
          <w:rFonts w:ascii="Times New Roman" w:hAnsi="Times New Roman" w:cs="Times New Roman"/>
          <w:color w:val="auto"/>
          <w:sz w:val="24"/>
          <w:szCs w:val="24"/>
        </w:rPr>
      </w:pPr>
    </w:p>
    <w:p w14:paraId="468213EE" w14:textId="07435FC4" w:rsidR="000C0A34" w:rsidRPr="000C0A34" w:rsidRDefault="000C0A34" w:rsidP="000C0A34">
      <w:pPr>
        <w:pStyle w:val="Ttulo1"/>
        <w:jc w:val="center"/>
        <w:rPr>
          <w:rFonts w:ascii="Times New Roman" w:hAnsi="Times New Roman" w:cs="Times New Roman"/>
          <w:color w:val="auto"/>
          <w:sz w:val="24"/>
        </w:rPr>
      </w:pPr>
      <w:r w:rsidRPr="000C0A34">
        <w:rPr>
          <w:rFonts w:ascii="Times New Roman" w:hAnsi="Times New Roman" w:cs="Times New Roman"/>
          <w:color w:val="auto"/>
          <w:sz w:val="24"/>
        </w:rPr>
        <w:t>EIXO 4. A TERRA DE QUEM?</w:t>
      </w:r>
    </w:p>
    <w:p w14:paraId="3EBD8E90" w14:textId="36E13CE1"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color w:val="auto"/>
          <w:sz w:val="24"/>
        </w:rPr>
        <w:t>Este capítulo apresenta a leitura territorial de Campo Grande pelos 25 fatores do Eixo 4 (A Terra de Quem?). Cada fator é analisado em sua expressão concreta no território campo-grandense, articulando dados secundários, indicadores dos sistemas de informação em saúde e inscrições da cartografia social.</w:t>
      </w:r>
    </w:p>
    <w:p w14:paraId="5B616D85" w14:textId="77777777" w:rsidR="000C0A34" w:rsidRPr="000C0A34" w:rsidRDefault="000C0A34" w:rsidP="000C0A34">
      <w:pPr>
        <w:jc w:val="both"/>
        <w:rPr>
          <w:rFonts w:ascii="Times New Roman" w:hAnsi="Times New Roman" w:cs="Times New Roman"/>
          <w:color w:val="auto"/>
          <w:sz w:val="24"/>
        </w:rPr>
      </w:pPr>
    </w:p>
    <w:p w14:paraId="076497B4" w14:textId="5ADCFAFC"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Desmatamento e solos degradados: </w:t>
      </w:r>
      <w:r w:rsidRPr="000C0A34">
        <w:rPr>
          <w:rFonts w:ascii="Times New Roman" w:hAnsi="Times New Roman" w:cs="Times New Roman"/>
          <w:color w:val="auto"/>
          <w:sz w:val="24"/>
        </w:rPr>
        <w:t>Campo Grande está integralmente inserida no bioma Cerrado, o mais ameaçado do Brasil. Dados do PRODES/INPE e do MapBiomas indicam que menos de 20% da cobertura vegetal original do Cerrado permanece no Mato Grosso do Sul, com fragmentação intensa nas regiões de entorno da capital. No território municipal, o desmatamento avança pela expansão de loteamentos periurbanos sobre APPs dos córregos, pela conversão de reservas legais em pastagens e pelo crescimento da área urbanizada sobre solos de recarga de mananciais. Os solos degradados por erosão e compactação nas periferias sem cobertura vegetal intensificam as enchentes urbanas e o assoreamento dos córregos.</w:t>
      </w:r>
    </w:p>
    <w:p w14:paraId="0E6E45B1" w14:textId="77777777" w:rsidR="000C0A34" w:rsidRPr="000C0A34" w:rsidRDefault="000C0A34" w:rsidP="000C0A34">
      <w:pPr>
        <w:jc w:val="both"/>
        <w:rPr>
          <w:rFonts w:ascii="Times New Roman" w:hAnsi="Times New Roman" w:cs="Times New Roman"/>
          <w:b/>
          <w:i/>
          <w:color w:val="auto"/>
          <w:sz w:val="24"/>
        </w:rPr>
      </w:pPr>
    </w:p>
    <w:p w14:paraId="01F8D97A" w14:textId="65ACBCD8"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Gestão sustentável da biodiversidade para o desenvolvimento: </w:t>
      </w:r>
      <w:r w:rsidRPr="000C0A34">
        <w:rPr>
          <w:rFonts w:ascii="Times New Roman" w:hAnsi="Times New Roman" w:cs="Times New Roman"/>
          <w:color w:val="auto"/>
          <w:sz w:val="24"/>
        </w:rPr>
        <w:t>A biodiversidade do Cerrado no entorno de Campo Grande inclui espécies endêmicas de flora e fauna com alto valor ecológico e potencial para o desenvolvimento de biotecnologia, cosméticos naturais e fitoterapia. O Parque Municipal do Prosa e a APA do Córrego do Lageado são as principais unidades de conservação intramunicipais, mas com gestão insuficiente para garantir a conectividade entre fragmentos florestais. A integração entre conservação da biodiversidade e desenvolvimento local, por meio de práticas de extrativismo sustentável e etnobotânica, referenciada no fator E4-22, é uma potencialidade subutilizada.</w:t>
      </w:r>
    </w:p>
    <w:p w14:paraId="0345E764" w14:textId="77777777" w:rsidR="000C0A34" w:rsidRPr="000C0A34" w:rsidRDefault="000C0A34" w:rsidP="000C0A34">
      <w:pPr>
        <w:jc w:val="both"/>
        <w:rPr>
          <w:rFonts w:ascii="Times New Roman" w:hAnsi="Times New Roman" w:cs="Times New Roman"/>
          <w:b/>
          <w:i/>
          <w:color w:val="auto"/>
          <w:sz w:val="24"/>
        </w:rPr>
      </w:pPr>
    </w:p>
    <w:p w14:paraId="538616BD" w14:textId="6715EC92"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Gestão sustentável de ecossistemas terrestres e de água doce: </w:t>
      </w:r>
      <w:r w:rsidRPr="000C0A34">
        <w:rPr>
          <w:rFonts w:ascii="Times New Roman" w:hAnsi="Times New Roman" w:cs="Times New Roman"/>
          <w:color w:val="auto"/>
          <w:sz w:val="24"/>
        </w:rPr>
        <w:t>Os córregos Prosa, Segredo e Anhanduizinho, estruturantes do sistema hídrico urbano de Campo Grande, têm seus ecossistemas severamente degradados pela canalização, pelo lançamento de esgoto sem tratamento e pela ocupação das APPs. O Programa de Recuperação de Córregos Urbanos, conduzido pela SEMADUR em parceria com o governo estadual, avança lentamente frente à dimensão do passivo ambiental acumulado. A gestão sustentável desses ecossistemas é condição para a regulação hídrica, o controle de enchentes, a redução da temperatura urbana e a manutenção da qualidade da água dos mananciais.</w:t>
      </w:r>
    </w:p>
    <w:p w14:paraId="179BB743" w14:textId="77777777" w:rsidR="000C0A34" w:rsidRPr="000C0A34" w:rsidRDefault="000C0A34" w:rsidP="000C0A34">
      <w:pPr>
        <w:jc w:val="both"/>
        <w:rPr>
          <w:rFonts w:ascii="Times New Roman" w:hAnsi="Times New Roman" w:cs="Times New Roman"/>
          <w:b/>
          <w:i/>
          <w:color w:val="auto"/>
          <w:sz w:val="24"/>
        </w:rPr>
      </w:pPr>
    </w:p>
    <w:p w14:paraId="53CE90E8" w14:textId="176D4599"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Gestão sustentável, espécies ameaçadas (fauna): </w:t>
      </w:r>
      <w:r w:rsidRPr="000C0A34">
        <w:rPr>
          <w:rFonts w:ascii="Times New Roman" w:hAnsi="Times New Roman" w:cs="Times New Roman"/>
          <w:color w:val="auto"/>
          <w:sz w:val="24"/>
        </w:rPr>
        <w:t>O Cerrado abriga a maior diversidade de aves, répteis e mamíferos do Brasil Central, com espécies como o lobo-guará, a anta e o tamanduá-bandeira presentes em fragmentos florestais do entorno de Campo Grande. A pressão do desmatamento, dos atropelamentos em rodovias e da captura ilegal reduz as populações dessas espécies continuamente. O Instituto Homem Pantaneiro e o IMASUL têm projetos de monitoramento, mas a integração com a política de uso do solo municipal, que poderia criar corredores ecológicos entre fragmentos, é ainda incipiente.</w:t>
      </w:r>
    </w:p>
    <w:p w14:paraId="5C3EEB8F" w14:textId="77777777" w:rsidR="000C0A34" w:rsidRPr="000C0A34" w:rsidRDefault="000C0A34" w:rsidP="000C0A34">
      <w:pPr>
        <w:jc w:val="both"/>
        <w:rPr>
          <w:rFonts w:ascii="Times New Roman" w:hAnsi="Times New Roman" w:cs="Times New Roman"/>
          <w:b/>
          <w:i/>
          <w:color w:val="auto"/>
          <w:sz w:val="24"/>
        </w:rPr>
      </w:pPr>
    </w:p>
    <w:p w14:paraId="4DAE0F18" w14:textId="6CDAF342"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Manejo ambientalmente saudável de produtos químicos: </w:t>
      </w:r>
      <w:r w:rsidRPr="000C0A34">
        <w:rPr>
          <w:rFonts w:ascii="Times New Roman" w:hAnsi="Times New Roman" w:cs="Times New Roman"/>
          <w:color w:val="auto"/>
          <w:sz w:val="24"/>
        </w:rPr>
        <w:t>Campo Grande é polo de distribuição e consumo de agroquímicos para o agronegócio sul-mato-grossense. As propriedades rurais periurbanas e os assentamentos do entorno da cidade aplicam defensivos agrícolas sem zona de amortecimento em relação às áreas residenciais, expondo moradores a contaminação por deriva de pulverização e por contaminação do lençol freático. A vigilância em saúde do trabalhador rural, VIGIPEQ, é o instrumento de monitoramento, mas opera com capacidade insuficiente para o volume de intoxicações estimadas.</w:t>
      </w:r>
    </w:p>
    <w:p w14:paraId="46E578D3" w14:textId="77777777" w:rsidR="000C0A34" w:rsidRPr="000C0A34" w:rsidRDefault="000C0A34" w:rsidP="000C0A34">
      <w:pPr>
        <w:jc w:val="both"/>
        <w:rPr>
          <w:rFonts w:ascii="Times New Roman" w:hAnsi="Times New Roman" w:cs="Times New Roman"/>
          <w:b/>
          <w:i/>
          <w:color w:val="auto"/>
          <w:sz w:val="24"/>
        </w:rPr>
      </w:pPr>
    </w:p>
    <w:p w14:paraId="40C06A26" w14:textId="7A7FC66A"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Espécies exóticas invasoras: </w:t>
      </w:r>
      <w:r w:rsidRPr="000C0A34">
        <w:rPr>
          <w:rFonts w:ascii="Times New Roman" w:hAnsi="Times New Roman" w:cs="Times New Roman"/>
          <w:color w:val="auto"/>
          <w:sz w:val="24"/>
        </w:rPr>
        <w:t>As espécies exóticas invasoras em Campo Grande incluem plantas como o capim-braquiária que avança sobre remanescentes de Cerrado, suprimindo a regeneração natural, e o nim africano amplamente plantado em arborização urbana sem critérios ecológicos. No ambiente aquático, as espécies invasoras nos açudes e represas do entorno comprometem a biodiversidade nativa dos sistemas hídricos tributários do Rio Anhanduí. A legislação municipal de arborização urbana poderia ser um instrumento de controle, mas não é sistematicamente aplicada.</w:t>
      </w:r>
    </w:p>
    <w:p w14:paraId="314A72E5" w14:textId="77777777" w:rsidR="000C0A34" w:rsidRPr="000C0A34" w:rsidRDefault="000C0A34" w:rsidP="000C0A34">
      <w:pPr>
        <w:jc w:val="both"/>
        <w:rPr>
          <w:rFonts w:ascii="Times New Roman" w:hAnsi="Times New Roman" w:cs="Times New Roman"/>
          <w:b/>
          <w:i/>
          <w:color w:val="auto"/>
          <w:sz w:val="24"/>
        </w:rPr>
      </w:pPr>
    </w:p>
    <w:p w14:paraId="78BBCA01" w14:textId="2306E3D1"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Tráfico de espécies da flora e fauna: </w:t>
      </w:r>
      <w:r w:rsidRPr="000C0A34">
        <w:rPr>
          <w:rFonts w:ascii="Times New Roman" w:hAnsi="Times New Roman" w:cs="Times New Roman"/>
          <w:color w:val="auto"/>
          <w:sz w:val="24"/>
        </w:rPr>
        <w:t>Campo Grande é ponto de passagem documentado no tráfico de animais silvestres do Cerrado e do Pantanal: araras, papagaios, jacarés e peixes ornamentais são espécies frequentemente apreendidas em operações da Polícia Federal e do IBAMA no estado. A fronteira com o Paraguai facilita o trânsito ilegal e a demanda de mercados externos. A fauna silvestre apreendida é encaminhada ao Centro de Reabilitação de Animais Silvestres (CRAS) do estado, mas com capacidade de reabilitação e reintrodução limitada.</w:t>
      </w:r>
    </w:p>
    <w:p w14:paraId="2ED4D7C2" w14:textId="77777777" w:rsidR="000C0A34" w:rsidRPr="000C0A34" w:rsidRDefault="000C0A34" w:rsidP="000C0A34">
      <w:pPr>
        <w:jc w:val="both"/>
        <w:rPr>
          <w:rFonts w:ascii="Times New Roman" w:hAnsi="Times New Roman" w:cs="Times New Roman"/>
          <w:b/>
          <w:i/>
          <w:color w:val="auto"/>
          <w:sz w:val="24"/>
        </w:rPr>
      </w:pPr>
    </w:p>
    <w:p w14:paraId="7695048D" w14:textId="095FB604"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Promoção da gestão sustentável, reflorestamento: </w:t>
      </w:r>
      <w:r w:rsidRPr="000C0A34">
        <w:rPr>
          <w:rFonts w:ascii="Times New Roman" w:hAnsi="Times New Roman" w:cs="Times New Roman"/>
          <w:color w:val="auto"/>
          <w:sz w:val="24"/>
        </w:rPr>
        <w:t>O reflorestamento com espécies nativas do Cerrado em áreas degradadas do entorno de Campo Grande é realizado em escala ainda modesta por iniciativas da SEMADUR, do setor privado por compensação ambiental e por organizações da sociedade civil como o Instituto Cerrado. A recuperação de matas ciliares ao longo dos córregos urbanos é a prioridade funcional mais urgente, dado o impacto direto sobre a qualidade da água, o controle de enchentes e a biodiversidade urbana.</w:t>
      </w:r>
    </w:p>
    <w:p w14:paraId="014AD616" w14:textId="77777777" w:rsidR="000C0A34" w:rsidRPr="000C0A34" w:rsidRDefault="000C0A34" w:rsidP="000C0A34">
      <w:pPr>
        <w:jc w:val="both"/>
        <w:rPr>
          <w:rFonts w:ascii="Times New Roman" w:hAnsi="Times New Roman" w:cs="Times New Roman"/>
          <w:b/>
          <w:i/>
          <w:color w:val="auto"/>
          <w:sz w:val="24"/>
        </w:rPr>
      </w:pPr>
    </w:p>
    <w:p w14:paraId="3849B8B4" w14:textId="368AB2A7"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Proteção e restauração de ecossistemas hídricos: </w:t>
      </w:r>
      <w:r w:rsidRPr="000C0A34">
        <w:rPr>
          <w:rFonts w:ascii="Times New Roman" w:hAnsi="Times New Roman" w:cs="Times New Roman"/>
          <w:color w:val="auto"/>
          <w:sz w:val="24"/>
        </w:rPr>
        <w:t>A restauração dos ecossistemas hídricos de Campo Grande enfrenta o passivo acumulado de décadas de canalização e poluição dos córregos urbanos. O Projeto Córrego Limpo, iniciativa municipal de despoluição e recuperação de matas ciliares, avançou em alguns trechos dos córregos Prosa e Anhanduizinho, mas sem escala suficiente para reverter a degradação sistêmica. A proteção dos mananciais de captação da Águas Guariroba, localizados fora do perímetro urbano, em área rural do município, é estratégica para a segurança hídrica de longo prazo.</w:t>
      </w:r>
    </w:p>
    <w:p w14:paraId="3EF865B7" w14:textId="77777777" w:rsidR="000C0A34" w:rsidRPr="000C0A34" w:rsidRDefault="000C0A34" w:rsidP="000C0A34">
      <w:pPr>
        <w:jc w:val="both"/>
        <w:rPr>
          <w:rFonts w:ascii="Times New Roman" w:hAnsi="Times New Roman" w:cs="Times New Roman"/>
          <w:b/>
          <w:i/>
          <w:color w:val="auto"/>
          <w:sz w:val="24"/>
        </w:rPr>
      </w:pPr>
    </w:p>
    <w:p w14:paraId="1A3F33C2" w14:textId="005664F8"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Conhecimentos e práticas tradicionais de conservação: </w:t>
      </w:r>
      <w:r w:rsidRPr="000C0A34">
        <w:rPr>
          <w:rFonts w:ascii="Times New Roman" w:hAnsi="Times New Roman" w:cs="Times New Roman"/>
          <w:color w:val="auto"/>
          <w:sz w:val="24"/>
        </w:rPr>
        <w:t>As comunidades indígenas Terena urbanas de Campo Grande detêm conhecimento tradicional sobre plantas medicinais do Cerrado, práticas de manejo sustentável e sistemas agroflorestais que são invisibilizados no espaço urbano. O fator E4-10 nomeia esse conhecimento como ativo estratégico para a gestão ambiental e para a saúde, especialmente em interface com o fator E4-22 (plantas medicinais) e com as práticas integrativas e complementares da APS. A documentação e valorização desse conhecimento por meio da cartografia social é uma contribuição original da PICAPS ao diagnóstico territorial.</w:t>
      </w:r>
    </w:p>
    <w:p w14:paraId="1F0F0516" w14:textId="77777777" w:rsidR="000C0A34" w:rsidRPr="000C0A34" w:rsidRDefault="000C0A34" w:rsidP="000C0A34">
      <w:pPr>
        <w:jc w:val="both"/>
        <w:rPr>
          <w:rFonts w:ascii="Times New Roman" w:hAnsi="Times New Roman" w:cs="Times New Roman"/>
          <w:b/>
          <w:i/>
          <w:color w:val="auto"/>
          <w:sz w:val="24"/>
        </w:rPr>
      </w:pPr>
    </w:p>
    <w:p w14:paraId="09327CAC" w14:textId="5B70F98F"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Sementes, plantas e animais, bancos de sementes: </w:t>
      </w:r>
      <w:r w:rsidRPr="000C0A34">
        <w:rPr>
          <w:rFonts w:ascii="Times New Roman" w:hAnsi="Times New Roman" w:cs="Times New Roman"/>
          <w:color w:val="auto"/>
          <w:sz w:val="24"/>
        </w:rPr>
        <w:t>A conservação de sementes crioulas de espécies do Cerrado e de variedades agrícolas tradicionais tem expressão nas iniciativas de agricultores familiares assentados no entorno de Campo Grande e nas comunidades indígenas que mantêm práticas de cultivo e coleta de plantas nativas. Bancos comunitários de sementes crioulas existem em assentamentos ligados à Via Campesina no estado, com potencial de integração com a rede de APS como estratégia de soberania alimentar e conservação da agrobiodiversidade local.</w:t>
      </w:r>
    </w:p>
    <w:p w14:paraId="070D3D32" w14:textId="77777777" w:rsidR="000C0A34" w:rsidRPr="000C0A34" w:rsidRDefault="000C0A34" w:rsidP="000C0A34">
      <w:pPr>
        <w:jc w:val="both"/>
        <w:rPr>
          <w:rFonts w:ascii="Times New Roman" w:hAnsi="Times New Roman" w:cs="Times New Roman"/>
          <w:b/>
          <w:i/>
          <w:color w:val="auto"/>
          <w:sz w:val="24"/>
        </w:rPr>
      </w:pPr>
    </w:p>
    <w:p w14:paraId="0A326638" w14:textId="030150E7"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Pescadores artesanais: </w:t>
      </w:r>
      <w:r w:rsidRPr="000C0A34">
        <w:rPr>
          <w:rFonts w:ascii="Times New Roman" w:hAnsi="Times New Roman" w:cs="Times New Roman"/>
          <w:color w:val="auto"/>
          <w:sz w:val="24"/>
        </w:rPr>
        <w:t>A pesca artesanal em Campo Grande ocorre nos açudes, represas e no Rio Anhanduí, com comunidades de pescadores artesanais que dependem da qualidade da água e da biomassa dos ambientes aquáticos. A poluição dos córregos urbanos pelo lançamento de esgoto sem tratamento compromete diretamente a reprodução dos estoques pesqueiros locais, afetando a renda e a segurança alimentar dessas comunidades. O Colônia de Pescadores do município é a entidade representativa, com interface com o MAPA para regularização da atividade.</w:t>
      </w:r>
    </w:p>
    <w:p w14:paraId="452EC03B" w14:textId="77777777" w:rsidR="000C0A34" w:rsidRPr="000C0A34" w:rsidRDefault="000C0A34" w:rsidP="000C0A34">
      <w:pPr>
        <w:jc w:val="both"/>
        <w:rPr>
          <w:rFonts w:ascii="Times New Roman" w:hAnsi="Times New Roman" w:cs="Times New Roman"/>
          <w:b/>
          <w:i/>
          <w:color w:val="auto"/>
          <w:sz w:val="24"/>
        </w:rPr>
      </w:pPr>
    </w:p>
    <w:p w14:paraId="04A0FA6C" w14:textId="3FC694AD"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Regulação da pesca, sobrepesca e pesca ilegal: </w:t>
      </w:r>
      <w:r w:rsidRPr="000C0A34">
        <w:rPr>
          <w:rFonts w:ascii="Times New Roman" w:hAnsi="Times New Roman" w:cs="Times New Roman"/>
          <w:color w:val="auto"/>
          <w:sz w:val="24"/>
        </w:rPr>
        <w:t>A sobrepesca e a pesca ilegal nos ambientes aquáticos do município e do entorno são fatores de degradação dos ecossistemas hídricos com impacto sobre a diversidade aquática do Cerrado. A regulação pela SEMA-MS e pelo IBAMA é o mecanismo formal de controle, mas a fiscalização é insuficiente frente à extensão territorial e ao número de infratores potenciais.</w:t>
      </w:r>
    </w:p>
    <w:p w14:paraId="3EEFE4E5" w14:textId="77777777" w:rsidR="000C0A34" w:rsidRPr="000C0A34" w:rsidRDefault="000C0A34" w:rsidP="000C0A34">
      <w:pPr>
        <w:jc w:val="both"/>
        <w:rPr>
          <w:rFonts w:ascii="Times New Roman" w:hAnsi="Times New Roman" w:cs="Times New Roman"/>
          <w:b/>
          <w:i/>
          <w:color w:val="auto"/>
          <w:sz w:val="24"/>
        </w:rPr>
      </w:pPr>
    </w:p>
    <w:p w14:paraId="54452E4E" w14:textId="2A1C495A"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Cooperação e pesquisa científica para a vida marinha: </w:t>
      </w:r>
      <w:r w:rsidRPr="000C0A34">
        <w:rPr>
          <w:rFonts w:ascii="Times New Roman" w:hAnsi="Times New Roman" w:cs="Times New Roman"/>
          <w:color w:val="auto"/>
          <w:sz w:val="24"/>
        </w:rPr>
        <w:t>Este fator tem aplicabilidade limitada ao contexto de Campo Grande, município sem acesso direto a ambientes marinhos. No entanto, a pesquisa científica sobre os ecossistemas aquáticos de água doce, rios, açudes, veredas, do Cerrado sul-mato-grossense é relevante para a gestão ambiental local e tem na UFMS e na UCDB seus principais atores institucionais.</w:t>
      </w:r>
    </w:p>
    <w:p w14:paraId="1EEFD42E" w14:textId="77777777" w:rsidR="000C0A34" w:rsidRPr="000C0A34" w:rsidRDefault="000C0A34" w:rsidP="000C0A34">
      <w:pPr>
        <w:jc w:val="both"/>
        <w:rPr>
          <w:rFonts w:ascii="Times New Roman" w:hAnsi="Times New Roman" w:cs="Times New Roman"/>
          <w:b/>
          <w:i/>
          <w:color w:val="auto"/>
          <w:sz w:val="24"/>
        </w:rPr>
      </w:pPr>
    </w:p>
    <w:p w14:paraId="44D330FA" w14:textId="3900DFE5"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Gestão sustentável de oceanos e recursos marinhos: </w:t>
      </w:r>
      <w:r w:rsidRPr="000C0A34">
        <w:rPr>
          <w:rFonts w:ascii="Times New Roman" w:hAnsi="Times New Roman" w:cs="Times New Roman"/>
          <w:color w:val="auto"/>
          <w:sz w:val="24"/>
        </w:rPr>
        <w:t>De aplicabilidade indireta para Campo Grande, este fator é relevante na perspectiva da bacia hidrográfica do Rio Paraná, da qual Campo Grande faz parte por meio do Rio Anhanduí, e da contribuição do Cerrado para os ciclos hidrológicos que alimentam os grandes rios e os estuários costeiros. A conservação do Cerrado é condição para a sustentabilidade hídrica de toda a bacia do Paraná.</w:t>
      </w:r>
    </w:p>
    <w:p w14:paraId="649B752B" w14:textId="77777777" w:rsidR="000C0A34" w:rsidRPr="000C0A34" w:rsidRDefault="000C0A34" w:rsidP="000C0A34">
      <w:pPr>
        <w:jc w:val="both"/>
        <w:rPr>
          <w:rFonts w:ascii="Times New Roman" w:hAnsi="Times New Roman" w:cs="Times New Roman"/>
          <w:b/>
          <w:i/>
          <w:color w:val="auto"/>
          <w:sz w:val="24"/>
        </w:rPr>
      </w:pPr>
    </w:p>
    <w:p w14:paraId="41244EC1" w14:textId="3F42B173"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Gestão sustentável da pesca, aquicultura e turismo: </w:t>
      </w:r>
      <w:r w:rsidRPr="000C0A34">
        <w:rPr>
          <w:rFonts w:ascii="Times New Roman" w:hAnsi="Times New Roman" w:cs="Times New Roman"/>
          <w:color w:val="auto"/>
          <w:sz w:val="24"/>
        </w:rPr>
        <w:t>O turismo de natureza no entorno de Campo Grande, incluindo o ecoturismo no Parque das Nações Indígenas, as rotas de observação de aves do Cerrado e os pesque-pagues rurais, é uma atividade econômica com potencial de geração de renda sustentável ainda subutilizado. A integração entre conservação ambiental, turismo e geração de renda para comunidades rurais e indígenas é uma estratégia de desenvolvimento territorial saudável que o Eixo 4 da cartografia social nomeia como potencialidade.</w:t>
      </w:r>
    </w:p>
    <w:p w14:paraId="61AEE31E" w14:textId="77777777" w:rsidR="000C0A34" w:rsidRPr="000C0A34" w:rsidRDefault="000C0A34" w:rsidP="000C0A34">
      <w:pPr>
        <w:jc w:val="both"/>
        <w:rPr>
          <w:rFonts w:ascii="Times New Roman" w:hAnsi="Times New Roman" w:cs="Times New Roman"/>
          <w:b/>
          <w:i/>
          <w:color w:val="auto"/>
          <w:sz w:val="24"/>
        </w:rPr>
      </w:pPr>
    </w:p>
    <w:p w14:paraId="600C9DAB" w14:textId="2488B828"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Educação para mitigação e adaptação às mudanças do clima: </w:t>
      </w:r>
      <w:r w:rsidRPr="000C0A34">
        <w:rPr>
          <w:rFonts w:ascii="Times New Roman" w:hAnsi="Times New Roman" w:cs="Times New Roman"/>
          <w:color w:val="auto"/>
          <w:sz w:val="24"/>
        </w:rPr>
        <w:t>A educação para as mudanças climáticas em Campo Grande é ainda incipiente como política pública municipal, apesar da vulnerabilidade crescente do território a eventos extremos. As enchentes urbanas de outubro-março, as estiagens de julho-setembro e as ondas de calor que afetam desproporcionalmente os moradores de habitações precárias nas periferias são expressões locais da crise climática global. A incorporação da educação climática nos currículos escolares municipais, nas atividades dos ACS e nos Círculos de Cultura da PICAPS é uma resposta metodologicamente pertinente e operacionalmente viável.</w:t>
      </w:r>
    </w:p>
    <w:p w14:paraId="321C83EF" w14:textId="77777777" w:rsidR="000C0A34" w:rsidRPr="000C0A34" w:rsidRDefault="000C0A34" w:rsidP="000C0A34">
      <w:pPr>
        <w:jc w:val="both"/>
        <w:rPr>
          <w:rFonts w:ascii="Times New Roman" w:hAnsi="Times New Roman" w:cs="Times New Roman"/>
          <w:b/>
          <w:i/>
          <w:color w:val="auto"/>
          <w:sz w:val="24"/>
        </w:rPr>
      </w:pPr>
    </w:p>
    <w:p w14:paraId="22317556" w14:textId="1A60EE35"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Planejamento relacionado à mudança do clima: </w:t>
      </w:r>
      <w:r w:rsidRPr="000C0A34">
        <w:rPr>
          <w:rFonts w:ascii="Times New Roman" w:hAnsi="Times New Roman" w:cs="Times New Roman"/>
          <w:color w:val="auto"/>
          <w:sz w:val="24"/>
        </w:rPr>
        <w:t>Campo Grande não dispõe de Plano Municipal de Adaptação às Mudanças Climáticas formalizado. O Plano Diretor municipal (LC nº 74/2006 e revisões) incorpora alguns dispositivos de zoneamento ambiental e de proteção de mananciais, mas sem o enfoque climático prospectivo que as projeções do IPCC para o Cerrado demandam. As projeções de elevação de temperatura de até 2,5°C até 2050 e de intensificação das estiagens impõem necessidade de planejamento hídrico, habitacional e de saúde orientado por cenários climáticos.</w:t>
      </w:r>
    </w:p>
    <w:p w14:paraId="5671F0B5" w14:textId="77777777" w:rsidR="000C0A34" w:rsidRPr="000C0A34" w:rsidRDefault="000C0A34" w:rsidP="000C0A34">
      <w:pPr>
        <w:jc w:val="both"/>
        <w:rPr>
          <w:rFonts w:ascii="Times New Roman" w:hAnsi="Times New Roman" w:cs="Times New Roman"/>
          <w:b/>
          <w:i/>
          <w:color w:val="auto"/>
          <w:sz w:val="24"/>
        </w:rPr>
      </w:pPr>
    </w:p>
    <w:p w14:paraId="5E4F15E0" w14:textId="412AE1F7"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Construções sustentáveis e resilientes: </w:t>
      </w:r>
      <w:r w:rsidRPr="000C0A34">
        <w:rPr>
          <w:rFonts w:ascii="Times New Roman" w:hAnsi="Times New Roman" w:cs="Times New Roman"/>
          <w:color w:val="auto"/>
          <w:sz w:val="24"/>
        </w:rPr>
        <w:t>As periferias de Campo Grande concentram habitações populares construídas sem critérios de eficiência energética, conforto térmico ou resiliência a eventos climáticos extremos. A ausência de ventilação cruzada, a impermeabilização do solo sem compensação hídrica e a ausência de arborização tornam esses territórios mais quentes, mais inundáveis e mais insalubres. O Programa Minha Casa Minha Vida, principal vetor de habitação popular no município, adotou padrões mínimos de sustentabilidade apenas nas versões mais recentes, sem retroação para o estoque existente.</w:t>
      </w:r>
    </w:p>
    <w:p w14:paraId="747B46F1" w14:textId="77777777" w:rsidR="000C0A34" w:rsidRPr="000C0A34" w:rsidRDefault="000C0A34" w:rsidP="000C0A34">
      <w:pPr>
        <w:jc w:val="both"/>
        <w:rPr>
          <w:rFonts w:ascii="Times New Roman" w:hAnsi="Times New Roman" w:cs="Times New Roman"/>
          <w:b/>
          <w:i/>
          <w:color w:val="auto"/>
          <w:sz w:val="24"/>
        </w:rPr>
      </w:pPr>
    </w:p>
    <w:p w14:paraId="13AAB22A" w14:textId="1E06BF85"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Tecnologias ambientalmente corretas: </w:t>
      </w:r>
      <w:r w:rsidRPr="000C0A34">
        <w:rPr>
          <w:rFonts w:ascii="Times New Roman" w:hAnsi="Times New Roman" w:cs="Times New Roman"/>
          <w:color w:val="auto"/>
          <w:sz w:val="24"/>
        </w:rPr>
        <w:t>A adoção de tecnologias ambientalmente corretas em Campo Grande é mais visível no setor privado, energia solar, eficiência hídrica, materiais de construção sustentáveis, do que nas políticas públicas municipais. A SESAU não dispõe de programa sistematizado de eficiência energética para suas unidades de saúde, apesar do potencial de economia e do ganho ambiental. A geração distribuída de energia solar nas UBS das periferias seria um investimento de alto retorno social e ambiental, ainda não incorporado ao planejamento da secretaria.</w:t>
      </w:r>
    </w:p>
    <w:p w14:paraId="74F2DD72" w14:textId="77777777" w:rsidR="000C0A34" w:rsidRPr="000C0A34" w:rsidRDefault="000C0A34" w:rsidP="000C0A34">
      <w:pPr>
        <w:jc w:val="both"/>
        <w:rPr>
          <w:rFonts w:ascii="Times New Roman" w:hAnsi="Times New Roman" w:cs="Times New Roman"/>
          <w:b/>
          <w:i/>
          <w:color w:val="auto"/>
          <w:sz w:val="24"/>
        </w:rPr>
      </w:pPr>
    </w:p>
    <w:p w14:paraId="6017B070" w14:textId="3AAA6C86"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Transferência de tecnologias ambientalmente corretas: </w:t>
      </w:r>
      <w:r w:rsidRPr="000C0A34">
        <w:rPr>
          <w:rFonts w:ascii="Times New Roman" w:hAnsi="Times New Roman" w:cs="Times New Roman"/>
          <w:color w:val="auto"/>
          <w:sz w:val="24"/>
        </w:rPr>
        <w:t>A transferência de tecnologias ambientalmente corretas para comunidades vulneráveis, filtros de água, biodigestores, cisternas, sistemas agroflorestais, é uma estratégia de adaptação e resiliência com baixo custo relativo e alto impacto nas condições de vida. Em Campo Grande, iniciativas de ONGs e da extensão universitária da UFMS introduzem essas tecnologias em assentamentos rurais do entorno, mas sem integração sistemática com a política municipal de saúde ambiental.</w:t>
      </w:r>
    </w:p>
    <w:p w14:paraId="706A354F" w14:textId="77777777" w:rsidR="000C0A34" w:rsidRPr="000C0A34" w:rsidRDefault="000C0A34" w:rsidP="000C0A34">
      <w:pPr>
        <w:jc w:val="both"/>
        <w:rPr>
          <w:rFonts w:ascii="Times New Roman" w:hAnsi="Times New Roman" w:cs="Times New Roman"/>
          <w:b/>
          <w:i/>
          <w:color w:val="auto"/>
          <w:sz w:val="24"/>
        </w:rPr>
      </w:pPr>
    </w:p>
    <w:p w14:paraId="4D18D775" w14:textId="2418E107"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Plantas medicinais (uso e plantio): </w:t>
      </w:r>
      <w:r w:rsidRPr="000C0A34">
        <w:rPr>
          <w:rFonts w:ascii="Times New Roman" w:hAnsi="Times New Roman" w:cs="Times New Roman"/>
          <w:color w:val="auto"/>
          <w:sz w:val="24"/>
        </w:rPr>
        <w:t>O uso de plantas medicinais do Cerrado é uma prática cultural mantida pelas comunidades indígenas urbanas de Campo Grande e por famílias de agricultores assentados no entorno. A SESAU incorpora as Práticas Integrativas e Complementares (PICS) nas UBS, incluindo fitoterapia com espécies do RENISUS, mas o acesso a plantas medicinais de qualidade e a profissionais capacitados para prescrição é heterogêneo entre os distritos sanitários. A integração entre o conhecimento tradicional Terena sobre plantas medicinais do Cerrado e os protocolos de PICS da APS é uma inovação metodológica com potencial de valorização cultural e de ampliação da oferta terapêutica.</w:t>
      </w:r>
    </w:p>
    <w:p w14:paraId="5B49E18E" w14:textId="77777777" w:rsidR="000C0A34" w:rsidRPr="000C0A34" w:rsidRDefault="000C0A34" w:rsidP="000C0A34">
      <w:pPr>
        <w:jc w:val="both"/>
        <w:rPr>
          <w:rFonts w:ascii="Times New Roman" w:hAnsi="Times New Roman" w:cs="Times New Roman"/>
          <w:b/>
          <w:i/>
          <w:color w:val="auto"/>
          <w:sz w:val="24"/>
        </w:rPr>
      </w:pPr>
    </w:p>
    <w:p w14:paraId="12C9A599" w14:textId="6F2C78B2"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Acesso à informação de qualidade sobre produção sustentável: </w:t>
      </w:r>
      <w:r w:rsidRPr="000C0A34">
        <w:rPr>
          <w:rFonts w:ascii="Times New Roman" w:hAnsi="Times New Roman" w:cs="Times New Roman"/>
          <w:color w:val="auto"/>
          <w:sz w:val="24"/>
        </w:rPr>
        <w:t>O acesso à informação sobre produção sustentável e gestão ambiental em Campo Grande é fragmentado entre órgãos municipais, estaduais e federais sem portal integrado de comunicação com a sociedade. A PLANURB publica o Perfil Socioeconômico de Campo Grande anualmente, com dados ambientais e de saneamento, mas sem linguagem adaptada ao público geral. A PICAPS pode atuar como mediadora entre a informação técnica disponível nos sistemas institucionais e a compreensão da comunidade, usando os pesquisadores populares como tradutores locais do dado técnico.</w:t>
      </w:r>
    </w:p>
    <w:p w14:paraId="22B23D4B" w14:textId="77777777" w:rsidR="000C0A34" w:rsidRPr="000C0A34" w:rsidRDefault="000C0A34" w:rsidP="000C0A34">
      <w:pPr>
        <w:jc w:val="both"/>
        <w:rPr>
          <w:rFonts w:ascii="Times New Roman" w:hAnsi="Times New Roman" w:cs="Times New Roman"/>
          <w:b/>
          <w:i/>
          <w:color w:val="auto"/>
          <w:sz w:val="24"/>
        </w:rPr>
      </w:pPr>
    </w:p>
    <w:p w14:paraId="02684CFC" w14:textId="400C6DC4" w:rsidR="000C0A34" w:rsidRDefault="000C0A34" w:rsidP="000C0A34">
      <w:pPr>
        <w:jc w:val="both"/>
        <w:rPr>
          <w:rFonts w:ascii="Times New Roman" w:hAnsi="Times New Roman" w:cs="Times New Roman"/>
          <w:color w:val="auto"/>
          <w:sz w:val="24"/>
        </w:rPr>
      </w:pPr>
      <w:r w:rsidRPr="000C0A34">
        <w:rPr>
          <w:rFonts w:ascii="Times New Roman" w:hAnsi="Times New Roman" w:cs="Times New Roman"/>
          <w:b/>
          <w:i/>
          <w:color w:val="auto"/>
          <w:sz w:val="24"/>
        </w:rPr>
        <w:t xml:space="preserve">Recursos financeiros para gestão da biodiversidade: </w:t>
      </w:r>
      <w:r w:rsidRPr="000C0A34">
        <w:rPr>
          <w:rFonts w:ascii="Times New Roman" w:hAnsi="Times New Roman" w:cs="Times New Roman"/>
          <w:color w:val="auto"/>
          <w:sz w:val="24"/>
        </w:rPr>
        <w:t>O financiamento da gestão ambiental municipal em Campo Grande é insuficiente frente ao passivo ambiental acumulado. O Fundo Municipal de Meio Ambiente, previsto em lei, opera com dotação orçamentária abaixo das necessidades identificadas pela SEMADUR. Os recursos de compensação ambiental de empreendimentos licenciados são a fonte principal de financiamento de projetos de conservação, mas sem planejamento estratégico que garanta continuidade e escala dos projetos.</w:t>
      </w:r>
    </w:p>
    <w:p w14:paraId="593BF6F4" w14:textId="77777777" w:rsidR="000C0A34" w:rsidRPr="000C0A34" w:rsidRDefault="000C0A34" w:rsidP="000C0A34">
      <w:pPr>
        <w:jc w:val="both"/>
        <w:rPr>
          <w:rFonts w:ascii="Times New Roman" w:hAnsi="Times New Roman" w:cs="Times New Roman"/>
          <w:b/>
          <w:i/>
          <w:color w:val="auto"/>
          <w:sz w:val="24"/>
        </w:rPr>
      </w:pPr>
    </w:p>
    <w:p w14:paraId="07635E2E" w14:textId="2E23EDA5" w:rsidR="000C0A34" w:rsidRPr="000C0A34" w:rsidRDefault="000C0A34" w:rsidP="000C0A34">
      <w:pPr>
        <w:jc w:val="both"/>
        <w:rPr>
          <w:rFonts w:ascii="Times New Roman" w:hAnsi="Times New Roman" w:cs="Times New Roman"/>
          <w:b/>
          <w:i/>
          <w:color w:val="auto"/>
          <w:sz w:val="24"/>
        </w:rPr>
      </w:pPr>
      <w:r w:rsidRPr="000C0A34">
        <w:rPr>
          <w:rFonts w:ascii="Times New Roman" w:hAnsi="Times New Roman" w:cs="Times New Roman"/>
          <w:b/>
          <w:i/>
          <w:color w:val="auto"/>
          <w:sz w:val="24"/>
        </w:rPr>
        <w:t xml:space="preserve">Pesquisa científica e inovação: </w:t>
      </w:r>
      <w:r w:rsidRPr="000C0A34">
        <w:rPr>
          <w:rFonts w:ascii="Times New Roman" w:hAnsi="Times New Roman" w:cs="Times New Roman"/>
          <w:color w:val="auto"/>
          <w:sz w:val="24"/>
        </w:rPr>
        <w:t>A UFMS, a UCDB, a Uniderp e a Fiocruz Brasília são os principais atores de pesquisa científica em saúde ambiental e territorial em Campo Grande. O CoLaboratório CTIS da Fiocruz e a plataforma PICAPS produzem pesquisa aplicada que articula evidências científicas com conhecimento popular, posicionamento epistemológico que corresponde ao fator E4-25 da matriz. A criação de uma agenda de pesquisa compartilhada entre essas instituições e as comunidades, orientada pelos nós críticos identificados na cartografia social, é a aplicação concreta desse fator ao ciclo de planejamento territorial.</w:t>
      </w:r>
    </w:p>
    <w:p w14:paraId="3BE42841" w14:textId="77777777" w:rsidR="004C4B34" w:rsidRPr="000C0A34" w:rsidRDefault="004C4B34" w:rsidP="000C0A34">
      <w:pPr>
        <w:spacing w:before="80" w:line="276" w:lineRule="auto"/>
        <w:jc w:val="both"/>
        <w:rPr>
          <w:rFonts w:ascii="Times New Roman" w:hAnsi="Times New Roman" w:cs="Times New Roman"/>
          <w:color w:val="auto"/>
          <w:sz w:val="24"/>
          <w:szCs w:val="24"/>
        </w:rPr>
      </w:pPr>
    </w:p>
    <w:p w14:paraId="28807311" w14:textId="77777777" w:rsidR="004C4B34" w:rsidRPr="000C0A34" w:rsidRDefault="004C4B34" w:rsidP="000C0A34">
      <w:pPr>
        <w:spacing w:before="40" w:line="276" w:lineRule="auto"/>
        <w:jc w:val="both"/>
        <w:rPr>
          <w:rFonts w:ascii="Times New Roman" w:hAnsi="Times New Roman" w:cs="Times New Roman"/>
          <w:color w:val="auto"/>
          <w:sz w:val="24"/>
          <w:szCs w:val="24"/>
        </w:rPr>
      </w:pPr>
    </w:p>
    <w:p w14:paraId="7076BBAB" w14:textId="6C7DDE95" w:rsidR="00001CC6" w:rsidRPr="000C0A34" w:rsidRDefault="00001CC6" w:rsidP="000C0A34">
      <w:pPr>
        <w:pStyle w:val="Ttulo1"/>
        <w:keepNext/>
        <w:keepLines/>
        <w:spacing w:before="0" w:after="0" w:line="276" w:lineRule="auto"/>
        <w:jc w:val="center"/>
        <w:rPr>
          <w:rFonts w:ascii="Times New Roman" w:eastAsiaTheme="majorEastAsia" w:hAnsi="Times New Roman" w:cs="Times New Roman"/>
          <w:bCs w:val="0"/>
          <w:color w:val="auto"/>
          <w:kern w:val="2"/>
          <w:sz w:val="24"/>
          <w:szCs w:val="24"/>
          <w:lang w:eastAsia="en-US"/>
          <w14:ligatures w14:val="standardContextual"/>
        </w:rPr>
      </w:pPr>
      <w:r w:rsidRPr="000C0A34">
        <w:rPr>
          <w:rFonts w:ascii="Times New Roman" w:eastAsiaTheme="majorEastAsia" w:hAnsi="Times New Roman" w:cs="Times New Roman"/>
          <w:bCs w:val="0"/>
          <w:color w:val="auto"/>
          <w:kern w:val="2"/>
          <w:sz w:val="24"/>
          <w:szCs w:val="24"/>
          <w:lang w:eastAsia="en-US"/>
          <w14:ligatures w14:val="standardContextual"/>
        </w:rPr>
        <w:t>EIXO 5. A CIDADE NEGADA</w:t>
      </w:r>
    </w:p>
    <w:p w14:paraId="522946FC" w14:textId="4E73B207" w:rsidR="004C4B34" w:rsidRPr="000C0A34" w:rsidRDefault="004E1A19" w:rsidP="000C0A34">
      <w:pPr>
        <w:spacing w:line="276" w:lineRule="auto"/>
        <w:jc w:val="both"/>
        <w:rPr>
          <w:rFonts w:ascii="Times New Roman" w:hAnsi="Times New Roman" w:cs="Times New Roman"/>
          <w:color w:val="auto"/>
          <w:sz w:val="24"/>
          <w:szCs w:val="24"/>
        </w:rPr>
      </w:pPr>
      <w:r w:rsidRPr="000C0A34">
        <w:rPr>
          <w:rFonts w:ascii="Times New Roman" w:hAnsi="Times New Roman" w:cs="Times New Roman"/>
          <w:color w:val="auto"/>
          <w:sz w:val="24"/>
          <w:szCs w:val="24"/>
        </w:rPr>
        <w:t>Este capítulo apresenta a leitura territorial de Campo Grande pelos 21 fatores do Eixo 5 (A Cidade Negada)</w:t>
      </w:r>
      <w:r w:rsidR="001674A2" w:rsidRPr="000C0A34">
        <w:rPr>
          <w:rFonts w:ascii="Times New Roman" w:hAnsi="Times New Roman" w:cs="Times New Roman"/>
          <w:color w:val="auto"/>
          <w:sz w:val="24"/>
          <w:szCs w:val="24"/>
        </w:rPr>
        <w:t xml:space="preserve">. </w:t>
      </w:r>
      <w:r w:rsidRPr="000C0A34">
        <w:rPr>
          <w:rFonts w:ascii="Times New Roman" w:hAnsi="Times New Roman" w:cs="Times New Roman"/>
          <w:color w:val="auto"/>
          <w:sz w:val="24"/>
          <w:szCs w:val="24"/>
        </w:rPr>
        <w:t>Cada fator é analisado em sua expressão concreta no território campo-grandense, articulando dados secundários</w:t>
      </w:r>
      <w:r w:rsidR="00001CC6" w:rsidRPr="000C0A34">
        <w:rPr>
          <w:rFonts w:ascii="Times New Roman" w:hAnsi="Times New Roman" w:cs="Times New Roman"/>
          <w:color w:val="auto"/>
          <w:sz w:val="24"/>
          <w:szCs w:val="24"/>
        </w:rPr>
        <w:t xml:space="preserve"> e</w:t>
      </w:r>
      <w:r w:rsidRPr="000C0A34">
        <w:rPr>
          <w:rFonts w:ascii="Times New Roman" w:hAnsi="Times New Roman" w:cs="Times New Roman"/>
          <w:color w:val="auto"/>
          <w:sz w:val="24"/>
          <w:szCs w:val="24"/>
        </w:rPr>
        <w:t xml:space="preserve"> indicadores dos sistemas de informação em saúde</w:t>
      </w:r>
    </w:p>
    <w:p w14:paraId="14952504" w14:textId="77777777" w:rsidR="004C4B34" w:rsidRPr="000C0A34" w:rsidRDefault="004C4B34" w:rsidP="000C0A34">
      <w:pPr>
        <w:spacing w:line="276" w:lineRule="auto"/>
        <w:jc w:val="both"/>
        <w:rPr>
          <w:rFonts w:ascii="Times New Roman" w:hAnsi="Times New Roman" w:cs="Times New Roman"/>
          <w:color w:val="auto"/>
          <w:sz w:val="24"/>
          <w:szCs w:val="24"/>
        </w:rPr>
      </w:pPr>
    </w:p>
    <w:p w14:paraId="265727B8" w14:textId="5A3AB0D0"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Habitação</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O déficit habitacional em Campo Grande concentra-se nas periferias Sul e Leste, onde famílias de baixa renda habitam domicílios precários em loteamentos irregulares, sem documentação fundiária e sem infraestrutura básica. O Programa Minha Casa Minha Vida entregou unidades habitacionais em Campo Grande nas últimas décadas, mas sem integração com serviços de saúde, educação e transporte que garantam habitabilidade plena. As aldeias indígenas urbanas apresentam as condições habitacionais mais precárias do município: construções improvisadas, superlotação e ausência de saneamento diferenciado.</w:t>
      </w:r>
    </w:p>
    <w:p w14:paraId="789B95A8" w14:textId="77777777" w:rsidR="004C4B34" w:rsidRPr="000C0A34" w:rsidRDefault="004C4B34" w:rsidP="000C0A34">
      <w:pPr>
        <w:spacing w:line="276" w:lineRule="auto"/>
        <w:jc w:val="both"/>
        <w:rPr>
          <w:rFonts w:ascii="Times New Roman" w:hAnsi="Times New Roman" w:cs="Times New Roman"/>
          <w:color w:val="auto"/>
          <w:sz w:val="24"/>
          <w:szCs w:val="24"/>
        </w:rPr>
      </w:pPr>
    </w:p>
    <w:p w14:paraId="22124080" w14:textId="189E04C4"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Urbanização e infraestrutura</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urbanização de Campo Grande avançou de forma heterogênea: centro e regiões Norte/Oeste com infraestrutura consolidada e qualidade urbana; periferias Sul/Leste com urbanização incompleta, vias sem pavimentação, ausência de calçadas e equipamentos públicos insuficientes. O Plano Diretor (LC nº 74/2006 e revisões) define o Macrozoneamento, mas a implementação das exigências de infraestrutura mínima nos novos loteamentos é frequentemente negociada com redução de padrões. O Censo 2022 confirmou o esvaziamento do Centro Histórico</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queda de 13,21% da população entre 2010 e 2022</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enquanto as periferias cresceram, evidenciando o padrão de segregação socioespacial estruturante.</w:t>
      </w:r>
    </w:p>
    <w:p w14:paraId="314127BF" w14:textId="77777777" w:rsidR="004C4B34" w:rsidRPr="000C0A34" w:rsidRDefault="004C4B34" w:rsidP="000C0A34">
      <w:pPr>
        <w:spacing w:line="276" w:lineRule="auto"/>
        <w:jc w:val="both"/>
        <w:rPr>
          <w:rFonts w:ascii="Times New Roman" w:hAnsi="Times New Roman" w:cs="Times New Roman"/>
          <w:color w:val="auto"/>
          <w:sz w:val="24"/>
          <w:szCs w:val="24"/>
        </w:rPr>
      </w:pPr>
    </w:p>
    <w:p w14:paraId="35CD694A" w14:textId="01298795"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Infraestrutura sustentável e resiliente</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infraestrutura urbana de Campo Grande apresenta vulnerabilidades climáticas identificadas: sistemas de drenagem pluvial insuficientes nas periferias, provocando enchentes anuais; arborização viária insuficiente, contribuindo para ilhas de calor; e pavimentação de baixa permeabilidade que intensifica o escoamento superficial. A incorporação de critérios de resiliência climática</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infraestrutura verde, pavimentos permeáveis, parques lineares como corredores de drenagem</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é uma agenda emergente que o Plano Diretor revisado deveria incorporar sistematicamente.</w:t>
      </w:r>
    </w:p>
    <w:p w14:paraId="244D011E" w14:textId="77777777" w:rsidR="004C4B34" w:rsidRPr="000C0A34" w:rsidRDefault="004C4B34" w:rsidP="000C0A34">
      <w:pPr>
        <w:spacing w:line="276" w:lineRule="auto"/>
        <w:jc w:val="both"/>
        <w:rPr>
          <w:rFonts w:ascii="Times New Roman" w:hAnsi="Times New Roman" w:cs="Times New Roman"/>
          <w:color w:val="auto"/>
          <w:sz w:val="24"/>
          <w:szCs w:val="24"/>
        </w:rPr>
      </w:pPr>
    </w:p>
    <w:p w14:paraId="13D91F43" w14:textId="31431155"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Sistema viário, vias municipais, estaduais e federais</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Campo Grande é polo logístico do Centro-Oeste, com convergência das rodovias federais BR-163, BR-262 e BR-060. Internamente, o sistema viário é radial, centrado no Centro Histórico, com insuficiência de vias perimetrais que permitam mobilidade entre periferias sem passar pelo centro. Essa estrutura viária produz congestionamentos, aumenta o tempo de deslocamento das populações periféricas para os serviços de saúde especializados e dificulta a logística das equipes de saúde nas visitas domiciliares.</w:t>
      </w:r>
    </w:p>
    <w:p w14:paraId="0B910E02" w14:textId="77777777" w:rsidR="004C4B34" w:rsidRPr="000C0A34" w:rsidRDefault="004C4B34" w:rsidP="000C0A34">
      <w:pPr>
        <w:spacing w:line="276" w:lineRule="auto"/>
        <w:jc w:val="both"/>
        <w:rPr>
          <w:rFonts w:ascii="Times New Roman" w:hAnsi="Times New Roman" w:cs="Times New Roman"/>
          <w:color w:val="auto"/>
          <w:sz w:val="24"/>
          <w:szCs w:val="24"/>
        </w:rPr>
      </w:pPr>
    </w:p>
    <w:p w14:paraId="123E2146" w14:textId="74FCB82D"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Transportes seguros</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O transporte público coletivo de Campo Grande é operado pelo consórcio Transcol em sistema de ônibus urbanos, com frota e frequência insuficientes nas rotas periféricas das regiões Sul e Leste. As populações dessas regiões dependem de mais de uma condução para acessar UBS de referência, hospitais e equipamentos de assistência social no centro ou em outras regiões. A ausência de ciclovias e calçadas em condições nas periferias torna a mobilidade ativa</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pé e de bicicleta</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insegura, com impacto sobre a atividade física e sobre a acessibilidade a serviços.</w:t>
      </w:r>
    </w:p>
    <w:p w14:paraId="748F3206" w14:textId="77777777" w:rsidR="004C4B34" w:rsidRPr="000C0A34" w:rsidRDefault="004C4B34" w:rsidP="000C0A34">
      <w:pPr>
        <w:spacing w:line="276" w:lineRule="auto"/>
        <w:jc w:val="both"/>
        <w:rPr>
          <w:rFonts w:ascii="Times New Roman" w:hAnsi="Times New Roman" w:cs="Times New Roman"/>
          <w:color w:val="auto"/>
          <w:sz w:val="24"/>
          <w:szCs w:val="24"/>
        </w:rPr>
      </w:pPr>
    </w:p>
    <w:p w14:paraId="3085D04A" w14:textId="1E329AF0"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Acesso aos serviços de Energia</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cobertura de energia elétrica em Campo Grande é praticamente universal na área urbana consolidada, com o programa Luz para Todos cobrindo os remanescentes rurais. Contudo, a qualidade do fornecimento</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com interrupções frequentes e tensão instável em bairros periféricos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afeta domicílios com eletrodomésticos essenciais para armazenamento de alimentos e medicamentos termossensíveis, como insulina. As aldeias indígenas urbanas relatam problemas de regularização das instalações elétricas por ausência de documentação fundiária.</w:t>
      </w:r>
    </w:p>
    <w:p w14:paraId="189484D8" w14:textId="77777777" w:rsidR="004C4B34" w:rsidRPr="000C0A34" w:rsidRDefault="004C4B34" w:rsidP="000C0A34">
      <w:pPr>
        <w:spacing w:line="276" w:lineRule="auto"/>
        <w:jc w:val="both"/>
        <w:rPr>
          <w:rFonts w:ascii="Times New Roman" w:hAnsi="Times New Roman" w:cs="Times New Roman"/>
          <w:color w:val="auto"/>
          <w:sz w:val="24"/>
          <w:szCs w:val="24"/>
        </w:rPr>
      </w:pPr>
    </w:p>
    <w:p w14:paraId="298A1A08" w14:textId="166E995F"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Serviços de Energia modernos e sustentáveis</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Campo Grande avança na geração distribuída de energia solar fotovoltaica, com crescimento expressivo de instalações residenciais e comerciais no setor privado. A SESAU não possui programa sistematizado de energia solar para suas unidades de saúde. A implantação de sistemas fotovoltaicos nas UBS das periferias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que operam em clima de alta irradiação solar</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reduziria custos operacionais e garantiria fornecimento de energia em situações de interrupção da rede, aumentando a resiliência dos serviços de saúde a eventos climáticos extremos.</w:t>
      </w:r>
    </w:p>
    <w:p w14:paraId="32155C21" w14:textId="77777777" w:rsidR="004C4B34" w:rsidRPr="000C0A34" w:rsidRDefault="004C4B34" w:rsidP="000C0A34">
      <w:pPr>
        <w:spacing w:line="276" w:lineRule="auto"/>
        <w:jc w:val="both"/>
        <w:rPr>
          <w:rFonts w:ascii="Times New Roman" w:hAnsi="Times New Roman" w:cs="Times New Roman"/>
          <w:color w:val="auto"/>
          <w:sz w:val="24"/>
          <w:szCs w:val="24"/>
        </w:rPr>
      </w:pPr>
    </w:p>
    <w:p w14:paraId="52FDD506" w14:textId="2BFE7D1F"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Acesso a tecnologias de informação e comunicação</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O acesso à internet em Campo Grande tem cobertura expressiva na área urbana consolidada, mas com digitalização desigual entre estratos sociais. As famílias de menor renda nas periferias acessam a internet predominantemente pelo celular em planos de dados limitados, sem acesso a computadores ou conexões fixas de alta qualidade. Essa brecha digital limita o acesso a serviços governamentais digitalizados, à telemedicina e a plataformas de educação à distância</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exacerbando desigualdades existentes. As aldeias indígenas urbanas apresentam conectividade especialmente precária.</w:t>
      </w:r>
    </w:p>
    <w:p w14:paraId="6EE23AF1" w14:textId="77777777" w:rsidR="004C4B34" w:rsidRPr="000C0A34" w:rsidRDefault="004C4B34" w:rsidP="000C0A34">
      <w:pPr>
        <w:spacing w:line="276" w:lineRule="auto"/>
        <w:jc w:val="both"/>
        <w:rPr>
          <w:rFonts w:ascii="Times New Roman" w:hAnsi="Times New Roman" w:cs="Times New Roman"/>
          <w:color w:val="auto"/>
          <w:sz w:val="24"/>
          <w:szCs w:val="24"/>
        </w:rPr>
      </w:pPr>
    </w:p>
    <w:p w14:paraId="32C03C53" w14:textId="5D12DD29"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Educação, ensino primário</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eastAsiaTheme="majorEastAsia" w:hAnsi="Times New Roman" w:cs="Times New Roman"/>
          <w:b/>
          <w:i/>
          <w:color w:val="auto"/>
          <w:kern w:val="2"/>
          <w:sz w:val="24"/>
          <w:szCs w:val="24"/>
          <w:lang w:eastAsia="en-US"/>
          <w14:ligatures w14:val="standardContextual"/>
        </w:rPr>
        <w:t xml:space="preserve"> </w:t>
      </w:r>
      <w:r w:rsidR="004E1A19" w:rsidRPr="000C0A34">
        <w:rPr>
          <w:rFonts w:ascii="Times New Roman" w:hAnsi="Times New Roman" w:cs="Times New Roman"/>
          <w:color w:val="auto"/>
          <w:sz w:val="24"/>
          <w:szCs w:val="24"/>
        </w:rPr>
        <w:t>O IDEB das escolas municipais de Campo Grande apresenta variação territorial significativa: escolas da área central e de bairros consolidados das regiões Norte e Oeste têm desempenho acima da média nacional, enquanto escolas das periferias Sul e Leste apresentam indicadores abaixo da meta. As condições de aprendizagem</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infraestrutura escolar, qualificação docente, suporte para alunos com necessidades especiais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reproduzem a segregação socioespacial do território e condicionam as trajetórias educacionais e de saúde ao longo do ciclo de vida.</w:t>
      </w:r>
    </w:p>
    <w:p w14:paraId="13D70A28" w14:textId="77777777" w:rsidR="004C4B34" w:rsidRPr="000C0A34" w:rsidRDefault="004C4B34" w:rsidP="000C0A34">
      <w:pPr>
        <w:spacing w:line="276" w:lineRule="auto"/>
        <w:jc w:val="both"/>
        <w:rPr>
          <w:rFonts w:ascii="Times New Roman" w:hAnsi="Times New Roman" w:cs="Times New Roman"/>
          <w:color w:val="auto"/>
          <w:sz w:val="24"/>
          <w:szCs w:val="24"/>
        </w:rPr>
      </w:pPr>
    </w:p>
    <w:p w14:paraId="544188C3" w14:textId="37BB5200"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Alfabetização, EJA</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Educação de Jovens e Adultos (EJA) em Campo Grande atende trabalhadores informais, adultos com trajetória escolar interrompida e idosos que não completaram a educação básica. A alfabetização é condição para o exercício pleno de direitos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acesso a benefícios sociais, letramento financeiro, uso de serviços de saúde digitalizados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e sua ausência compõe o perfil de vulnerabilidade das famílias mais pobres. A PICAPS, ao adotar o método pedagógico de Paulo Freire, incorpora a alfabetização popular como dimensão transversal da formação de pesquisadores populares.</w:t>
      </w:r>
    </w:p>
    <w:p w14:paraId="71288DEF" w14:textId="77777777" w:rsidR="004C4B34" w:rsidRPr="000C0A34" w:rsidRDefault="004C4B34" w:rsidP="000C0A34">
      <w:pPr>
        <w:spacing w:line="276" w:lineRule="auto"/>
        <w:jc w:val="both"/>
        <w:rPr>
          <w:rFonts w:ascii="Times New Roman" w:hAnsi="Times New Roman" w:cs="Times New Roman"/>
          <w:color w:val="auto"/>
          <w:sz w:val="24"/>
          <w:szCs w:val="24"/>
        </w:rPr>
      </w:pPr>
    </w:p>
    <w:p w14:paraId="5E3B1879" w14:textId="3AED3C3C"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Educação Superior</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Campo Grande concentra a maior oferta de educação superior de Mato Grosso do Sul, com UFMS, UCDB, Uniderp, UEMS e instituições privadas. A presença de programas de graduação e pós-graduação em saúde</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medicina, enfermagem, odontologia, farmácia, psicologia</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é estratégica para a formação de profissionais que alimentam o SUS municipal. A parceria com a Fiocruz Brasília amplia essa capacidade formativa na interface entre pesquisa e gestão em saúde coletiva.</w:t>
      </w:r>
    </w:p>
    <w:p w14:paraId="1C26CB40" w14:textId="77777777" w:rsidR="004C4B34" w:rsidRPr="000C0A34" w:rsidRDefault="004C4B34" w:rsidP="000C0A34">
      <w:pPr>
        <w:spacing w:line="276" w:lineRule="auto"/>
        <w:jc w:val="both"/>
        <w:rPr>
          <w:rFonts w:ascii="Times New Roman" w:hAnsi="Times New Roman" w:cs="Times New Roman"/>
          <w:color w:val="auto"/>
          <w:sz w:val="24"/>
          <w:szCs w:val="24"/>
        </w:rPr>
      </w:pPr>
    </w:p>
    <w:p w14:paraId="486B7ED1" w14:textId="3A2C9ED7"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Educação Técnica e profissional</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O SENAI, SENAC, SENAR e os Institutos Federais (IFMS) são os principais ofertantes de educação técnica e profissional em Campo Grande, com cursos orientados para as cadeias produtivas do agronegócio, construção civil, serviços e saúde. A FUNSAT opera como equipamento de intermediação de emprego e qualificação profissional para trabalhadores em situação de desemprego ou informalidade, com interface direta com os CRAS nas regiões de maior vulnerabilidade.</w:t>
      </w:r>
    </w:p>
    <w:p w14:paraId="5EECE673" w14:textId="77777777" w:rsidR="004C4B34" w:rsidRPr="000C0A34" w:rsidRDefault="004C4B34" w:rsidP="000C0A34">
      <w:pPr>
        <w:spacing w:line="276" w:lineRule="auto"/>
        <w:jc w:val="both"/>
        <w:rPr>
          <w:rFonts w:ascii="Times New Roman" w:hAnsi="Times New Roman" w:cs="Times New Roman"/>
          <w:color w:val="auto"/>
          <w:sz w:val="24"/>
          <w:szCs w:val="24"/>
        </w:rPr>
      </w:pPr>
    </w:p>
    <w:p w14:paraId="06AC8313" w14:textId="5CD67E29"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Educação para o trabalho</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educação para o trabalho em Campo Grande precisa incorporar, além das competências técnicas, as dimensões de direitos trabalhistas, saúde do trabalhador e economia solidária. O fator E5-13 articula-se diretamente com o Eixo 1 (formalização, economia solidária, geração de renda) e com o projeto pedagógico da PICAPS, que integra a formação de pesquisadores populares com a produção de conhecimento sobre as condições de trabalho e vida nos territórios.</w:t>
      </w:r>
    </w:p>
    <w:p w14:paraId="232D2075" w14:textId="77777777" w:rsidR="004C4B34" w:rsidRPr="000C0A34" w:rsidRDefault="004C4B34" w:rsidP="000C0A34">
      <w:pPr>
        <w:spacing w:line="276" w:lineRule="auto"/>
        <w:jc w:val="both"/>
        <w:rPr>
          <w:rFonts w:ascii="Times New Roman" w:hAnsi="Times New Roman" w:cs="Times New Roman"/>
          <w:color w:val="auto"/>
          <w:sz w:val="24"/>
          <w:szCs w:val="24"/>
        </w:rPr>
      </w:pPr>
    </w:p>
    <w:p w14:paraId="33896880" w14:textId="2BB2E5DA"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Professores qualificados</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qualificação do corpo docente da rede municipal de ensino de Campo Grande apresenta variação entre escolas da área central e das periferias. A rotatividade de professores nas escolas de regiões de maior vulnerabilidade</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associada a condições de trabalho mais difíceis, distância e infraestrutura</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compromete a continuidade pedagógica e os resultados do IDEB nessas regiões.</w:t>
      </w:r>
    </w:p>
    <w:p w14:paraId="397AC074" w14:textId="77777777" w:rsidR="004C4B34" w:rsidRPr="000C0A34" w:rsidRDefault="004C4B34" w:rsidP="000C0A34">
      <w:pPr>
        <w:spacing w:line="276" w:lineRule="auto"/>
        <w:jc w:val="both"/>
        <w:rPr>
          <w:rFonts w:ascii="Times New Roman" w:hAnsi="Times New Roman" w:cs="Times New Roman"/>
          <w:color w:val="auto"/>
          <w:sz w:val="24"/>
          <w:szCs w:val="24"/>
        </w:rPr>
      </w:pPr>
    </w:p>
    <w:p w14:paraId="58990C7F" w14:textId="0928B8CF"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Bolsas de estudo</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O PROUNI, o FIES e as bolsas universitárias estaduais são os principais mecanismos de acesso ao ensino superior privado para estudantes de baixa renda em Campo Grande. O acesso ao ProUni cresceu na última década, mas a permanência dos estudantes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condicionada por renda, transporte e tempo disponível</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é o gargalo principal. Estudantes indígenas e negros têm acesso adicional pelas políticas de ação afirmativa, mas com suporte institucional insuficiente para garantir a conclusão dos cursos.</w:t>
      </w:r>
    </w:p>
    <w:p w14:paraId="02815176" w14:textId="77777777" w:rsidR="004C4B34" w:rsidRPr="000C0A34" w:rsidRDefault="004C4B34" w:rsidP="000C0A34">
      <w:pPr>
        <w:spacing w:line="276" w:lineRule="auto"/>
        <w:jc w:val="both"/>
        <w:rPr>
          <w:rFonts w:ascii="Times New Roman" w:hAnsi="Times New Roman" w:cs="Times New Roman"/>
          <w:color w:val="auto"/>
          <w:sz w:val="24"/>
          <w:szCs w:val="24"/>
        </w:rPr>
      </w:pPr>
    </w:p>
    <w:p w14:paraId="16D4B20A" w14:textId="3FC12BEA"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Tecnologias de informação para jovens e adultos</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inclusão digital de jovens e adultos em Campo Grande é operada por telecentros comunitários, laboratórios de informática em escolas municipais e por programas estaduais de qualificação digital. A digitalização dos serviços públicos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CADSUS, e-SUS, plataformas de agendamento de consultas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exige letramento digital dos usuários do SUS, especialmente nas populações mais velhas e de menor escolaridade das periferias.</w:t>
      </w:r>
    </w:p>
    <w:p w14:paraId="78BEDD8F" w14:textId="77777777" w:rsidR="004C4B34" w:rsidRPr="000C0A34" w:rsidRDefault="004C4B34" w:rsidP="000C0A34">
      <w:pPr>
        <w:spacing w:line="276" w:lineRule="auto"/>
        <w:jc w:val="both"/>
        <w:rPr>
          <w:rFonts w:ascii="Times New Roman" w:hAnsi="Times New Roman" w:cs="Times New Roman"/>
          <w:color w:val="auto"/>
          <w:sz w:val="24"/>
          <w:szCs w:val="24"/>
        </w:rPr>
      </w:pPr>
    </w:p>
    <w:p w14:paraId="5B2CBAE9" w14:textId="70BE7936"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Biblioteca</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distribuição de bibliotecas públicas em Campo Grande é desigual: as bibliotecas de maior acervo e estrutura concentram-se na área central e nas universidades, enquanto as regiões periféricas Sul e Leste têm cobertura precária. A biblioteca é um equipamento de promoção da saúde que vai além da leitura: é espaço de cultura, sociabilidade e acesso à informação. A PICAPS reconhece nas práticas culturais e educativas dos territórios uma potencialidade a ser qualificada.</w:t>
      </w:r>
    </w:p>
    <w:p w14:paraId="5E0B5FD9" w14:textId="77777777" w:rsidR="004C4B34" w:rsidRPr="000C0A34" w:rsidRDefault="004C4B34" w:rsidP="000C0A34">
      <w:pPr>
        <w:spacing w:line="276" w:lineRule="auto"/>
        <w:jc w:val="both"/>
        <w:rPr>
          <w:rFonts w:ascii="Times New Roman" w:hAnsi="Times New Roman" w:cs="Times New Roman"/>
          <w:color w:val="auto"/>
          <w:sz w:val="24"/>
          <w:szCs w:val="24"/>
        </w:rPr>
      </w:pPr>
    </w:p>
    <w:p w14:paraId="616AF70E" w14:textId="563CF837"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Esportes</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O acesso a espaços esportivos de qualidade em Campo Grande é assimétrico: quadras, ginásios e academias ao ar livre concentram-se em bairros consolidados das regiões Norte e Oeste, enquanto as periferias Sul e Leste têm cobertura insuficiente. A ausência de espaços esportivos seguros e acessíveis nas periferias é determinante de sedentarismo, obesidade e doenças crônicas na população jovem dessas regiões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impacto documentado pelos indicadores do VIGITEL para capitais do Centro-Oeste.</w:t>
      </w:r>
    </w:p>
    <w:p w14:paraId="5F94C11B" w14:textId="77777777" w:rsidR="004C4B34" w:rsidRPr="000C0A34" w:rsidRDefault="004C4B34" w:rsidP="000C0A34">
      <w:pPr>
        <w:spacing w:line="276" w:lineRule="auto"/>
        <w:jc w:val="both"/>
        <w:rPr>
          <w:rFonts w:ascii="Times New Roman" w:hAnsi="Times New Roman" w:cs="Times New Roman"/>
          <w:color w:val="auto"/>
          <w:sz w:val="24"/>
          <w:szCs w:val="24"/>
        </w:rPr>
      </w:pPr>
    </w:p>
    <w:p w14:paraId="07A806A7" w14:textId="7C0B2986"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Lazer</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Os equipamentos de lazer público em Campo Grande</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parques, praças, centros comunitários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têm distribuição territorial heterogênea. O Parque das Nações Indígenas e os parques lineares dos córregos são os espaços de lazer de maior acesso para a população, mas geograficamente favoráveis às regiões centrais. As periferias carecem de espaços de lazer seguros, bem iluminados e com atividades programadas que promovam saúde e reduzam a vulnerabilidade de jovens à violência.</w:t>
      </w:r>
    </w:p>
    <w:p w14:paraId="5413ED76" w14:textId="77777777" w:rsidR="004C4B34" w:rsidRPr="000C0A34" w:rsidRDefault="004C4B34" w:rsidP="000C0A34">
      <w:pPr>
        <w:spacing w:line="276" w:lineRule="auto"/>
        <w:jc w:val="both"/>
        <w:rPr>
          <w:rFonts w:ascii="Times New Roman" w:hAnsi="Times New Roman" w:cs="Times New Roman"/>
          <w:color w:val="auto"/>
          <w:sz w:val="24"/>
          <w:szCs w:val="24"/>
        </w:rPr>
      </w:pPr>
    </w:p>
    <w:p w14:paraId="2CB7731B" w14:textId="5344E7D3"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Promoção de cultura</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produção e o consumo cultural em Campo Grande são concentrados na região central, com teatros, museus e centros culturais de difícil acesso para as populações periféricas. A cultura indígena Terena</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com expressões em artesanato, língua, música e rituais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é invisibilizada no espaço urbano, sem política municipal de valorização e difusão que contrabalance o processo de apagamento cultural documentado nas aldeias urbanas. O diagnóstico de agosto de 2025 que posiciona Campo Grande como a pior capital do país em acesso à cultura é um indicador objetivo da gravidade desse déficit.</w:t>
      </w:r>
    </w:p>
    <w:p w14:paraId="14C7999E" w14:textId="77777777" w:rsidR="004C4B34" w:rsidRPr="000C0A34" w:rsidRDefault="004C4B34" w:rsidP="000C0A34">
      <w:pPr>
        <w:spacing w:line="276" w:lineRule="auto"/>
        <w:jc w:val="both"/>
        <w:rPr>
          <w:rFonts w:ascii="Times New Roman" w:hAnsi="Times New Roman" w:cs="Times New Roman"/>
          <w:color w:val="auto"/>
          <w:sz w:val="24"/>
          <w:szCs w:val="24"/>
        </w:rPr>
      </w:pPr>
    </w:p>
    <w:p w14:paraId="51F95C7F" w14:textId="244E2932"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Experiências das comunidades, saberes e práticas locais</w:t>
      </w:r>
      <w:r w:rsidR="00AC2725" w:rsidRPr="000C0A34">
        <w:rPr>
          <w:rFonts w:ascii="Times New Roman" w:eastAsiaTheme="majorEastAsia" w:hAnsi="Times New Roman" w:cs="Times New Roman"/>
          <w:b/>
          <w:i/>
          <w:color w:val="auto"/>
          <w:kern w:val="2"/>
          <w:sz w:val="24"/>
          <w:szCs w:val="24"/>
          <w:lang w:eastAsia="en-US"/>
          <w14:ligatures w14:val="standardContextual"/>
        </w:rPr>
        <w:t>:</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Os saberes e práticas locais das comunidades periféricas e indígenas de Campo Grande</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incluindo o uso de plantas medicinais, as técnicas de produção de alimentos, as práticas espirituais de cura e os métodos de manejo ambiental</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 xml:space="preserve">são ativos epistemológicos que a Pedagogia da Práxis no Território da PICAPS reconhece e valoriza como ponto de partida do processo de investigação. A cartografia social é o instrumento que torna esses saberes visíveis, registráveis e </w:t>
      </w:r>
      <w:r w:rsidR="00AC2725" w:rsidRPr="000C0A34">
        <w:rPr>
          <w:rFonts w:ascii="Times New Roman" w:hAnsi="Times New Roman" w:cs="Times New Roman"/>
          <w:color w:val="auto"/>
          <w:sz w:val="24"/>
          <w:szCs w:val="24"/>
        </w:rPr>
        <w:t>integráveis</w:t>
      </w:r>
      <w:r w:rsidR="004E1A19" w:rsidRPr="000C0A34">
        <w:rPr>
          <w:rFonts w:ascii="Times New Roman" w:hAnsi="Times New Roman" w:cs="Times New Roman"/>
          <w:color w:val="auto"/>
          <w:sz w:val="24"/>
          <w:szCs w:val="24"/>
        </w:rPr>
        <w:t xml:space="preserve"> ao planejamento em saúde sem perder sua natureza coletiva e territorial.</w:t>
      </w:r>
    </w:p>
    <w:p w14:paraId="41EDAF01" w14:textId="77777777" w:rsidR="00AC2725" w:rsidRPr="000C0A34" w:rsidRDefault="00AC2725" w:rsidP="000C0A34">
      <w:pPr>
        <w:spacing w:before="60" w:line="276" w:lineRule="auto"/>
        <w:jc w:val="both"/>
        <w:rPr>
          <w:rFonts w:ascii="Times New Roman" w:hAnsi="Times New Roman" w:cs="Times New Roman"/>
          <w:color w:val="auto"/>
          <w:sz w:val="24"/>
          <w:szCs w:val="24"/>
        </w:rPr>
      </w:pPr>
    </w:p>
    <w:p w14:paraId="13537721" w14:textId="67F9895B" w:rsidR="00001CC6" w:rsidRPr="000C0A34" w:rsidRDefault="00001CC6" w:rsidP="000C0A34">
      <w:pPr>
        <w:pStyle w:val="Ttulo1"/>
        <w:keepNext/>
        <w:keepLines/>
        <w:spacing w:before="0" w:after="0" w:line="276" w:lineRule="auto"/>
        <w:rPr>
          <w:rFonts w:ascii="Times New Roman" w:eastAsiaTheme="majorEastAsia" w:hAnsi="Times New Roman" w:cs="Times New Roman"/>
          <w:bCs w:val="0"/>
          <w:color w:val="auto"/>
          <w:kern w:val="2"/>
          <w:sz w:val="24"/>
          <w:szCs w:val="24"/>
          <w:lang w:eastAsia="en-US"/>
          <w14:ligatures w14:val="standardContextual"/>
        </w:rPr>
      </w:pPr>
      <w:r w:rsidRPr="000C0A34">
        <w:rPr>
          <w:rFonts w:ascii="Times New Roman" w:eastAsiaTheme="majorEastAsia" w:hAnsi="Times New Roman" w:cs="Times New Roman"/>
          <w:bCs w:val="0"/>
          <w:color w:val="auto"/>
          <w:kern w:val="2"/>
          <w:sz w:val="24"/>
          <w:szCs w:val="24"/>
          <w:lang w:eastAsia="en-US"/>
          <w14:ligatures w14:val="standardContextual"/>
        </w:rPr>
        <w:t xml:space="preserve">EIXO 6. A VOZ NA MESA </w:t>
      </w:r>
    </w:p>
    <w:p w14:paraId="6D640D93" w14:textId="495872D2" w:rsidR="004C4B34" w:rsidRPr="000C0A34" w:rsidRDefault="004E1A19" w:rsidP="000C0A34">
      <w:pPr>
        <w:spacing w:line="276" w:lineRule="auto"/>
        <w:jc w:val="both"/>
        <w:rPr>
          <w:rFonts w:ascii="Times New Roman" w:hAnsi="Times New Roman" w:cs="Times New Roman"/>
          <w:color w:val="auto"/>
          <w:sz w:val="24"/>
          <w:szCs w:val="24"/>
        </w:rPr>
      </w:pPr>
      <w:r w:rsidRPr="000C0A34">
        <w:rPr>
          <w:rFonts w:ascii="Times New Roman" w:hAnsi="Times New Roman" w:cs="Times New Roman"/>
          <w:color w:val="auto"/>
          <w:sz w:val="24"/>
          <w:szCs w:val="24"/>
        </w:rPr>
        <w:t>Este capítulo apresenta a leitura territorial de Campo Grande pelos 14 fatores do Eixo 6 (A Voz na Mesa)</w:t>
      </w:r>
      <w:r w:rsidR="00A52AE3" w:rsidRPr="000C0A34">
        <w:rPr>
          <w:rFonts w:ascii="Times New Roman" w:hAnsi="Times New Roman" w:cs="Times New Roman"/>
          <w:color w:val="auto"/>
          <w:sz w:val="24"/>
          <w:szCs w:val="24"/>
        </w:rPr>
        <w:t xml:space="preserve">. </w:t>
      </w:r>
      <w:r w:rsidRPr="000C0A34">
        <w:rPr>
          <w:rFonts w:ascii="Times New Roman" w:hAnsi="Times New Roman" w:cs="Times New Roman"/>
          <w:color w:val="auto"/>
          <w:sz w:val="24"/>
          <w:szCs w:val="24"/>
        </w:rPr>
        <w:t>Cada fator é analisado em sua expressão concreta no território campo-grandense, articulando dados secundários</w:t>
      </w:r>
      <w:r w:rsidR="00AC2725" w:rsidRPr="000C0A34">
        <w:rPr>
          <w:rFonts w:ascii="Times New Roman" w:hAnsi="Times New Roman" w:cs="Times New Roman"/>
          <w:color w:val="auto"/>
          <w:sz w:val="24"/>
          <w:szCs w:val="24"/>
        </w:rPr>
        <w:t xml:space="preserve"> e</w:t>
      </w:r>
      <w:r w:rsidRPr="000C0A34">
        <w:rPr>
          <w:rFonts w:ascii="Times New Roman" w:hAnsi="Times New Roman" w:cs="Times New Roman"/>
          <w:color w:val="auto"/>
          <w:sz w:val="24"/>
          <w:szCs w:val="24"/>
        </w:rPr>
        <w:t xml:space="preserve"> indicadores dos sistemas de informação em saúde</w:t>
      </w:r>
      <w:r w:rsidR="00AC2725" w:rsidRPr="000C0A34">
        <w:rPr>
          <w:rFonts w:ascii="Times New Roman" w:hAnsi="Times New Roman" w:cs="Times New Roman"/>
          <w:color w:val="auto"/>
          <w:sz w:val="24"/>
          <w:szCs w:val="24"/>
        </w:rPr>
        <w:t>.</w:t>
      </w:r>
    </w:p>
    <w:p w14:paraId="3269C1F4" w14:textId="77777777" w:rsidR="004C4B34" w:rsidRPr="000C0A34" w:rsidRDefault="004C4B34" w:rsidP="000C0A34">
      <w:pPr>
        <w:spacing w:line="276" w:lineRule="auto"/>
        <w:jc w:val="both"/>
        <w:rPr>
          <w:rFonts w:ascii="Times New Roman" w:hAnsi="Times New Roman" w:cs="Times New Roman"/>
          <w:color w:val="auto"/>
          <w:sz w:val="24"/>
          <w:szCs w:val="24"/>
        </w:rPr>
      </w:pPr>
    </w:p>
    <w:p w14:paraId="38A45F29" w14:textId="154E7953"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 xml:space="preserve">Tomada de decisão responsiva, inclusiva e participativa: </w:t>
      </w:r>
      <w:r w:rsidR="004E1A19" w:rsidRPr="000C0A34">
        <w:rPr>
          <w:rFonts w:ascii="Times New Roman" w:hAnsi="Times New Roman" w:cs="Times New Roman"/>
          <w:color w:val="auto"/>
          <w:sz w:val="24"/>
          <w:szCs w:val="24"/>
        </w:rPr>
        <w:t>O controle social do SUS em Campo Grande é exercido pelo Conselho Municipal de Saúde (CMS), com representação de usuários, trabalhadores e gestores, e pelas Conferências Municipais de Saúde. A efetividade desse controle</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entendida como capacidade real de influenciar decisões orçamentárias e programáticas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é o indicador qualitativo central do Eixo 6. A PICAPS, ao capacitar pesquisadores populares e produzir diagnósticos com base em evidências territoriais, amplia a capacidade técnica da participação social, tornando-a mais qualificada para disputar a agenda do planejamento em saúde.</w:t>
      </w:r>
    </w:p>
    <w:p w14:paraId="14E3840F" w14:textId="77777777" w:rsidR="004C4B34" w:rsidRPr="000C0A34" w:rsidRDefault="004C4B34" w:rsidP="000C0A34">
      <w:pPr>
        <w:spacing w:line="276" w:lineRule="auto"/>
        <w:jc w:val="both"/>
        <w:rPr>
          <w:rFonts w:ascii="Times New Roman" w:hAnsi="Times New Roman" w:cs="Times New Roman"/>
          <w:color w:val="auto"/>
          <w:sz w:val="24"/>
          <w:szCs w:val="24"/>
        </w:rPr>
      </w:pPr>
    </w:p>
    <w:p w14:paraId="3A3DF19F" w14:textId="64AA34C0"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Estratégias de mobilização, redes e grupos organizados: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As redes de mobilização comunitária em Campo Grande incluem associações de moradores, grupos de mulheres, movimentos indígenas urbanos, organizações de catadores e coletivos de juventude nas periferias. Os pesquisadores populares PICAPS são o elo operacional entre essas redes e o ciclo de planejamento participativo: são eles que conduzem os Círculos de Cultura, coletam as inscrições da cartografia social e garantem que a voz das comunidades entre no processo técnico sem perder sua autoria.</w:t>
      </w:r>
    </w:p>
    <w:p w14:paraId="756B3A26" w14:textId="77777777" w:rsidR="004C4B34" w:rsidRPr="000C0A34" w:rsidRDefault="004C4B34" w:rsidP="000C0A34">
      <w:pPr>
        <w:spacing w:line="276" w:lineRule="auto"/>
        <w:jc w:val="both"/>
        <w:rPr>
          <w:rFonts w:ascii="Times New Roman" w:hAnsi="Times New Roman" w:cs="Times New Roman"/>
          <w:color w:val="auto"/>
          <w:sz w:val="24"/>
          <w:szCs w:val="24"/>
        </w:rPr>
      </w:pPr>
    </w:p>
    <w:p w14:paraId="09EE1037" w14:textId="19CCFB1F"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Apoio a instituições públicas, privadas e sociedade civil, parcerias sociotécnicas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parceria entre SESAU Campo Grande e Fiocruz Brasília</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operacionalizada pelo CoLaboratório CTIS e pela plataforma PICAPS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é o exemplo mais robusto de parceria sociotécnica no campo da saúde do município. O programa de residência multiprofissional em saúde da família, o maior do Centro-Oeste, foi o vetor que triplicou a cobertura de APS em seis anos. A sustentabilidade dessa parceria</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que combina formação, pesquisa e inovação em um único arranjo institucional</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é um ativo estratégico que precisa ser protegido e ampliado no próximo ciclo de planejamento.</w:t>
      </w:r>
    </w:p>
    <w:p w14:paraId="0CF0BC24" w14:textId="77777777" w:rsidR="004C4B34" w:rsidRPr="000C0A34" w:rsidRDefault="004C4B34" w:rsidP="000C0A34">
      <w:pPr>
        <w:spacing w:line="276" w:lineRule="auto"/>
        <w:jc w:val="both"/>
        <w:rPr>
          <w:rFonts w:ascii="Times New Roman" w:hAnsi="Times New Roman" w:cs="Times New Roman"/>
          <w:color w:val="auto"/>
          <w:sz w:val="24"/>
          <w:szCs w:val="24"/>
        </w:rPr>
      </w:pPr>
    </w:p>
    <w:p w14:paraId="193C9705" w14:textId="2BC3536B"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Parcerias multissetoriais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intersetorialidade entre saúde, educação, assistência social, meio ambiente e habitação é condição metodológica para enfrentar os nós críticos identificados no diagnóstico. Em Campo Grande, as parcerias multissetoriais existem pontualmente</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nos programas de saúde escolar, nos NASF, nos CREAS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mas sem uma arquitetura de governança intersetorial que garanta continuidade, financiamento compartilhado e avaliação integrada. A implantação de Grupos de Trabalho Intersetorial por território vulnerável</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articulando CRAS, ESF, escola e agentes comunitários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é uma inovação organizacional de baixo custo e alto impacto.</w:t>
      </w:r>
    </w:p>
    <w:p w14:paraId="447A6BF7" w14:textId="77777777" w:rsidR="004C4B34" w:rsidRPr="000C0A34" w:rsidRDefault="004C4B34" w:rsidP="000C0A34">
      <w:pPr>
        <w:spacing w:line="276" w:lineRule="auto"/>
        <w:jc w:val="both"/>
        <w:rPr>
          <w:rFonts w:ascii="Times New Roman" w:hAnsi="Times New Roman" w:cs="Times New Roman"/>
          <w:color w:val="auto"/>
          <w:sz w:val="24"/>
          <w:szCs w:val="24"/>
        </w:rPr>
      </w:pPr>
    </w:p>
    <w:p w14:paraId="755B8D0C" w14:textId="31443018"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Parcerias multissetoriais para os ODS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A agenda dos Objetivos de Desenvolvimento Sustentável no nível municipal em Campo Grande não tem estrutura de governança dedicada. A Câmara Municipal e a Prefeitura não dispõem de mecanismo de monitoramento e reporte dos ODS que integre os dados setoriais em um painel territorial unificado. A PICAPS, ao organizar os fatores da cartografia social por eixos vinculados aos ODS, produz exatamente esse tipo de integração no nível do planejamento participativo, podendo constituir-se na base de um sistema de monitoramento local dos ODS com protagonismo comunitário.</w:t>
      </w:r>
    </w:p>
    <w:p w14:paraId="543F0363" w14:textId="77777777" w:rsidR="004C4B34" w:rsidRPr="000C0A34" w:rsidRDefault="004C4B34" w:rsidP="000C0A34">
      <w:pPr>
        <w:spacing w:line="276" w:lineRule="auto"/>
        <w:jc w:val="both"/>
        <w:rPr>
          <w:rFonts w:ascii="Times New Roman" w:hAnsi="Times New Roman" w:cs="Times New Roman"/>
          <w:color w:val="auto"/>
          <w:sz w:val="24"/>
          <w:szCs w:val="24"/>
        </w:rPr>
      </w:pPr>
    </w:p>
    <w:p w14:paraId="7CCC63A2" w14:textId="09A6E05D"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 xml:space="preserve">Corrupção e suborno: </w:t>
      </w:r>
      <w:r w:rsidR="004E1A19" w:rsidRPr="000C0A34">
        <w:rPr>
          <w:rFonts w:ascii="Times New Roman" w:hAnsi="Times New Roman" w:cs="Times New Roman"/>
          <w:color w:val="auto"/>
          <w:sz w:val="24"/>
          <w:szCs w:val="24"/>
        </w:rPr>
        <w:t>A corrupção nos processos de licitação, contratação e repasse de recursos públicos na saúde é um determinante estrutural da ineficiência e inefetividade dos serviços. Em Campo Grande, o controle social exercido pelo CMS, o trabalho do Ministério Público Estadual e da Controladoria-Geral do Município são os mecanismos formais de combate à corrupção. A transparência ativa (E6-07) e a participação qualificada da sociedade civil nos processos de planejamento e avaliação são as respostas preventivas mais eficazes, pois reduzem as assimetrias de informação que facilitam práticas corruptas.</w:t>
      </w:r>
    </w:p>
    <w:p w14:paraId="481726E7" w14:textId="77777777" w:rsidR="004C4B34" w:rsidRPr="000C0A34" w:rsidRDefault="004C4B34" w:rsidP="000C0A34">
      <w:pPr>
        <w:spacing w:line="276" w:lineRule="auto"/>
        <w:jc w:val="both"/>
        <w:rPr>
          <w:rFonts w:ascii="Times New Roman" w:hAnsi="Times New Roman" w:cs="Times New Roman"/>
          <w:color w:val="auto"/>
          <w:sz w:val="24"/>
          <w:szCs w:val="24"/>
        </w:rPr>
      </w:pPr>
    </w:p>
    <w:p w14:paraId="6DE1A51B" w14:textId="7DA731F4"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 xml:space="preserve">Transparência ativa das instituições: </w:t>
      </w:r>
      <w:r w:rsidR="004E1A19" w:rsidRPr="000C0A34">
        <w:rPr>
          <w:rFonts w:ascii="Times New Roman" w:hAnsi="Times New Roman" w:cs="Times New Roman"/>
          <w:color w:val="auto"/>
          <w:sz w:val="24"/>
          <w:szCs w:val="24"/>
        </w:rPr>
        <w:t>A transparência ativa da SESAU Campo Grande é exercida por meio do Portal da Transparência municipal, dos Relatórios Anuais de Gestão apreciados pelo CMS e dos dados publicados no DATASUS e e-Gestor. A qualidade e a acessibilidade desses dados para o público geral</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e especialmente para as comunidades e pesquisadores populares</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é ainda insuficiente: dados publicados em formatos não interoperáveis, sem visualização territorial e sem interface compreensível para não especialistas. A PICAPS pode atuar como mediadora, traduzindo dados técnicos em informações utilizáveis pelos pesquisadores populares nos Círculos de Cultura.</w:t>
      </w:r>
    </w:p>
    <w:p w14:paraId="0487EDE1" w14:textId="77777777" w:rsidR="004C4B34" w:rsidRPr="000C0A34" w:rsidRDefault="004C4B34" w:rsidP="000C0A34">
      <w:pPr>
        <w:spacing w:line="276" w:lineRule="auto"/>
        <w:jc w:val="both"/>
        <w:rPr>
          <w:rFonts w:ascii="Times New Roman" w:hAnsi="Times New Roman" w:cs="Times New Roman"/>
          <w:color w:val="auto"/>
          <w:sz w:val="24"/>
          <w:szCs w:val="24"/>
        </w:rPr>
      </w:pPr>
    </w:p>
    <w:p w14:paraId="3C6872D0" w14:textId="27F96E9C"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 xml:space="preserve">Ação do Estado na coordenação e coerência de políticas: </w:t>
      </w:r>
      <w:r w:rsidR="004E1A19" w:rsidRPr="000C0A34">
        <w:rPr>
          <w:rFonts w:ascii="Times New Roman" w:hAnsi="Times New Roman" w:cs="Times New Roman"/>
          <w:color w:val="auto"/>
          <w:sz w:val="24"/>
          <w:szCs w:val="24"/>
        </w:rPr>
        <w:t>A coordenação de políticas entre os níveis municipal, estadual e federal é determinante da efetividade do SUS em Campo Grande. Fragilidades nessa coordenação</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como a regulação insuficiente dos serviços estaduais que operam no município, ou a descontinuidade de programas federais por mudança de orientação política</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produzem rupturas na continuidade do cuidado. A Comissão Intergestores Bipartite (CIB-MS) é o fórum formal de coordenação entre estado e municípios, e o Pacto de Saúde é o instrumento de pactuação de metas. A qualidade da participação municipal nesse processo é um indicador de capacidade institucional.</w:t>
      </w:r>
    </w:p>
    <w:p w14:paraId="0E09710E" w14:textId="77777777" w:rsidR="004C4B34" w:rsidRPr="000C0A34" w:rsidRDefault="004C4B34" w:rsidP="000C0A34">
      <w:pPr>
        <w:spacing w:line="276" w:lineRule="auto"/>
        <w:jc w:val="both"/>
        <w:rPr>
          <w:rFonts w:ascii="Times New Roman" w:hAnsi="Times New Roman" w:cs="Times New Roman"/>
          <w:color w:val="auto"/>
          <w:sz w:val="24"/>
          <w:szCs w:val="24"/>
        </w:rPr>
      </w:pPr>
    </w:p>
    <w:p w14:paraId="3C0D34E8" w14:textId="0519E194"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 xml:space="preserve">Combate ao crime organizado e armas ilegais: </w:t>
      </w:r>
      <w:r w:rsidR="004E1A19" w:rsidRPr="000C0A34">
        <w:rPr>
          <w:rFonts w:ascii="Times New Roman" w:hAnsi="Times New Roman" w:cs="Times New Roman"/>
          <w:color w:val="auto"/>
          <w:sz w:val="24"/>
          <w:szCs w:val="24"/>
        </w:rPr>
        <w:t>O crime organizado em Campo Grande</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com expressão no tráfico de drogas, no tráfico de armas e na exploração sexual</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é um determinante de saúde que condiciona a segurança das periferias, a vulnerabilidade de jovens e a capacidade das equipes de saúde de operar nos territórios de maior risco. A SESAU e as equipes de APS que atuam em bairros com alta incidência de violência armada desenvolvem estratégias de segurança operacional</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visitas em duplas, articulação com a Defesa Social</w:t>
      </w:r>
      <w:r w:rsidRPr="000C0A34">
        <w:rPr>
          <w:rFonts w:ascii="Times New Roman" w:hAnsi="Times New Roman" w:cs="Times New Roman"/>
          <w:color w:val="auto"/>
          <w:sz w:val="24"/>
          <w:szCs w:val="24"/>
        </w:rPr>
        <w:t xml:space="preserve">, </w:t>
      </w:r>
      <w:r w:rsidR="004E1A19" w:rsidRPr="000C0A34">
        <w:rPr>
          <w:rFonts w:ascii="Times New Roman" w:hAnsi="Times New Roman" w:cs="Times New Roman"/>
          <w:color w:val="auto"/>
          <w:sz w:val="24"/>
          <w:szCs w:val="24"/>
        </w:rPr>
        <w:t xml:space="preserve">que não estão protocoladas </w:t>
      </w:r>
      <w:r w:rsidRPr="000C0A34">
        <w:rPr>
          <w:rFonts w:ascii="Times New Roman" w:hAnsi="Times New Roman" w:cs="Times New Roman"/>
          <w:color w:val="auto"/>
          <w:sz w:val="24"/>
          <w:szCs w:val="24"/>
        </w:rPr>
        <w:t>formalmente,</w:t>
      </w:r>
      <w:r w:rsidR="004E1A19" w:rsidRPr="000C0A34">
        <w:rPr>
          <w:rFonts w:ascii="Times New Roman" w:hAnsi="Times New Roman" w:cs="Times New Roman"/>
          <w:color w:val="auto"/>
          <w:sz w:val="24"/>
          <w:szCs w:val="24"/>
        </w:rPr>
        <w:t xml:space="preserve"> mas são práticas cotidianas de gestão de risco.</w:t>
      </w:r>
    </w:p>
    <w:p w14:paraId="61B37B4D" w14:textId="77777777" w:rsidR="004C4B34" w:rsidRPr="000C0A34" w:rsidRDefault="004C4B34" w:rsidP="000C0A34">
      <w:pPr>
        <w:spacing w:line="276" w:lineRule="auto"/>
        <w:jc w:val="both"/>
        <w:rPr>
          <w:rFonts w:ascii="Times New Roman" w:hAnsi="Times New Roman" w:cs="Times New Roman"/>
          <w:color w:val="auto"/>
          <w:sz w:val="24"/>
          <w:szCs w:val="24"/>
        </w:rPr>
      </w:pPr>
    </w:p>
    <w:p w14:paraId="7D6F746D" w14:textId="5B3515F6"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 xml:space="preserve">Gestão sustentável da biodiversidade, interface com governança: </w:t>
      </w:r>
      <w:r w:rsidR="004E1A19" w:rsidRPr="000C0A34">
        <w:rPr>
          <w:rFonts w:ascii="Times New Roman" w:hAnsi="Times New Roman" w:cs="Times New Roman"/>
          <w:color w:val="auto"/>
          <w:sz w:val="24"/>
          <w:szCs w:val="24"/>
        </w:rPr>
        <w:t>A governança da biodiversidade em Campo Grande articula o COMDAM (Conselho Municipal de Defesa do Meio Ambiente), a SEMADUR, o IMASUL estadual e o IBAMA federal em torno do licenciamento ambiental e da gestão das unidades de conservação. A participação de representantes de comunidades indígenas e de grupos ambientalistas nessas instâncias é insuficiente para garantir a perspectiva dos grupos mais diretamente afetados pela degradação ambiental.</w:t>
      </w:r>
    </w:p>
    <w:p w14:paraId="37D26738" w14:textId="77777777" w:rsidR="004C4B34" w:rsidRPr="000C0A34" w:rsidRDefault="004C4B34" w:rsidP="000C0A34">
      <w:pPr>
        <w:spacing w:line="276" w:lineRule="auto"/>
        <w:jc w:val="both"/>
        <w:rPr>
          <w:rFonts w:ascii="Times New Roman" w:hAnsi="Times New Roman" w:cs="Times New Roman"/>
          <w:color w:val="auto"/>
          <w:sz w:val="24"/>
          <w:szCs w:val="24"/>
        </w:rPr>
      </w:pPr>
    </w:p>
    <w:p w14:paraId="51C6E6C1" w14:textId="27643A43"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 xml:space="preserve">Acesso à informação de qualidade, interface com governança: </w:t>
      </w:r>
      <w:r w:rsidR="004E1A19" w:rsidRPr="000C0A34">
        <w:rPr>
          <w:rFonts w:ascii="Times New Roman" w:hAnsi="Times New Roman" w:cs="Times New Roman"/>
          <w:color w:val="auto"/>
          <w:sz w:val="24"/>
          <w:szCs w:val="24"/>
        </w:rPr>
        <w:t>O acesso à informação de qualidade sobre saúde, meio ambiente e direitos é uma condição para a participação social qualificada. Em Campo Grande, a dispersão das informações entre portais setoriais sem integração, a ausência de ouvidorias ativas com respostas tempestivas e a baixa cobertura de meios de comunicação locais com jornalismo investigativo sobre políticas públicas são barreiras concretas para a transparência efetiva.</w:t>
      </w:r>
    </w:p>
    <w:p w14:paraId="568F4A5C" w14:textId="77777777" w:rsidR="004C4B34" w:rsidRPr="000C0A34" w:rsidRDefault="004C4B34" w:rsidP="000C0A34">
      <w:pPr>
        <w:spacing w:line="276" w:lineRule="auto"/>
        <w:jc w:val="both"/>
        <w:rPr>
          <w:rFonts w:ascii="Times New Roman" w:hAnsi="Times New Roman" w:cs="Times New Roman"/>
          <w:color w:val="auto"/>
          <w:sz w:val="24"/>
          <w:szCs w:val="24"/>
        </w:rPr>
      </w:pPr>
    </w:p>
    <w:p w14:paraId="7E3355AB" w14:textId="2CB00DE1" w:rsidR="004C4B34" w:rsidRPr="000C0A34" w:rsidRDefault="00001CC6"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 xml:space="preserve">Serviços públicos e proteção social, interface com governança: </w:t>
      </w:r>
      <w:r w:rsidR="004E1A19" w:rsidRPr="000C0A34">
        <w:rPr>
          <w:rFonts w:ascii="Times New Roman" w:hAnsi="Times New Roman" w:cs="Times New Roman"/>
          <w:color w:val="auto"/>
          <w:sz w:val="24"/>
          <w:szCs w:val="24"/>
        </w:rPr>
        <w:t>A governança dos serviços públicos de saúde e proteção social em Campo Grande envolve múltiplos atores: prefeitura, estado, governo federal, organizações sociais contratadas e controle social. A clareza sobre responsabilidades, o monitoramento de resultados e a prestação de contas são atributos que precisam ser continuamente aprimorados. A PICAPS contribui para essa governança ao produzir dados territoriais sobre as condições de vida e saúde que alimentam o planejamento com evidências não disponíveis nos sistemas formais.</w:t>
      </w:r>
    </w:p>
    <w:p w14:paraId="126A69F3" w14:textId="77777777" w:rsidR="004C4B34" w:rsidRPr="000C0A34" w:rsidRDefault="004C4B34" w:rsidP="000C0A34">
      <w:pPr>
        <w:spacing w:line="276" w:lineRule="auto"/>
        <w:jc w:val="both"/>
        <w:rPr>
          <w:rFonts w:ascii="Times New Roman" w:hAnsi="Times New Roman" w:cs="Times New Roman"/>
          <w:color w:val="auto"/>
          <w:sz w:val="24"/>
          <w:szCs w:val="24"/>
        </w:rPr>
      </w:pPr>
    </w:p>
    <w:p w14:paraId="0E761D8A" w14:textId="049E1968" w:rsidR="004C4B34" w:rsidRPr="000C0A34" w:rsidRDefault="009A72D2"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Gestão de riscos e emergências</w:t>
      </w:r>
      <w:r w:rsidR="00001CC6" w:rsidRPr="000C0A34">
        <w:rPr>
          <w:rFonts w:ascii="Times New Roman" w:eastAsiaTheme="majorEastAsia" w:hAnsi="Times New Roman" w:cs="Times New Roman"/>
          <w:b/>
          <w:i/>
          <w:color w:val="auto"/>
          <w:kern w:val="2"/>
          <w:sz w:val="24"/>
          <w:szCs w:val="24"/>
          <w:lang w:eastAsia="en-US"/>
          <w14:ligatures w14:val="standardContextual"/>
        </w:rPr>
        <w:t xml:space="preserve">, </w:t>
      </w:r>
      <w:r w:rsidRPr="000C0A34">
        <w:rPr>
          <w:rFonts w:ascii="Times New Roman" w:eastAsiaTheme="majorEastAsia" w:hAnsi="Times New Roman" w:cs="Times New Roman"/>
          <w:b/>
          <w:i/>
          <w:color w:val="auto"/>
          <w:kern w:val="2"/>
          <w:sz w:val="24"/>
          <w:szCs w:val="24"/>
          <w:lang w:eastAsia="en-US"/>
          <w14:ligatures w14:val="standardContextual"/>
        </w:rPr>
        <w:t>interface com governança</w:t>
      </w:r>
      <w:r w:rsidR="00001CC6" w:rsidRPr="000C0A34">
        <w:rPr>
          <w:rFonts w:ascii="Times New Roman" w:eastAsiaTheme="majorEastAsia" w:hAnsi="Times New Roman" w:cs="Times New Roman"/>
          <w:b/>
          <w:i/>
          <w:color w:val="auto"/>
          <w:kern w:val="2"/>
          <w:sz w:val="24"/>
          <w:szCs w:val="24"/>
          <w:lang w:eastAsia="en-US"/>
          <w14:ligatures w14:val="standardContextual"/>
        </w:rPr>
        <w:t xml:space="preserve">: </w:t>
      </w:r>
      <w:r w:rsidR="004E1A19" w:rsidRPr="000C0A34">
        <w:rPr>
          <w:rFonts w:ascii="Times New Roman" w:hAnsi="Times New Roman" w:cs="Times New Roman"/>
          <w:color w:val="auto"/>
          <w:sz w:val="24"/>
          <w:szCs w:val="24"/>
        </w:rPr>
        <w:t xml:space="preserve">A gestão de emergências em saúde pública em Campo Grande envolve articulação entre SESAU, Defesa Civil, Corpo de Bombeiros, SAMU, hospitais públicos e privados e instâncias estaduais e federais de vigilância em saúde. A coordenação eficaz dessa rede em </w:t>
      </w:r>
      <w:r w:rsidRPr="000C0A34">
        <w:rPr>
          <w:rFonts w:ascii="Times New Roman" w:hAnsi="Times New Roman" w:cs="Times New Roman"/>
          <w:color w:val="auto"/>
          <w:sz w:val="24"/>
          <w:szCs w:val="24"/>
        </w:rPr>
        <w:t>emergência</w:t>
      </w:r>
      <w:r w:rsidR="004E1A19" w:rsidRPr="000C0A34">
        <w:rPr>
          <w:rFonts w:ascii="Times New Roman" w:hAnsi="Times New Roman" w:cs="Times New Roman"/>
          <w:color w:val="auto"/>
          <w:sz w:val="24"/>
          <w:szCs w:val="24"/>
        </w:rPr>
        <w:t xml:space="preserve"> exige protocolos pré-definidos, canais de comunicação funcionantes e exercícios regulares de simulação. A experiência da pandemia mostrou que a capacidade de coordenação existe, mas com lacunas de governança que precisam ser endereçadas no planejamento pós-pandemia.</w:t>
      </w:r>
    </w:p>
    <w:p w14:paraId="6457EF67" w14:textId="77777777" w:rsidR="004C4B34" w:rsidRPr="000C0A34" w:rsidRDefault="004C4B34" w:rsidP="000C0A34">
      <w:pPr>
        <w:spacing w:line="276" w:lineRule="auto"/>
        <w:jc w:val="both"/>
        <w:rPr>
          <w:rFonts w:ascii="Times New Roman" w:hAnsi="Times New Roman" w:cs="Times New Roman"/>
          <w:color w:val="auto"/>
          <w:sz w:val="24"/>
          <w:szCs w:val="24"/>
        </w:rPr>
      </w:pPr>
    </w:p>
    <w:p w14:paraId="553573AC" w14:textId="62A7D2E8" w:rsidR="004C4B34" w:rsidRPr="000C0A34" w:rsidRDefault="009A72D2" w:rsidP="000C0A34">
      <w:pPr>
        <w:spacing w:line="276" w:lineRule="auto"/>
        <w:jc w:val="both"/>
        <w:rPr>
          <w:rFonts w:ascii="Times New Roman" w:hAnsi="Times New Roman" w:cs="Times New Roman"/>
          <w:color w:val="auto"/>
          <w:sz w:val="24"/>
          <w:szCs w:val="24"/>
        </w:rPr>
      </w:pPr>
      <w:r w:rsidRPr="000C0A34">
        <w:rPr>
          <w:rFonts w:ascii="Times New Roman" w:eastAsiaTheme="majorEastAsia" w:hAnsi="Times New Roman" w:cs="Times New Roman"/>
          <w:b/>
          <w:i/>
          <w:color w:val="auto"/>
          <w:kern w:val="2"/>
          <w:sz w:val="24"/>
          <w:szCs w:val="24"/>
          <w:lang w:eastAsia="en-US"/>
          <w14:ligatures w14:val="standardContextual"/>
        </w:rPr>
        <w:t>Recursos financeiros para gestão da biodiversidade</w:t>
      </w:r>
      <w:r w:rsidR="00001CC6" w:rsidRPr="000C0A34">
        <w:rPr>
          <w:rFonts w:ascii="Times New Roman" w:eastAsiaTheme="majorEastAsia" w:hAnsi="Times New Roman" w:cs="Times New Roman"/>
          <w:b/>
          <w:i/>
          <w:color w:val="auto"/>
          <w:kern w:val="2"/>
          <w:sz w:val="24"/>
          <w:szCs w:val="24"/>
          <w:lang w:eastAsia="en-US"/>
          <w14:ligatures w14:val="standardContextual"/>
        </w:rPr>
        <w:t xml:space="preserve">, </w:t>
      </w:r>
      <w:r w:rsidRPr="000C0A34">
        <w:rPr>
          <w:rFonts w:ascii="Times New Roman" w:eastAsiaTheme="majorEastAsia" w:hAnsi="Times New Roman" w:cs="Times New Roman"/>
          <w:b/>
          <w:i/>
          <w:color w:val="auto"/>
          <w:kern w:val="2"/>
          <w:sz w:val="24"/>
          <w:szCs w:val="24"/>
          <w:lang w:eastAsia="en-US"/>
          <w14:ligatures w14:val="standardContextual"/>
        </w:rPr>
        <w:t>interface com governança</w:t>
      </w:r>
      <w:r w:rsidR="00001CC6" w:rsidRPr="000C0A34">
        <w:rPr>
          <w:rFonts w:ascii="Times New Roman" w:eastAsiaTheme="majorEastAsia" w:hAnsi="Times New Roman" w:cs="Times New Roman"/>
          <w:b/>
          <w:i/>
          <w:color w:val="auto"/>
          <w:kern w:val="2"/>
          <w:sz w:val="24"/>
          <w:szCs w:val="24"/>
          <w:lang w:eastAsia="en-US"/>
          <w14:ligatures w14:val="standardContextual"/>
        </w:rPr>
        <w:t xml:space="preserve">: </w:t>
      </w:r>
      <w:r w:rsidR="004E1A19" w:rsidRPr="000C0A34">
        <w:rPr>
          <w:rFonts w:ascii="Times New Roman" w:hAnsi="Times New Roman" w:cs="Times New Roman"/>
          <w:color w:val="auto"/>
          <w:sz w:val="24"/>
          <w:szCs w:val="24"/>
        </w:rPr>
        <w:t>A alocação de recursos públicos para a gestão ambiental municipal é uma decisão de governança que reflete as prioridades políticas do executivo e do legislativo local. O orçamento da SEMADUR e do Fundo Municipal de Meio Ambiente em relação ao orçamento total da prefeitura é um indicador proxy da prioridade atribuída à agenda ambiental. A mobilização da sociedade civil organizada e dos pesquisadores populares PICAPS para monitorar e pressionar por adequação orçamentária é uma expressão concreta do Eixo 6: a voz na mesa que resulta em mais recursos para o território.</w:t>
      </w:r>
    </w:p>
    <w:p w14:paraId="30EC9848" w14:textId="77777777" w:rsidR="009A72D2" w:rsidRPr="000C0A34" w:rsidRDefault="009A72D2" w:rsidP="000C0A34">
      <w:pPr>
        <w:spacing w:before="40" w:line="276" w:lineRule="auto"/>
        <w:jc w:val="both"/>
        <w:rPr>
          <w:rFonts w:ascii="Times New Roman" w:hAnsi="Times New Roman" w:cs="Times New Roman"/>
          <w:color w:val="auto"/>
          <w:sz w:val="24"/>
          <w:szCs w:val="24"/>
        </w:rPr>
        <w:sectPr w:rsidR="009A72D2" w:rsidRPr="000C0A34" w:rsidSect="00AC2725">
          <w:pgSz w:w="11906" w:h="16838"/>
          <w:pgMar w:top="1418" w:right="1418" w:bottom="1418" w:left="1418" w:header="709" w:footer="709" w:gutter="0"/>
          <w:cols w:space="720"/>
          <w:titlePg/>
          <w:docGrid w:linePitch="360"/>
        </w:sectPr>
      </w:pPr>
    </w:p>
    <w:p w14:paraId="460AB3CC" w14:textId="77777777" w:rsidR="004C4B34" w:rsidRPr="000C0A34" w:rsidRDefault="004E1A19" w:rsidP="000C0A34">
      <w:pPr>
        <w:pStyle w:val="Ttulo1"/>
        <w:pBdr>
          <w:bottom w:val="single" w:sz="6" w:space="4" w:color="2E6DA4"/>
        </w:pBdr>
        <w:spacing w:before="0" w:after="0" w:line="276" w:lineRule="auto"/>
        <w:jc w:val="both"/>
        <w:rPr>
          <w:rFonts w:ascii="Times New Roman" w:hAnsi="Times New Roman" w:cs="Times New Roman"/>
          <w:color w:val="auto"/>
          <w:sz w:val="24"/>
          <w:szCs w:val="24"/>
        </w:rPr>
      </w:pPr>
      <w:r w:rsidRPr="000C0A34">
        <w:rPr>
          <w:rFonts w:ascii="Times New Roman" w:hAnsi="Times New Roman" w:cs="Times New Roman"/>
          <w:color w:val="auto"/>
          <w:sz w:val="24"/>
          <w:szCs w:val="24"/>
        </w:rPr>
        <w:t>Notas Metodológicas e Fontes</w:t>
      </w:r>
    </w:p>
    <w:p w14:paraId="23A078A5" w14:textId="77777777" w:rsidR="004C4B34" w:rsidRPr="000C0A34" w:rsidRDefault="004E1A19" w:rsidP="000C0A34">
      <w:pPr>
        <w:spacing w:before="60" w:line="276" w:lineRule="auto"/>
        <w:ind w:firstLine="708"/>
        <w:jc w:val="both"/>
        <w:rPr>
          <w:rFonts w:ascii="Times New Roman" w:hAnsi="Times New Roman" w:cs="Times New Roman"/>
          <w:color w:val="auto"/>
          <w:sz w:val="24"/>
          <w:szCs w:val="24"/>
        </w:rPr>
      </w:pPr>
      <w:r w:rsidRPr="000C0A34">
        <w:rPr>
          <w:rFonts w:ascii="Times New Roman" w:hAnsi="Times New Roman" w:cs="Times New Roman"/>
          <w:color w:val="auto"/>
          <w:sz w:val="24"/>
          <w:szCs w:val="24"/>
        </w:rPr>
        <w:t>O presente Diagnóstico Situacional foi organizado segundo a Matriz de Fatores por Temas Geradores da Pedagogia da Práxis no Território, desenvolvida no âmbito da Plataforma PICAPS / CoLaboratório CTIS da Fiocruz Brasília. A estrutura em seis eixos garante coerência metodológica entre a fase de Investigação do Universo Temático (cartografia social com pesquisadores populares), a fase de análise técnica (diagnóstico situacional com dados secundários) e a fase de planejamento (Plano Popular de Territórios Saudáveis, Sustentáveis e Solidários).</w:t>
      </w:r>
    </w:p>
    <w:p w14:paraId="5E411C1E" w14:textId="05C05119" w:rsidR="004C4B34" w:rsidRPr="000C0A34" w:rsidRDefault="004E1A19" w:rsidP="000C0A34">
      <w:pPr>
        <w:spacing w:before="60" w:line="276" w:lineRule="auto"/>
        <w:ind w:firstLine="708"/>
        <w:jc w:val="both"/>
        <w:rPr>
          <w:rFonts w:ascii="Times New Roman" w:hAnsi="Times New Roman" w:cs="Times New Roman"/>
          <w:color w:val="auto"/>
          <w:sz w:val="24"/>
          <w:szCs w:val="24"/>
        </w:rPr>
      </w:pPr>
      <w:r w:rsidRPr="000C0A34">
        <w:rPr>
          <w:rFonts w:ascii="Times New Roman" w:hAnsi="Times New Roman" w:cs="Times New Roman"/>
          <w:color w:val="auto"/>
          <w:sz w:val="24"/>
          <w:szCs w:val="24"/>
        </w:rPr>
        <w:t>As principais fontes de dados secundários utilizadas foram: IBGE Censo Demográfico 2022; DATASUS (SIM, SINAN, SIH, SI-PNI, SISAB); e-Gestor AB; SNIS/SINISA 2023; Ranking do Saneamento Trata Brasil 2025; Plano Municipal de Saúde de Campo Grande 2022-2025; PRMS Macrorregião Campo Grande 2024; Plano Estadual de Saúde MS 2024-2027; Boletins Epidemiológicos SES-MS 2024-2025; Informe Técnico em Saúde Única</w:t>
      </w:r>
      <w:r w:rsidR="00001CC6" w:rsidRPr="000C0A34">
        <w:rPr>
          <w:rFonts w:ascii="Times New Roman" w:hAnsi="Times New Roman" w:cs="Times New Roman"/>
          <w:color w:val="auto"/>
          <w:sz w:val="24"/>
          <w:szCs w:val="24"/>
        </w:rPr>
        <w:t xml:space="preserve">, </w:t>
      </w:r>
      <w:r w:rsidRPr="000C0A34">
        <w:rPr>
          <w:rFonts w:ascii="Times New Roman" w:hAnsi="Times New Roman" w:cs="Times New Roman"/>
          <w:color w:val="auto"/>
          <w:sz w:val="24"/>
          <w:szCs w:val="24"/>
        </w:rPr>
        <w:t>Leishmaniose Visceral SES-MS 2025; Perfil Socioeconômico de Campo Grande PLANURB 2023; IVS IPEA; e literatura acadêmica recente sobre migração indígena urbana em Campo Grande.</w:t>
      </w:r>
    </w:p>
    <w:p w14:paraId="352AEAEE" w14:textId="3D762CCA" w:rsidR="004C4B34" w:rsidRPr="000C0A34" w:rsidRDefault="004E1A19" w:rsidP="000C0A34">
      <w:pPr>
        <w:spacing w:before="60" w:line="276" w:lineRule="auto"/>
        <w:ind w:firstLine="708"/>
        <w:jc w:val="both"/>
        <w:rPr>
          <w:rFonts w:ascii="Times New Roman" w:hAnsi="Times New Roman" w:cs="Times New Roman"/>
          <w:color w:val="auto"/>
          <w:sz w:val="24"/>
          <w:szCs w:val="24"/>
        </w:rPr>
      </w:pPr>
      <w:r w:rsidRPr="000C0A34">
        <w:rPr>
          <w:rFonts w:ascii="Times New Roman" w:hAnsi="Times New Roman" w:cs="Times New Roman"/>
          <w:color w:val="auto"/>
          <w:sz w:val="24"/>
          <w:szCs w:val="24"/>
        </w:rPr>
        <w:t>Os fatores E4-14 e E4-15 (vida marinha e oceanos) foram analisados em sua dimensão de bacia hidrográfica, dado que Campo Grande não possui acesso direto a ambientes marinhos. A relevância indireta desses fatores decorre da contribuição do Cerrado para os ciclos hidrológicos da bacia do Rio Paraná.</w:t>
      </w:r>
    </w:p>
    <w:sectPr w:rsidR="004C4B34" w:rsidRPr="000C0A34" w:rsidSect="009A72D2">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9441" w14:textId="77777777" w:rsidR="00D11A34" w:rsidRDefault="00D11A34">
      <w:r>
        <w:separator/>
      </w:r>
    </w:p>
  </w:endnote>
  <w:endnote w:type="continuationSeparator" w:id="0">
    <w:p w14:paraId="7CAFEEC8" w14:textId="77777777" w:rsidR="00D11A34" w:rsidRDefault="00D1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07D60" w14:textId="77777777" w:rsidR="00AC2725" w:rsidRDefault="00AC272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5955F" w14:textId="3EEDE01D" w:rsidR="004C4B34" w:rsidRDefault="009A72D2">
    <w:pPr>
      <w:pBdr>
        <w:top w:val="single" w:sz="4" w:space="3" w:color="2E6DA4"/>
      </w:pBdr>
      <w:tabs>
        <w:tab w:val="right" w:pos="8500"/>
      </w:tabs>
    </w:pPr>
    <w:r>
      <w:rPr>
        <w:noProof/>
      </w:rPr>
      <w:drawing>
        <wp:anchor distT="0" distB="0" distL="0" distR="0" simplePos="0" relativeHeight="251661312" behindDoc="1" locked="0" layoutInCell="1" allowOverlap="1" wp14:anchorId="23BC7ADD" wp14:editId="2A4473F5">
          <wp:simplePos x="0" y="0"/>
          <wp:positionH relativeFrom="margin">
            <wp:align>center</wp:align>
          </wp:positionH>
          <wp:positionV relativeFrom="page">
            <wp:posOffset>10052050</wp:posOffset>
          </wp:positionV>
          <wp:extent cx="6297548" cy="457076"/>
          <wp:effectExtent l="0" t="0" r="0" b="635"/>
          <wp:wrapNone/>
          <wp:docPr id="701747947"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6297548" cy="457076"/>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A8C3" w14:textId="77777777" w:rsidR="00AC2725" w:rsidRDefault="00AC272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F2FA3" w14:textId="77777777" w:rsidR="00D11A34" w:rsidRDefault="00D11A34">
      <w:r>
        <w:separator/>
      </w:r>
    </w:p>
  </w:footnote>
  <w:footnote w:type="continuationSeparator" w:id="0">
    <w:p w14:paraId="14D1AE68" w14:textId="77777777" w:rsidR="00D11A34" w:rsidRDefault="00D11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818A" w14:textId="77777777" w:rsidR="00AC2725" w:rsidRDefault="00AC272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344D" w14:textId="69965AD2" w:rsidR="004C4B34" w:rsidRPr="009A72D2" w:rsidRDefault="00F247D3" w:rsidP="009A72D2">
    <w:pPr>
      <w:pStyle w:val="Cabealho"/>
    </w:pPr>
    <w:sdt>
      <w:sdtPr>
        <w:id w:val="-1873986990"/>
        <w:docPartObj>
          <w:docPartGallery w:val="Page Numbers (Margins)"/>
          <w:docPartUnique/>
        </w:docPartObj>
      </w:sdtPr>
      <w:sdtEndPr/>
      <w:sdtContent>
        <w:r w:rsidR="00AC2725">
          <w:rPr>
            <w:noProof/>
          </w:rPr>
          <mc:AlternateContent>
            <mc:Choice Requires="wps">
              <w:drawing>
                <wp:anchor distT="0" distB="0" distL="114300" distR="114300" simplePos="0" relativeHeight="251663360" behindDoc="0" locked="0" layoutInCell="0" allowOverlap="1" wp14:anchorId="5F3C13F8" wp14:editId="1AF02E77">
                  <wp:simplePos x="0" y="0"/>
                  <wp:positionH relativeFrom="rightMargin">
                    <wp:align>center</wp:align>
                  </wp:positionH>
                  <wp:positionV relativeFrom="page">
                    <wp:align>center</wp:align>
                  </wp:positionV>
                  <wp:extent cx="762000" cy="895350"/>
                  <wp:effectExtent l="0" t="0" r="0" b="0"/>
                  <wp:wrapNone/>
                  <wp:docPr id="1411930193"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eastAsiaTheme="majorEastAsia" w:hAnsi="Times New Roman" w:cs="Times New Roman"/>
                                  <w:sz w:val="24"/>
                                  <w:szCs w:val="24"/>
                                </w:rPr>
                                <w:id w:val="-1807150379"/>
                                <w:docPartObj>
                                  <w:docPartGallery w:val="Page Numbers (Margins)"/>
                                  <w:docPartUnique/>
                                </w:docPartObj>
                              </w:sdtPr>
                              <w:sdtEndPr/>
                              <w:sdtContent>
                                <w:p w14:paraId="02A28103" w14:textId="2F3C07C3" w:rsidR="00AC2725" w:rsidRPr="00AC2725" w:rsidRDefault="00AC2725" w:rsidP="00AC2725">
                                  <w:pPr>
                                    <w:jc w:val="center"/>
                                    <w:rPr>
                                      <w:rFonts w:ascii="Times New Roman" w:eastAsiaTheme="majorEastAsia" w:hAnsi="Times New Roman" w:cs="Times New Roman"/>
                                      <w:sz w:val="24"/>
                                      <w:szCs w:val="24"/>
                                    </w:rPr>
                                  </w:pPr>
                                  <w:r w:rsidRPr="00AC2725">
                                    <w:rPr>
                                      <w:rFonts w:ascii="Times New Roman" w:eastAsiaTheme="minorEastAsia" w:hAnsi="Times New Roman" w:cs="Times New Roman"/>
                                      <w:sz w:val="24"/>
                                      <w:szCs w:val="24"/>
                                    </w:rPr>
                                    <w:fldChar w:fldCharType="begin"/>
                                  </w:r>
                                  <w:r w:rsidRPr="00AC2725">
                                    <w:rPr>
                                      <w:rFonts w:ascii="Times New Roman" w:hAnsi="Times New Roman" w:cs="Times New Roman"/>
                                      <w:sz w:val="24"/>
                                      <w:szCs w:val="24"/>
                                    </w:rPr>
                                    <w:instrText>PAGE  \* MERGEFORMAT</w:instrText>
                                  </w:r>
                                  <w:r w:rsidRPr="00AC2725">
                                    <w:rPr>
                                      <w:rFonts w:ascii="Times New Roman" w:eastAsiaTheme="minorEastAsia" w:hAnsi="Times New Roman" w:cs="Times New Roman"/>
                                      <w:sz w:val="24"/>
                                      <w:szCs w:val="24"/>
                                    </w:rPr>
                                    <w:fldChar w:fldCharType="separate"/>
                                  </w:r>
                                  <w:r w:rsidRPr="00AC2725">
                                    <w:rPr>
                                      <w:rFonts w:ascii="Times New Roman" w:eastAsiaTheme="majorEastAsia" w:hAnsi="Times New Roman" w:cs="Times New Roman"/>
                                      <w:sz w:val="24"/>
                                      <w:szCs w:val="24"/>
                                    </w:rPr>
                                    <w:t>2</w:t>
                                  </w:r>
                                  <w:r w:rsidRPr="00AC2725">
                                    <w:rPr>
                                      <w:rFonts w:ascii="Times New Roman" w:eastAsiaTheme="majorEastAsia" w:hAnsi="Times New Roman" w:cs="Times New Roman"/>
                                      <w:sz w:val="24"/>
                                      <w:szCs w:val="24"/>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C13F8" id="Retângulo 1" o:spid="_x0000_s1026" style="position:absolute;margin-left:0;margin-top:0;width:60pt;height:70.5pt;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page;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" o:allowincell="f" stroked="f">
                  <v:textbox>
                    <w:txbxContent>
                      <w:sdt>
                        <w:sdtPr>
                          <w:rPr>
                            <w:rFonts w:ascii="Times New Roman" w:eastAsiaTheme="majorEastAsia" w:hAnsi="Times New Roman" w:cs="Times New Roman"/>
                            <w:sz w:val="24"/>
                            <w:szCs w:val="24"/>
                          </w:rPr>
                          <w:id w:val="-1807150379"/>
                          <w:docPartObj>
                            <w:docPartGallery w:val="Page Numbers (Margins)"/>
                            <w:docPartUnique/>
                          </w:docPartObj>
                        </w:sdtPr>
                        <w:sdtEndPr/>
                        <w:sdtContent>
                          <w:p w14:paraId="02A28103" w14:textId="2F3C07C3" w:rsidR="00AC2725" w:rsidRPr="00AC2725" w:rsidRDefault="00AC2725" w:rsidP="00AC2725">
                            <w:pPr>
                              <w:jc w:val="center"/>
                              <w:rPr>
                                <w:rFonts w:ascii="Times New Roman" w:eastAsiaTheme="majorEastAsia" w:hAnsi="Times New Roman" w:cs="Times New Roman"/>
                                <w:sz w:val="24"/>
                                <w:szCs w:val="24"/>
                              </w:rPr>
                            </w:pPr>
                            <w:r w:rsidRPr="00AC2725">
                              <w:rPr>
                                <w:rFonts w:ascii="Times New Roman" w:eastAsiaTheme="minorEastAsia" w:hAnsi="Times New Roman" w:cs="Times New Roman"/>
                                <w:sz w:val="24"/>
                                <w:szCs w:val="24"/>
                              </w:rPr>
                              <w:fldChar w:fldCharType="begin"/>
                            </w:r>
                            <w:r w:rsidRPr="00AC2725">
                              <w:rPr>
                                <w:rFonts w:ascii="Times New Roman" w:hAnsi="Times New Roman" w:cs="Times New Roman"/>
                                <w:sz w:val="24"/>
                                <w:szCs w:val="24"/>
                              </w:rPr>
                              <w:instrText>PAGE  \* MERGEFORMAT</w:instrText>
                            </w:r>
                            <w:r w:rsidRPr="00AC2725">
                              <w:rPr>
                                <w:rFonts w:ascii="Times New Roman" w:eastAsiaTheme="minorEastAsia" w:hAnsi="Times New Roman" w:cs="Times New Roman"/>
                                <w:sz w:val="24"/>
                                <w:szCs w:val="24"/>
                              </w:rPr>
                              <w:fldChar w:fldCharType="separate"/>
                            </w:r>
                            <w:r w:rsidRPr="00AC2725">
                              <w:rPr>
                                <w:rFonts w:ascii="Times New Roman" w:eastAsiaTheme="majorEastAsia" w:hAnsi="Times New Roman" w:cs="Times New Roman"/>
                                <w:sz w:val="24"/>
                                <w:szCs w:val="24"/>
                              </w:rPr>
                              <w:t>2</w:t>
                            </w:r>
                            <w:r w:rsidRPr="00AC2725">
                              <w:rPr>
                                <w:rFonts w:ascii="Times New Roman" w:eastAsiaTheme="majorEastAsia" w:hAnsi="Times New Roman" w:cs="Times New Roman"/>
                                <w:sz w:val="24"/>
                                <w:szCs w:val="24"/>
                              </w:rPr>
                              <w:fldChar w:fldCharType="end"/>
                            </w:r>
                          </w:p>
                        </w:sdtContent>
                      </w:sdt>
                    </w:txbxContent>
                  </v:textbox>
                  <w10:wrap anchorx="margin" anchory="page"/>
                </v:rect>
              </w:pict>
            </mc:Fallback>
          </mc:AlternateContent>
        </w:r>
      </w:sdtContent>
    </w:sdt>
    <w:r w:rsidR="009A72D2">
      <w:rPr>
        <w:noProof/>
      </w:rPr>
      <mc:AlternateContent>
        <mc:Choice Requires="wpg">
          <w:drawing>
            <wp:anchor distT="0" distB="0" distL="0" distR="0" simplePos="0" relativeHeight="251659264" behindDoc="1" locked="0" layoutInCell="1" allowOverlap="1" wp14:anchorId="31170D5C" wp14:editId="76EE726D">
              <wp:simplePos x="0" y="0"/>
              <wp:positionH relativeFrom="page">
                <wp:align>right</wp:align>
              </wp:positionH>
              <wp:positionV relativeFrom="page">
                <wp:align>top</wp:align>
              </wp:positionV>
              <wp:extent cx="1459230" cy="977265"/>
              <wp:effectExtent l="0" t="0" r="762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9230" cy="977265"/>
                        <a:chOff x="0" y="0"/>
                        <a:chExt cx="1459230" cy="977265"/>
                      </a:xfrm>
                    </wpg:grpSpPr>
                    <pic:pic xmlns:pic="http://schemas.openxmlformats.org/drawingml/2006/picture">
                      <pic:nvPicPr>
                        <pic:cNvPr id="14" name="Image 14"/>
                        <pic:cNvPicPr/>
                      </pic:nvPicPr>
                      <pic:blipFill>
                        <a:blip r:embed="rId1" cstate="print"/>
                        <a:stretch>
                          <a:fillRect/>
                        </a:stretch>
                      </pic:blipFill>
                      <pic:spPr>
                        <a:xfrm>
                          <a:off x="0" y="0"/>
                          <a:ext cx="1458849" cy="977265"/>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414655" y="352425"/>
                          <a:ext cx="452615" cy="383540"/>
                        </a:xfrm>
                        <a:prstGeom prst="rect">
                          <a:avLst/>
                        </a:prstGeom>
                      </pic:spPr>
                    </pic:pic>
                  </wpg:wgp>
                </a:graphicData>
              </a:graphic>
            </wp:anchor>
          </w:drawing>
        </mc:Choice>
        <mc:Fallback>
          <w:pict>
            <v:group w14:anchorId="088E69A5" id="Group 13" o:spid="_x0000_s1026" style="position:absolute;margin-left:63.7pt;margin-top:0;width:114.9pt;height:76.95pt;z-index:-251657216;mso-wrap-distance-left:0;mso-wrap-distance-right:0;mso-position-horizontal:right;mso-position-horizontal-relative:page;mso-position-vertical:top;mso-position-vertical-relative:page" coordsize="14592,9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14588;height:9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">
                <v:imagedata r:id="rId3" o:title=""/>
              </v:shape>
              <v:shape id="Image 15" o:spid="_x0000_s1028" type="#_x0000_t75" style="position:absolute;left:4146;top:3524;width:4526;height:3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">
                <v:imagedata r:id="rId4"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311B" w14:textId="77777777" w:rsidR="00AC2725" w:rsidRDefault="00AC272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20FDB"/>
    <w:multiLevelType w:val="hybridMultilevel"/>
    <w:tmpl w:val="DF86A2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EA22DD8"/>
    <w:multiLevelType w:val="hybridMultilevel"/>
    <w:tmpl w:val="FFFFFFFF"/>
    <w:lvl w:ilvl="0" w:tplc="00EC943C">
      <w:start w:val="1"/>
      <w:numFmt w:val="bullet"/>
      <w:lvlText w:val="●"/>
      <w:lvlJc w:val="left"/>
      <w:pPr>
        <w:ind w:left="720" w:hanging="360"/>
      </w:pPr>
    </w:lvl>
    <w:lvl w:ilvl="1" w:tplc="2B861408">
      <w:start w:val="1"/>
      <w:numFmt w:val="bullet"/>
      <w:lvlText w:val="○"/>
      <w:lvlJc w:val="left"/>
      <w:pPr>
        <w:ind w:left="1440" w:hanging="360"/>
      </w:pPr>
    </w:lvl>
    <w:lvl w:ilvl="2" w:tplc="D982E0C6">
      <w:start w:val="1"/>
      <w:numFmt w:val="bullet"/>
      <w:lvlText w:val="■"/>
      <w:lvlJc w:val="left"/>
      <w:pPr>
        <w:ind w:left="2160" w:hanging="360"/>
      </w:pPr>
    </w:lvl>
    <w:lvl w:ilvl="3" w:tplc="C334404A">
      <w:start w:val="1"/>
      <w:numFmt w:val="bullet"/>
      <w:lvlText w:val="●"/>
      <w:lvlJc w:val="left"/>
      <w:pPr>
        <w:ind w:left="2880" w:hanging="360"/>
      </w:pPr>
    </w:lvl>
    <w:lvl w:ilvl="4" w:tplc="BFA47478">
      <w:start w:val="1"/>
      <w:numFmt w:val="bullet"/>
      <w:lvlText w:val="○"/>
      <w:lvlJc w:val="left"/>
      <w:pPr>
        <w:ind w:left="3600" w:hanging="360"/>
      </w:pPr>
    </w:lvl>
    <w:lvl w:ilvl="5" w:tplc="90B4E828">
      <w:start w:val="1"/>
      <w:numFmt w:val="bullet"/>
      <w:lvlText w:val="■"/>
      <w:lvlJc w:val="left"/>
      <w:pPr>
        <w:ind w:left="4320" w:hanging="360"/>
      </w:pPr>
    </w:lvl>
    <w:lvl w:ilvl="6" w:tplc="FE548872">
      <w:start w:val="1"/>
      <w:numFmt w:val="bullet"/>
      <w:lvlText w:val="●"/>
      <w:lvlJc w:val="left"/>
      <w:pPr>
        <w:ind w:left="5040" w:hanging="360"/>
      </w:pPr>
    </w:lvl>
    <w:lvl w:ilvl="7" w:tplc="1A3CD33C">
      <w:start w:val="1"/>
      <w:numFmt w:val="bullet"/>
      <w:lvlText w:val="●"/>
      <w:lvlJc w:val="left"/>
      <w:pPr>
        <w:ind w:left="5760" w:hanging="360"/>
      </w:pPr>
    </w:lvl>
    <w:lvl w:ilvl="8" w:tplc="4AA2AD76">
      <w:start w:val="1"/>
      <w:numFmt w:val="bullet"/>
      <w:lvlText w:val="●"/>
      <w:lvlJc w:val="left"/>
      <w:pPr>
        <w:ind w:left="6480" w:hanging="360"/>
      </w:pPr>
    </w:lvl>
  </w:abstractNum>
  <w:num w:numId="1" w16cid:durableId="21784297">
    <w:abstractNumId w:val="1"/>
    <w:lvlOverride w:ilvl="0">
      <w:startOverride w:val="1"/>
    </w:lvlOverride>
  </w:num>
  <w:num w:numId="2" w16cid:durableId="63591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B34"/>
    <w:rsid w:val="00001CC6"/>
    <w:rsid w:val="000C0A34"/>
    <w:rsid w:val="000D6317"/>
    <w:rsid w:val="000D7ADA"/>
    <w:rsid w:val="000E4A82"/>
    <w:rsid w:val="001674A2"/>
    <w:rsid w:val="001B65F0"/>
    <w:rsid w:val="002728B3"/>
    <w:rsid w:val="002A0BA2"/>
    <w:rsid w:val="0034227D"/>
    <w:rsid w:val="00354477"/>
    <w:rsid w:val="0036380B"/>
    <w:rsid w:val="00496DE3"/>
    <w:rsid w:val="004C08BE"/>
    <w:rsid w:val="004C4B34"/>
    <w:rsid w:val="004E1A19"/>
    <w:rsid w:val="00567EBB"/>
    <w:rsid w:val="005A172D"/>
    <w:rsid w:val="005B4AD4"/>
    <w:rsid w:val="005B7610"/>
    <w:rsid w:val="00633AA0"/>
    <w:rsid w:val="006A7525"/>
    <w:rsid w:val="00773200"/>
    <w:rsid w:val="00773547"/>
    <w:rsid w:val="007C3754"/>
    <w:rsid w:val="007E55C4"/>
    <w:rsid w:val="007F075C"/>
    <w:rsid w:val="008A4979"/>
    <w:rsid w:val="00986F34"/>
    <w:rsid w:val="009A72D2"/>
    <w:rsid w:val="009B593E"/>
    <w:rsid w:val="00A213A5"/>
    <w:rsid w:val="00A303F2"/>
    <w:rsid w:val="00A471F1"/>
    <w:rsid w:val="00A52AE3"/>
    <w:rsid w:val="00AC2725"/>
    <w:rsid w:val="00B24AE0"/>
    <w:rsid w:val="00B66868"/>
    <w:rsid w:val="00C14631"/>
    <w:rsid w:val="00C54143"/>
    <w:rsid w:val="00C843D9"/>
    <w:rsid w:val="00D11A34"/>
    <w:rsid w:val="00D15B05"/>
    <w:rsid w:val="00DB4643"/>
    <w:rsid w:val="00DB64C3"/>
    <w:rsid w:val="00E91F55"/>
    <w:rsid w:val="00F71363"/>
    <w:rsid w:val="00FF1E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2FA39"/>
  <w15:docId w15:val="{F8CE63F2-B79C-7B41-9199-B4FCB53C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748"/>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spacing w:before="360" w:after="180"/>
      <w:outlineLvl w:val="0"/>
    </w:pPr>
    <w:rPr>
      <w:b/>
      <w:bCs/>
      <w:color w:val="1A3A5C"/>
      <w:sz w:val="28"/>
      <w:szCs w:val="28"/>
    </w:rPr>
  </w:style>
  <w:style w:type="paragraph" w:styleId="Ttulo2">
    <w:name w:val="heading 2"/>
    <w:link w:val="Ttulo2Ch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9A72D2"/>
    <w:pPr>
      <w:tabs>
        <w:tab w:val="center" w:pos="4252"/>
        <w:tab w:val="right" w:pos="8504"/>
      </w:tabs>
    </w:pPr>
  </w:style>
  <w:style w:type="character" w:customStyle="1" w:styleId="CabealhoChar">
    <w:name w:val="Cabeçalho Char"/>
    <w:basedOn w:val="Fontepargpadro"/>
    <w:link w:val="Cabealho"/>
    <w:uiPriority w:val="99"/>
    <w:rsid w:val="009A72D2"/>
  </w:style>
  <w:style w:type="paragraph" w:styleId="Rodap">
    <w:name w:val="footer"/>
    <w:basedOn w:val="Normal"/>
    <w:link w:val="RodapChar"/>
    <w:uiPriority w:val="99"/>
    <w:unhideWhenUsed/>
    <w:rsid w:val="009A72D2"/>
    <w:pPr>
      <w:tabs>
        <w:tab w:val="center" w:pos="4252"/>
        <w:tab w:val="right" w:pos="8504"/>
      </w:tabs>
    </w:pPr>
  </w:style>
  <w:style w:type="character" w:customStyle="1" w:styleId="RodapChar">
    <w:name w:val="Rodapé Char"/>
    <w:basedOn w:val="Fontepargpadro"/>
    <w:link w:val="Rodap"/>
    <w:uiPriority w:val="99"/>
    <w:rsid w:val="009A72D2"/>
  </w:style>
  <w:style w:type="character" w:customStyle="1" w:styleId="Ttulo1Char">
    <w:name w:val="Título 1 Char"/>
    <w:basedOn w:val="Fontepargpadro"/>
    <w:link w:val="Ttulo1"/>
    <w:uiPriority w:val="9"/>
    <w:rsid w:val="009A72D2"/>
    <w:rPr>
      <w:b/>
      <w:bCs/>
      <w:color w:val="1A3A5C"/>
      <w:sz w:val="28"/>
      <w:szCs w:val="28"/>
    </w:rPr>
  </w:style>
  <w:style w:type="paragraph" w:styleId="CabealhodoSumrio">
    <w:name w:val="TOC Heading"/>
    <w:basedOn w:val="Ttulo1"/>
    <w:next w:val="Normal"/>
    <w:uiPriority w:val="39"/>
    <w:unhideWhenUsed/>
    <w:qFormat/>
    <w:rsid w:val="009A72D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9A72D2"/>
    <w:pPr>
      <w:spacing w:after="100"/>
    </w:pPr>
  </w:style>
  <w:style w:type="character" w:customStyle="1" w:styleId="Ttulo2Char">
    <w:name w:val="Título 2 Char"/>
    <w:basedOn w:val="Fontepargpadro"/>
    <w:link w:val="Ttulo2"/>
    <w:uiPriority w:val="9"/>
    <w:rsid w:val="009A72D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_rels/footer2.xml.rels><?xml version="1.0" encoding="UTF-8" standalone="yes"?>
<Relationships xmlns="http://schemas.openxmlformats.org/package/2006/relationships"><Relationship Id="rId1" Type="http://schemas.openxmlformats.org/officeDocument/2006/relationships/image" Target="media/image5.png" /></Relationships>
</file>

<file path=word/_rels/header2.xml.rels><?xml version="1.0" encoding="UTF-8" standalone="yes"?>
<Relationships xmlns="http://schemas.openxmlformats.org/package/2006/relationships"><Relationship Id="rId3" Type="http://schemas.openxmlformats.org/officeDocument/2006/relationships/image" Target="media/image3.png" /><Relationship Id="rId2" Type="http://schemas.openxmlformats.org/officeDocument/2006/relationships/image" Target="media/image2.png" /><Relationship Id="rId1" Type="http://schemas.openxmlformats.org/officeDocument/2006/relationships/image" Target="media/image1.png" /><Relationship Id="rId4" Type="http://schemas.openxmlformats.org/officeDocument/2006/relationships/image" Target="media/image4.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512"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D982D4-4A6D-4613-9E3D-2928E8B2C03E}">
  <we:reference id="WA200010453" version="1.0.0.1" store="Omex" storeType="OMEX"/>
  <we:alternateReferences>
    <we:reference id="WA200010453" version="1.0.0.1" store="WA200010453" storeType="OMEX"/>
  </we:alternateReferences>
  <we:properties>
    <we:property name="claude.fileId" value="&quot;ef879c62-8695-4b15-a321-db4a199a8e3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7477B-2625-4CAC-85F5-FF8F40220D8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12775</Words>
  <Characters>68988</Characters>
  <Application>Microsoft Office Word</Application>
  <DocSecurity>0</DocSecurity>
  <Lines>574</Lines>
  <Paragraphs>163</Paragraphs>
  <ScaleCrop>false</ScaleCrop>
  <Company/>
  <LinksUpToDate>false</LinksUpToDate>
  <CharactersWithSpaces>81600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Fernanda Machiner</cp:lastModifiedBy>
  <cp:revision>2</cp:revision>
  <cp:lastPrinted>2026-04-30T16:05:00Z</cp:lastPrinted>
  <dcterms:created xsi:type="dcterms:W3CDTF">2026-10-19T23:45:00Z</dcterms:created>
  <dcterms:modified xsi:type="dcterms:W3CDTF">2026-10-19T23:45:00Z</dcterms:modified>
</cp:coreProperties>
</file>