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37112" w14:textId="77777777" w:rsidR="00D16019" w:rsidRDefault="00000000">
      <w:pPr>
        <w:spacing w:before="1300" w:after="120" w:line="276" w:lineRule="auto"/>
        <w:jc w:val="center"/>
      </w:pPr>
      <w:r>
        <w:rPr>
          <w:color w:val="2E6DA4"/>
        </w:rPr>
        <w:t>PLATAFORMA DE INTELIGÊNCIA COOPERATIVA COM A ATENÇÃO PRIMÁRIA À SAÚDE</w:t>
      </w:r>
    </w:p>
    <w:p w14:paraId="0915AC90" w14:textId="77777777" w:rsidR="00D16019" w:rsidRDefault="00000000">
      <w:pPr>
        <w:spacing w:before="60" w:after="120" w:line="276" w:lineRule="auto"/>
        <w:jc w:val="center"/>
      </w:pPr>
      <w:r>
        <w:rPr>
          <w:color w:val="4A5568"/>
          <w:sz w:val="20"/>
          <w:szCs w:val="20"/>
        </w:rPr>
        <w:t>CoLaboratório de Ciência, Tecnologia, Inovação e Sociedade, CTIS | Fiocruz Brasília</w:t>
      </w:r>
    </w:p>
    <w:p w14:paraId="1F89CEE1" w14:textId="77777777" w:rsidR="00D16019" w:rsidRDefault="00000000">
      <w:pPr>
        <w:pBdr>
          <w:bottom w:val="single" w:sz="14" w:space="10" w:color="1A3A5C"/>
        </w:pBdr>
        <w:spacing w:before="400" w:after="140"/>
        <w:jc w:val="center"/>
      </w:pPr>
      <w:r>
        <w:rPr>
          <w:b/>
          <w:bCs/>
          <w:color w:val="1A3A5C"/>
          <w:sz w:val="44"/>
          <w:szCs w:val="44"/>
        </w:rPr>
        <w:t>DIAGNÓSTICO SITUACIONAL</w:t>
      </w:r>
    </w:p>
    <w:p w14:paraId="04D25AEB" w14:textId="77777777" w:rsidR="00D16019" w:rsidRDefault="00000000">
      <w:pPr>
        <w:spacing w:before="360" w:after="120" w:line="276" w:lineRule="auto"/>
        <w:jc w:val="center"/>
      </w:pPr>
      <w:r>
        <w:rPr>
          <w:b/>
          <w:bCs/>
          <w:color w:val="2E6DA4"/>
          <w:sz w:val="56"/>
          <w:szCs w:val="56"/>
        </w:rPr>
        <w:t>CAMPO GRANDE</w:t>
      </w:r>
    </w:p>
    <w:p w14:paraId="14F6A04C" w14:textId="77777777" w:rsidR="00D16019" w:rsidRDefault="00000000">
      <w:pPr>
        <w:spacing w:before="60" w:after="120" w:line="276" w:lineRule="auto"/>
        <w:jc w:val="center"/>
      </w:pPr>
      <w:r>
        <w:rPr>
          <w:color w:val="4A5568"/>
          <w:sz w:val="30"/>
          <w:szCs w:val="30"/>
        </w:rPr>
        <w:t>Mato Grosso do Sul</w:t>
      </w:r>
    </w:p>
    <w:p w14:paraId="54703C8E" w14:textId="77777777" w:rsidR="00D16019" w:rsidRDefault="00000000">
      <w:pPr>
        <w:spacing w:before="200" w:after="300" w:line="276" w:lineRule="auto"/>
        <w:jc w:val="center"/>
      </w:pPr>
      <w:r>
        <w:rPr>
          <w:i/>
          <w:iCs/>
          <w:color w:val="4A5568"/>
          <w:sz w:val="20"/>
          <w:szCs w:val="20"/>
        </w:rPr>
        <w:t>Capital estadual | 898.100 habitantes (Censo 2022) | 970.843 habitantes estimados (IBGE, 2026) | 8.082,33 km² | 111,11 hab./km²</w:t>
      </w:r>
    </w:p>
    <w:p w14:paraId="70CFEF38" w14:textId="77777777" w:rsidR="00D16019" w:rsidRDefault="00000000">
      <w:pPr>
        <w:spacing w:before="60" w:after="120" w:line="276" w:lineRule="auto"/>
        <w:jc w:val="center"/>
      </w:pPr>
      <w:r>
        <w:rPr>
          <w:i/>
          <w:iCs/>
          <w:color w:val="4A5568"/>
          <w:sz w:val="21"/>
          <w:szCs w:val="21"/>
        </w:rPr>
        <w:t>Organizado pelos seis Temas Geradores da Pedagogia da Práxis no Território e pelos 150 fatores da Matriz de Fatores v1.0.2</w:t>
      </w:r>
    </w:p>
    <w:p w14:paraId="7A5FE431" w14:textId="77777777" w:rsidR="00D16019" w:rsidRDefault="00000000">
      <w:pPr>
        <w:pStyle w:val="Ttulo1"/>
        <w:pageBreakBefore/>
        <w:pBdr>
          <w:bottom w:val="single" w:sz="6" w:space="4" w:color="2E6DA4"/>
        </w:pBdr>
        <w:spacing w:after="200"/>
      </w:pPr>
      <w:r>
        <w:lastRenderedPageBreak/>
        <w:t>Resumo executivo</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300"/>
        <w:gridCol w:w="900"/>
        <w:gridCol w:w="5254"/>
      </w:tblGrid>
      <w:tr w:rsidR="00D16019" w14:paraId="34289083" w14:textId="77777777">
        <w:trPr>
          <w:tblHeader/>
        </w:trPr>
        <w:tc>
          <w:tcPr>
            <w:tcW w:w="9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4BC21EF7" w14:textId="77777777" w:rsidR="00D16019" w:rsidRDefault="00000000">
            <w:pPr>
              <w:spacing w:before="10" w:after="10"/>
              <w:jc w:val="center"/>
            </w:pPr>
            <w:r>
              <w:rPr>
                <w:b/>
                <w:bCs/>
                <w:color w:val="FFFFFF"/>
                <w:sz w:val="19"/>
                <w:szCs w:val="19"/>
              </w:rPr>
              <w:t>Eixo</w:t>
            </w:r>
          </w:p>
        </w:tc>
        <w:tc>
          <w:tcPr>
            <w:tcW w:w="23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712ACA9C" w14:textId="77777777" w:rsidR="00D16019" w:rsidRDefault="00000000">
            <w:pPr>
              <w:spacing w:before="10" w:after="10"/>
              <w:jc w:val="center"/>
            </w:pPr>
            <w:r>
              <w:rPr>
                <w:b/>
                <w:bCs/>
                <w:color w:val="FFFFFF"/>
                <w:sz w:val="19"/>
                <w:szCs w:val="19"/>
              </w:rPr>
              <w:t>Tema gerador</w:t>
            </w:r>
          </w:p>
        </w:tc>
        <w:tc>
          <w:tcPr>
            <w:tcW w:w="9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11ABBD8F" w14:textId="77777777" w:rsidR="00D16019" w:rsidRDefault="00000000">
            <w:pPr>
              <w:spacing w:before="10" w:after="10"/>
              <w:jc w:val="center"/>
            </w:pPr>
            <w:r>
              <w:rPr>
                <w:b/>
                <w:bCs/>
                <w:color w:val="FFFFFF"/>
                <w:sz w:val="19"/>
                <w:szCs w:val="19"/>
              </w:rPr>
              <w:t>Fatores</w:t>
            </w:r>
          </w:p>
        </w:tc>
        <w:tc>
          <w:tcPr>
            <w:tcW w:w="5254"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0493C63C" w14:textId="77777777" w:rsidR="00D16019" w:rsidRDefault="00000000">
            <w:pPr>
              <w:spacing w:before="10" w:after="10"/>
              <w:jc w:val="center"/>
            </w:pPr>
            <w:r>
              <w:rPr>
                <w:b/>
                <w:bCs/>
                <w:color w:val="FFFFFF"/>
                <w:sz w:val="19"/>
                <w:szCs w:val="19"/>
              </w:rPr>
              <w:t>Contradição central</w:t>
            </w:r>
          </w:p>
        </w:tc>
      </w:tr>
      <w:tr w:rsidR="00D16019" w14:paraId="4CD1543D" w14:textId="77777777">
        <w:trPr>
          <w:cantSplit/>
        </w:trPr>
        <w:tc>
          <w:tcPr>
            <w:tcW w:w="9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133CCB95" w14:textId="77777777" w:rsidR="00D16019" w:rsidRDefault="00000000">
            <w:pPr>
              <w:spacing w:before="10" w:after="10"/>
            </w:pPr>
            <w:r>
              <w:rPr>
                <w:b/>
                <w:bCs/>
                <w:color w:val="1A3A5C"/>
                <w:sz w:val="19"/>
                <w:szCs w:val="19"/>
              </w:rPr>
              <w:t>Eixo 1</w:t>
            </w:r>
          </w:p>
        </w:tc>
        <w:tc>
          <w:tcPr>
            <w:tcW w:w="23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1E5ACC60" w14:textId="77777777" w:rsidR="00D16019" w:rsidRDefault="00000000">
            <w:pPr>
              <w:spacing w:before="10" w:after="10"/>
            </w:pPr>
            <w:r>
              <w:rPr>
                <w:sz w:val="19"/>
                <w:szCs w:val="19"/>
              </w:rPr>
              <w:t>O Suor que não nos Sustenta</w:t>
            </w:r>
          </w:p>
        </w:tc>
        <w:tc>
          <w:tcPr>
            <w:tcW w:w="9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1C5F5006" w14:textId="77777777" w:rsidR="00D16019" w:rsidRPr="006F4933" w:rsidRDefault="00000000" w:rsidP="006F4933">
            <w:pPr>
              <w:spacing w:before="10" w:after="10"/>
              <w:jc w:val="center"/>
              <w:rPr>
                <w:b/>
                <w:bCs/>
              </w:rPr>
            </w:pPr>
            <w:r w:rsidRPr="006F4933">
              <w:rPr>
                <w:b/>
                <w:bCs/>
                <w:sz w:val="19"/>
                <w:szCs w:val="19"/>
              </w:rPr>
              <w:t>29</w:t>
            </w:r>
          </w:p>
        </w:tc>
        <w:tc>
          <w:tcPr>
            <w:tcW w:w="5254"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0F8DC528" w14:textId="77777777" w:rsidR="00D16019" w:rsidRDefault="00000000">
            <w:pPr>
              <w:spacing w:before="10" w:after="10"/>
            </w:pPr>
            <w:r>
              <w:rPr>
                <w:sz w:val="19"/>
                <w:szCs w:val="19"/>
              </w:rPr>
              <w:t>Nosso território produz riqueza, mas vivemos na precarização e no desemprego.</w:t>
            </w:r>
          </w:p>
        </w:tc>
      </w:tr>
      <w:tr w:rsidR="00D16019" w14:paraId="41889256" w14:textId="77777777">
        <w:trPr>
          <w:cantSplit/>
        </w:trPr>
        <w:tc>
          <w:tcPr>
            <w:tcW w:w="9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159997A8" w14:textId="77777777" w:rsidR="00D16019" w:rsidRDefault="00000000">
            <w:pPr>
              <w:spacing w:before="10" w:after="10"/>
            </w:pPr>
            <w:r>
              <w:rPr>
                <w:b/>
                <w:bCs/>
                <w:color w:val="1A3A5C"/>
                <w:sz w:val="19"/>
                <w:szCs w:val="19"/>
              </w:rPr>
              <w:t>Eixo 2</w:t>
            </w:r>
          </w:p>
        </w:tc>
        <w:tc>
          <w:tcPr>
            <w:tcW w:w="23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405BC64C" w14:textId="77777777" w:rsidR="00D16019" w:rsidRDefault="00000000">
            <w:pPr>
              <w:spacing w:before="10" w:after="10"/>
            </w:pPr>
            <w:r>
              <w:rPr>
                <w:sz w:val="19"/>
                <w:szCs w:val="19"/>
              </w:rPr>
              <w:t>A Vida em Risco</w:t>
            </w:r>
          </w:p>
        </w:tc>
        <w:tc>
          <w:tcPr>
            <w:tcW w:w="9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1BD32947" w14:textId="77777777" w:rsidR="00D16019" w:rsidRPr="006F4933" w:rsidRDefault="00000000" w:rsidP="006F4933">
            <w:pPr>
              <w:spacing w:before="10" w:after="10"/>
              <w:jc w:val="center"/>
              <w:rPr>
                <w:b/>
                <w:bCs/>
              </w:rPr>
            </w:pPr>
            <w:r w:rsidRPr="006F4933">
              <w:rPr>
                <w:b/>
                <w:bCs/>
                <w:sz w:val="19"/>
                <w:szCs w:val="19"/>
              </w:rPr>
              <w:t>38</w:t>
            </w:r>
          </w:p>
        </w:tc>
        <w:tc>
          <w:tcPr>
            <w:tcW w:w="5254"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0EE35034" w14:textId="77777777" w:rsidR="00D16019" w:rsidRDefault="00000000">
            <w:pPr>
              <w:spacing w:before="10" w:after="10"/>
            </w:pPr>
            <w:r>
              <w:rPr>
                <w:sz w:val="19"/>
                <w:szCs w:val="19"/>
              </w:rPr>
              <w:t>A mortalidade, a insalubridade e o adoecimento expressam a negligência estatal.</w:t>
            </w:r>
          </w:p>
        </w:tc>
      </w:tr>
      <w:tr w:rsidR="00D16019" w14:paraId="706783F0" w14:textId="77777777">
        <w:trPr>
          <w:cantSplit/>
        </w:trPr>
        <w:tc>
          <w:tcPr>
            <w:tcW w:w="9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2F62D6F8" w14:textId="77777777" w:rsidR="00D16019" w:rsidRDefault="00000000">
            <w:pPr>
              <w:spacing w:before="10" w:after="10"/>
            </w:pPr>
            <w:r>
              <w:rPr>
                <w:b/>
                <w:bCs/>
                <w:color w:val="1A3A5C"/>
                <w:sz w:val="19"/>
                <w:szCs w:val="19"/>
              </w:rPr>
              <w:t>Eixo 3</w:t>
            </w:r>
          </w:p>
        </w:tc>
        <w:tc>
          <w:tcPr>
            <w:tcW w:w="23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7DDDA6E1" w14:textId="77777777" w:rsidR="00D16019" w:rsidRDefault="00000000">
            <w:pPr>
              <w:spacing w:before="10" w:after="10"/>
            </w:pPr>
            <w:r>
              <w:rPr>
                <w:sz w:val="19"/>
                <w:szCs w:val="19"/>
              </w:rPr>
              <w:t>Nossos Corpos Silenciados</w:t>
            </w:r>
          </w:p>
        </w:tc>
        <w:tc>
          <w:tcPr>
            <w:tcW w:w="9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3B580E2F" w14:textId="77777777" w:rsidR="00D16019" w:rsidRPr="006F4933" w:rsidRDefault="00000000" w:rsidP="006F4933">
            <w:pPr>
              <w:spacing w:before="10" w:after="10"/>
              <w:jc w:val="center"/>
              <w:rPr>
                <w:b/>
                <w:bCs/>
              </w:rPr>
            </w:pPr>
            <w:r w:rsidRPr="006F4933">
              <w:rPr>
                <w:b/>
                <w:bCs/>
                <w:sz w:val="19"/>
                <w:szCs w:val="19"/>
              </w:rPr>
              <w:t>18</w:t>
            </w:r>
          </w:p>
        </w:tc>
        <w:tc>
          <w:tcPr>
            <w:tcW w:w="5254"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3C24F212" w14:textId="77777777" w:rsidR="00D16019" w:rsidRDefault="00000000">
            <w:pPr>
              <w:spacing w:before="10" w:after="10"/>
            </w:pPr>
            <w:r>
              <w:rPr>
                <w:sz w:val="19"/>
                <w:szCs w:val="19"/>
              </w:rPr>
              <w:t>A cor da pele e o gênero determinam quem sofre mais violência, exclusão e invisibilidade.</w:t>
            </w:r>
          </w:p>
        </w:tc>
      </w:tr>
      <w:tr w:rsidR="00D16019" w14:paraId="329B6713" w14:textId="77777777">
        <w:trPr>
          <w:cantSplit/>
        </w:trPr>
        <w:tc>
          <w:tcPr>
            <w:tcW w:w="9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4E3D8180" w14:textId="77777777" w:rsidR="00D16019" w:rsidRDefault="00000000">
            <w:pPr>
              <w:spacing w:before="10" w:after="10"/>
            </w:pPr>
            <w:r>
              <w:rPr>
                <w:b/>
                <w:bCs/>
                <w:color w:val="1A3A5C"/>
                <w:sz w:val="19"/>
                <w:szCs w:val="19"/>
              </w:rPr>
              <w:t>Eixo 4</w:t>
            </w:r>
          </w:p>
        </w:tc>
        <w:tc>
          <w:tcPr>
            <w:tcW w:w="23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289DFA52" w14:textId="77777777" w:rsidR="00D16019" w:rsidRDefault="00000000">
            <w:pPr>
              <w:spacing w:before="10" w:after="10"/>
            </w:pPr>
            <w:r>
              <w:rPr>
                <w:sz w:val="19"/>
                <w:szCs w:val="19"/>
              </w:rPr>
              <w:t>A Terra de Quem?</w:t>
            </w:r>
          </w:p>
        </w:tc>
        <w:tc>
          <w:tcPr>
            <w:tcW w:w="9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4F98E811" w14:textId="77777777" w:rsidR="00D16019" w:rsidRPr="006F4933" w:rsidRDefault="00000000" w:rsidP="006F4933">
            <w:pPr>
              <w:spacing w:before="10" w:after="10"/>
              <w:jc w:val="center"/>
              <w:rPr>
                <w:b/>
                <w:bCs/>
              </w:rPr>
            </w:pPr>
            <w:r w:rsidRPr="006F4933">
              <w:rPr>
                <w:b/>
                <w:bCs/>
                <w:sz w:val="19"/>
                <w:szCs w:val="19"/>
              </w:rPr>
              <w:t>24</w:t>
            </w:r>
          </w:p>
        </w:tc>
        <w:tc>
          <w:tcPr>
            <w:tcW w:w="5254"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380BAA92" w14:textId="77777777" w:rsidR="00D16019" w:rsidRDefault="00000000">
            <w:pPr>
              <w:spacing w:before="10" w:after="10"/>
            </w:pPr>
            <w:r>
              <w:rPr>
                <w:sz w:val="19"/>
                <w:szCs w:val="19"/>
              </w:rPr>
              <w:t>A natureza é tratada como mercadoria, expropriando comunidades tradicionais e destruindo ecossistemas.</w:t>
            </w:r>
          </w:p>
        </w:tc>
      </w:tr>
      <w:tr w:rsidR="00D16019" w14:paraId="1CB3BF89" w14:textId="77777777">
        <w:trPr>
          <w:cantSplit/>
        </w:trPr>
        <w:tc>
          <w:tcPr>
            <w:tcW w:w="9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0ECE1B0C" w14:textId="77777777" w:rsidR="00D16019" w:rsidRDefault="00000000">
            <w:pPr>
              <w:spacing w:before="10" w:after="10"/>
            </w:pPr>
            <w:r>
              <w:rPr>
                <w:b/>
                <w:bCs/>
                <w:color w:val="1A3A5C"/>
                <w:sz w:val="19"/>
                <w:szCs w:val="19"/>
              </w:rPr>
              <w:t>Eixo 5</w:t>
            </w:r>
          </w:p>
        </w:tc>
        <w:tc>
          <w:tcPr>
            <w:tcW w:w="23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13F0585B" w14:textId="77777777" w:rsidR="00D16019" w:rsidRDefault="00000000">
            <w:pPr>
              <w:spacing w:before="10" w:after="10"/>
            </w:pPr>
            <w:r>
              <w:rPr>
                <w:sz w:val="19"/>
                <w:szCs w:val="19"/>
              </w:rPr>
              <w:t>A Cidade Negada</w:t>
            </w:r>
          </w:p>
        </w:tc>
        <w:tc>
          <w:tcPr>
            <w:tcW w:w="9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067A48FE" w14:textId="77777777" w:rsidR="00D16019" w:rsidRPr="006F4933" w:rsidRDefault="00000000" w:rsidP="006F4933">
            <w:pPr>
              <w:spacing w:before="10" w:after="10"/>
              <w:jc w:val="center"/>
              <w:rPr>
                <w:b/>
                <w:bCs/>
              </w:rPr>
            </w:pPr>
            <w:r w:rsidRPr="006F4933">
              <w:rPr>
                <w:b/>
                <w:bCs/>
                <w:sz w:val="19"/>
                <w:szCs w:val="19"/>
              </w:rPr>
              <w:t>29</w:t>
            </w:r>
          </w:p>
        </w:tc>
        <w:tc>
          <w:tcPr>
            <w:tcW w:w="5254"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1C4EF904" w14:textId="77777777" w:rsidR="00D16019" w:rsidRDefault="00000000">
            <w:pPr>
              <w:spacing w:before="10" w:after="10"/>
            </w:pPr>
            <w:r>
              <w:rPr>
                <w:sz w:val="19"/>
                <w:szCs w:val="19"/>
              </w:rPr>
              <w:t>Habitação, mobilidade, educação e cultura são direitos sistematicamente sonegados.</w:t>
            </w:r>
          </w:p>
        </w:tc>
      </w:tr>
      <w:tr w:rsidR="00D16019" w14:paraId="232CE969" w14:textId="77777777">
        <w:trPr>
          <w:cantSplit/>
        </w:trPr>
        <w:tc>
          <w:tcPr>
            <w:tcW w:w="9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36C79D46" w14:textId="77777777" w:rsidR="00D16019" w:rsidRDefault="00000000">
            <w:pPr>
              <w:spacing w:before="10" w:after="10"/>
            </w:pPr>
            <w:r>
              <w:rPr>
                <w:b/>
                <w:bCs/>
                <w:color w:val="1A3A5C"/>
                <w:sz w:val="19"/>
                <w:szCs w:val="19"/>
              </w:rPr>
              <w:t>Eixo 6</w:t>
            </w:r>
          </w:p>
        </w:tc>
        <w:tc>
          <w:tcPr>
            <w:tcW w:w="23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22E94A3E" w14:textId="77777777" w:rsidR="00D16019" w:rsidRDefault="00000000">
            <w:pPr>
              <w:spacing w:before="10" w:after="10"/>
            </w:pPr>
            <w:r>
              <w:rPr>
                <w:sz w:val="19"/>
                <w:szCs w:val="19"/>
              </w:rPr>
              <w:t>A Voz na Mesa</w:t>
            </w:r>
          </w:p>
        </w:tc>
        <w:tc>
          <w:tcPr>
            <w:tcW w:w="9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6AD1EEC2" w14:textId="77777777" w:rsidR="00D16019" w:rsidRPr="006F4933" w:rsidRDefault="00000000" w:rsidP="006F4933">
            <w:pPr>
              <w:spacing w:before="10" w:after="10"/>
              <w:jc w:val="center"/>
              <w:rPr>
                <w:b/>
                <w:bCs/>
              </w:rPr>
            </w:pPr>
            <w:r w:rsidRPr="006F4933">
              <w:rPr>
                <w:b/>
                <w:bCs/>
                <w:sz w:val="19"/>
                <w:szCs w:val="19"/>
              </w:rPr>
              <w:t>12</w:t>
            </w:r>
          </w:p>
        </w:tc>
        <w:tc>
          <w:tcPr>
            <w:tcW w:w="5254"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12C17833" w14:textId="77777777" w:rsidR="00D16019" w:rsidRDefault="00000000">
            <w:pPr>
              <w:spacing w:before="10" w:after="10"/>
            </w:pPr>
            <w:r>
              <w:rPr>
                <w:sz w:val="19"/>
                <w:szCs w:val="19"/>
              </w:rPr>
              <w:t>A comunidade transita de beneficiária a sujeito da história quando assume o protagonismo.</w:t>
            </w:r>
          </w:p>
        </w:tc>
      </w:tr>
    </w:tbl>
    <w:p w14:paraId="0D03336B" w14:textId="77777777" w:rsidR="00D16019" w:rsidRDefault="00D16019">
      <w:pPr>
        <w:spacing w:before="60" w:after="60" w:line="276" w:lineRule="auto"/>
        <w:jc w:val="both"/>
      </w:pPr>
    </w:p>
    <w:p w14:paraId="4ED85448" w14:textId="77777777" w:rsidR="00D16019" w:rsidRDefault="00000000">
      <w:pPr>
        <w:spacing w:before="60" w:after="120" w:line="276" w:lineRule="auto"/>
        <w:jc w:val="both"/>
      </w:pPr>
      <w:r>
        <w:t>Campo Grande reúne 898.100 habitantes segundo o Censo 2022, com população estimada de 970.843 em 2026 (IBGE), e é a maior economia de Mato Grosso do Sul. A contradição estruturante do território, que atravessa os seis eixos deste diagnóstico, é a coexistência de capacidade econômica, institucional e científica elevada com a distribuição desigual de seus benefícios no espaço urbano e entre grupos raciais e étnicos. O PIB per capita de R$ 47.065,77 em 2023 (IBGE) é inferior à média estadual de R$ 66,8 mil (</w:t>
      </w:r>
      <w:proofErr w:type="spellStart"/>
      <w:r>
        <w:t>Semadesc</w:t>
      </w:r>
      <w:proofErr w:type="spellEnd"/>
      <w:r>
        <w:t>), a renda formal concentra-se nas faixas superiores, e as regiões urbanas periféricas, as aldeias indígenas urbanas, as comunidades quilombolas e a população em situação de rua acumulam os piores indicadores de renda, moradia, saneamento, violência e acesso a serviços.</w:t>
      </w:r>
    </w:p>
    <w:p w14:paraId="5C2621C6" w14:textId="77777777" w:rsidR="00D16019" w:rsidRDefault="00000000">
      <w:pPr>
        <w:spacing w:before="60" w:after="120" w:line="276" w:lineRule="auto"/>
        <w:jc w:val="both"/>
      </w:pPr>
      <w:r>
        <w:t>No campo sanitário, a expansão da Estratégia Saúde da Família, que mais que dobrou o número de equipes entre 2017 e 2023 com cobertura de 76,28% (e-Gestor), é o ativo mais importante do período e resulta em parte da parceria entre a Secretaria Municipal de Saúde e a Fiocruz. Persistem, contudo, a transmissão sazonal de arboviroses, a endemia de leishmaniose visceral, a cobertura de 78,53% para a tríplice viral em 2026 (</w:t>
      </w:r>
      <w:proofErr w:type="spellStart"/>
      <w:r>
        <w:t>Sesau</w:t>
      </w:r>
      <w:proofErr w:type="spellEnd"/>
      <w:r>
        <w:t>), abaixo da meta de 95%, e a queda do município do 17º para o 37º lugar no Ranking do Saneamento entre 2024 e 2025 (Instituto Trata Brasil).</w:t>
      </w:r>
    </w:p>
    <w:p w14:paraId="3DEA9E0B" w14:textId="0E6615E6" w:rsidR="00D16019" w:rsidRDefault="00000000">
      <w:pPr>
        <w:spacing w:before="60" w:after="120" w:line="276" w:lineRule="auto"/>
        <w:jc w:val="both"/>
      </w:pPr>
      <w:r>
        <w:t>Em 2024, a fumaça das queimadas levou a capital à primeira classificação péssima de qualidade do ar (</w:t>
      </w:r>
      <w:proofErr w:type="spellStart"/>
      <w:r>
        <w:t>QualiAr</w:t>
      </w:r>
      <w:proofErr w:type="spellEnd"/>
      <w:r>
        <w:t xml:space="preserve">/UFMS); em abril de 2025, 88 mm de chuva em um dia produziram enxurradas e alagamentos (CEMADEN); em 10 de setembro de 2026, um vendaval com rajadas de 83,8 km/h deixou mais de 300 mil pessoas sem energia, destelhou 26 escolas e motivou decreto de </w:t>
      </w:r>
      <w:proofErr w:type="gramStart"/>
      <w:r>
        <w:t>situação de emergência</w:t>
      </w:r>
      <w:proofErr w:type="gramEnd"/>
      <w:r>
        <w:t xml:space="preserve"> por 180 dias. O município não dispõe de plano de adaptação climática, de sistema comunitário de alerta, de rotas de fuga nem de pontos de encontro definidos, e há barragens urbanas classificadas como de risco alto pela ANA.</w:t>
      </w:r>
    </w:p>
    <w:p w14:paraId="6CBDE229" w14:textId="302AAE13" w:rsidR="00D16019" w:rsidRDefault="00000000">
      <w:pPr>
        <w:spacing w:before="60" w:after="120" w:line="276" w:lineRule="auto"/>
        <w:jc w:val="both"/>
      </w:pPr>
      <w:r>
        <w:t>O diagnóstico identifica como potencialidades a rede de APS e de serviços especializados, a capacidade científica instalada, a organização crescente das populações indígenas e quilombolas, com a reestruturação do Conselho Municipal dos Direitos e Defesa dos Povos Indígenas em 2024, a densidade de organizações comunitárias e religiosas com atuação em emergências e a experiência acumulada da PICAPS na formação de pesquisadores populares e brigadas comunitárias. Os nós críticos e as prioridades estão sistematizados na síntese estratégica, com referência aos códigos dos fatores da Matriz</w:t>
      </w:r>
      <w:r w:rsidR="006F4933">
        <w:t>.</w:t>
      </w:r>
    </w:p>
    <w:p w14:paraId="4B9A3AC0" w14:textId="77777777" w:rsidR="00D16019" w:rsidRDefault="00000000">
      <w:pPr>
        <w:pStyle w:val="Ttulo1"/>
        <w:pageBreakBefore/>
        <w:spacing w:after="120"/>
      </w:pPr>
      <w:r>
        <w:lastRenderedPageBreak/>
        <w:t>Eixo 1. O Suor que não nos Sustenta</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4"/>
      </w:tblGrid>
      <w:tr w:rsidR="00D16019" w14:paraId="332065E9" w14:textId="77777777">
        <w:tc>
          <w:tcPr>
            <w:tcW w:w="9354"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2E133D38" w14:textId="77777777" w:rsidR="00D16019" w:rsidRDefault="00000000">
            <w:pPr>
              <w:spacing w:before="10" w:after="10"/>
            </w:pPr>
            <w:r>
              <w:rPr>
                <w:i/>
                <w:iCs/>
                <w:color w:val="1A3A5C"/>
              </w:rPr>
              <w:t>Contradição central: Nosso território produz riqueza, mas vivemos na precarização e no desemprego.</w:t>
            </w:r>
          </w:p>
        </w:tc>
      </w:tr>
      <w:tr w:rsidR="00D16019" w14:paraId="7AD73BA2" w14:textId="77777777">
        <w:tc>
          <w:tcPr>
            <w:tcW w:w="9354"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7CF269F1" w14:textId="77777777" w:rsidR="00D16019" w:rsidRDefault="00000000">
            <w:pPr>
              <w:spacing w:before="10" w:after="10"/>
            </w:pPr>
            <w:r>
              <w:rPr>
                <w:color w:val="4A5568"/>
                <w:sz w:val="21"/>
                <w:szCs w:val="21"/>
              </w:rPr>
              <w:t>Foco pedagógico: Trabalho, renda, economia solidária e agricultura familiar</w:t>
            </w:r>
          </w:p>
        </w:tc>
      </w:tr>
    </w:tbl>
    <w:p w14:paraId="404C6DFA" w14:textId="77777777" w:rsidR="00D16019" w:rsidRDefault="00000000">
      <w:pPr>
        <w:spacing w:before="160" w:after="200" w:line="276" w:lineRule="auto"/>
        <w:jc w:val="both"/>
      </w:pPr>
      <w:r>
        <w:t>O eixo examina a contradição entre a condição de Campo Grande como maior economia de Mato Grosso do Sul e a precariedade do trabalho e da renda de parte expressiva de sua população. O município gerou PIB de R$ 34,7 bilhões em 2021 e PIB per capita de R$ 47.065,77 em 2023 (IBGE, escala municipal), valor inferior à média estadual de R$ 66,8 mil (</w:t>
      </w:r>
      <w:proofErr w:type="spellStart"/>
      <w:r>
        <w:t>Semadesc</w:t>
      </w:r>
      <w:proofErr w:type="spellEnd"/>
      <w:r>
        <w:t>, 2023), com estrutura produtiva dominada por serviços e administração pública e baixa participação da produção local de alimentos. Os 29 fatores do eixo descrevem como a riqueza circula sem se distribuir: informalidade, sobrecarga de cuidado não remunerado sobre as mulheres, dependência alimentar de cadeias externas e fragilidade das iniciativas de economia solidária. Os eventos climáticos de 2025 e 2026 acrescentaram ao eixo a dimensão da recuperação econômica após desastres, ainda sem instrumentos municipais de crédito e proteção para os trabalhadores e pequenos negócios atingidos.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12474D74"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4F23F31A" w14:textId="77777777" w:rsidR="00D16019" w:rsidRDefault="00000000">
            <w:pPr>
              <w:keepNext/>
              <w:spacing w:before="10" w:after="10"/>
              <w:jc w:val="center"/>
            </w:pPr>
            <w:r>
              <w:rPr>
                <w:b/>
                <w:bCs/>
                <w:color w:val="FFFFFF"/>
              </w:rPr>
              <w:t>E1-F01</w:t>
            </w:r>
          </w:p>
        </w:tc>
        <w:tc>
          <w:tcPr>
            <w:tcW w:w="7054"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3131F9C6" w14:textId="77777777" w:rsidR="00D16019" w:rsidRDefault="00000000">
            <w:pPr>
              <w:keepNext/>
              <w:spacing w:before="10" w:after="10"/>
            </w:pPr>
            <w:r>
              <w:rPr>
                <w:b/>
                <w:bCs/>
                <w:color w:val="1A3A5C"/>
                <w:sz w:val="24"/>
                <w:szCs w:val="24"/>
              </w:rPr>
              <w:t>Cuidado com crianças e grupos vulneráveis</w:t>
            </w:r>
          </w:p>
        </w:tc>
        <w:tc>
          <w:tcPr>
            <w:tcW w:w="1300"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6547E5C9" w14:textId="77777777" w:rsidR="00D16019" w:rsidRDefault="00000000">
            <w:pPr>
              <w:keepNext/>
              <w:spacing w:before="10" w:after="10"/>
              <w:jc w:val="center"/>
            </w:pPr>
            <w:r>
              <w:rPr>
                <w:color w:val="1A3A5C"/>
                <w:sz w:val="20"/>
                <w:szCs w:val="20"/>
              </w:rPr>
              <w:t>ODS 1</w:t>
            </w:r>
          </w:p>
        </w:tc>
      </w:tr>
    </w:tbl>
    <w:p w14:paraId="5473112A"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Atenção e proteção para crianças, idosos e outras pessoas que precisam de mais ajuda para viver com segurança.</w:t>
      </w:r>
    </w:p>
    <w:p w14:paraId="5D6650AC" w14:textId="77777777" w:rsidR="00D16019" w:rsidRDefault="00000000">
      <w:pPr>
        <w:spacing w:before="60" w:after="220" w:line="276" w:lineRule="auto"/>
        <w:jc w:val="both"/>
      </w:pPr>
      <w:r>
        <w:t>O cuidado com crianças, idosos e pessoas com deficiência em Campo Grande depende de uma rede formal composta pelos CRAS e CREAS da Secretaria Municipal de Assistência Social, pelas creches da Rede Municipal de Ensino e pelas equipes de Saúde da Família, cuja articulação se dá caso a caso e não por protocolo territorial unificado. O Censo da População em Situação de Rua realizado pelo Grupo de Trabalho Intersetorial em setembro de 2025 identificou 52 crianças entre as 1.476 pessoas recenseadas, o que evidencia falhas na proteção de grupos que deveriam estar no centro da rede de cuidado. A insuficiência de vagas em educação infantil nas regiões urbanas do Anhanduizinho, da Lagoa e do Bandeira transfere às famílias, sobretudo às mulheres, a responsabilidade pelo cuidado, mecanismo descrito em E1-F07 e que reduz a inserção feminina no mercado de trabalho (E1-F12). O fator articula-se a E3-F09 e E3-F14 e exige que o planejamento estime a demanda de cuidado por território com base no CadÚnico e no Censo Escolar.</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35956819"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3931BD36" w14:textId="77777777" w:rsidR="00D16019" w:rsidRDefault="00000000">
            <w:pPr>
              <w:keepNext/>
              <w:spacing w:before="10" w:after="10"/>
              <w:jc w:val="center"/>
            </w:pPr>
            <w:r>
              <w:rPr>
                <w:b/>
                <w:bCs/>
                <w:color w:val="FFFFFF"/>
              </w:rPr>
              <w:t>E1-F02</w:t>
            </w:r>
          </w:p>
        </w:tc>
        <w:tc>
          <w:tcPr>
            <w:tcW w:w="7054"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44349B95" w14:textId="77777777" w:rsidR="00D16019" w:rsidRDefault="00000000">
            <w:pPr>
              <w:keepNext/>
              <w:spacing w:before="10" w:after="10"/>
            </w:pPr>
            <w:r>
              <w:rPr>
                <w:b/>
                <w:bCs/>
                <w:color w:val="1A3A5C"/>
                <w:sz w:val="24"/>
                <w:szCs w:val="24"/>
              </w:rPr>
              <w:t>Alimentos</w:t>
            </w:r>
          </w:p>
        </w:tc>
        <w:tc>
          <w:tcPr>
            <w:tcW w:w="1300"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31416A3D" w14:textId="77777777" w:rsidR="00D16019" w:rsidRDefault="00000000">
            <w:pPr>
              <w:keepNext/>
              <w:spacing w:before="10" w:after="10"/>
              <w:jc w:val="center"/>
            </w:pPr>
            <w:r>
              <w:rPr>
                <w:color w:val="1A3A5C"/>
                <w:sz w:val="20"/>
                <w:szCs w:val="20"/>
              </w:rPr>
              <w:t>ODS 2</w:t>
            </w:r>
          </w:p>
        </w:tc>
      </w:tr>
    </w:tbl>
    <w:p w14:paraId="3FC75AED"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Ter comida que não faz mal à saúde e em quantidade que mate a fome todos os dias.</w:t>
      </w:r>
    </w:p>
    <w:p w14:paraId="5DF819C0" w14:textId="6991295C" w:rsidR="00D16019" w:rsidRDefault="00000000">
      <w:pPr>
        <w:spacing w:before="60" w:after="220" w:line="276" w:lineRule="auto"/>
        <w:jc w:val="both"/>
      </w:pPr>
      <w:r>
        <w:t>O acesso a alimento adequado em Campo Grande é mediado sobretudo pela renda, dado que a agropecuária responde por apenas 2,8% do valor adicionado municipal e a cidade depende do abastecimento externo concentrado na CEASA e nas grandes redes atacadistas. O PIB per capita de R$ 47.065,77 em 2023 (IBGE, escala municipal), inferior à média estadual de R$ 66,8 mil no mesmo ano (</w:t>
      </w:r>
      <w:proofErr w:type="spellStart"/>
      <w:r>
        <w:t>Semadesc</w:t>
      </w:r>
      <w:proofErr w:type="spellEnd"/>
      <w:r>
        <w:t>), e a concentração da massa salarial nas faixas mais altas indicam que o preço dos alimentos pesa desproporcionalmente sobre as famílias inscritas no CadÚnico. O fator relaciona-se a E1-F06 e E1-F24 e tem como desfecho sanitário E2-F02, devendo o plano popular priorizar a produção de dados intraurbanos por meio do SISVAN e do Cadastro Único.</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009116FA"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1200CAEC" w14:textId="77777777" w:rsidR="00D16019" w:rsidRDefault="00000000">
            <w:pPr>
              <w:keepNext/>
              <w:spacing w:before="10" w:after="10"/>
              <w:jc w:val="center"/>
            </w:pPr>
            <w:r>
              <w:rPr>
                <w:b/>
                <w:bCs/>
                <w:color w:val="FFFFFF"/>
              </w:rPr>
              <w:t>E1-F03</w:t>
            </w:r>
          </w:p>
        </w:tc>
        <w:tc>
          <w:tcPr>
            <w:tcW w:w="7054"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43756FFD" w14:textId="77777777" w:rsidR="00D16019" w:rsidRDefault="00000000">
            <w:pPr>
              <w:keepNext/>
              <w:spacing w:before="10" w:after="10"/>
            </w:pPr>
            <w:r>
              <w:rPr>
                <w:b/>
                <w:bCs/>
                <w:color w:val="1A3A5C"/>
                <w:sz w:val="24"/>
                <w:szCs w:val="24"/>
              </w:rPr>
              <w:t>Agricultura familiar</w:t>
            </w:r>
          </w:p>
        </w:tc>
        <w:tc>
          <w:tcPr>
            <w:tcW w:w="1300"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0B5615DB" w14:textId="77777777" w:rsidR="00D16019" w:rsidRDefault="00000000">
            <w:pPr>
              <w:keepNext/>
              <w:spacing w:before="10" w:after="10"/>
              <w:jc w:val="center"/>
            </w:pPr>
            <w:r>
              <w:rPr>
                <w:color w:val="1A3A5C"/>
                <w:sz w:val="20"/>
                <w:szCs w:val="20"/>
              </w:rPr>
              <w:t>ODS 2</w:t>
            </w:r>
          </w:p>
        </w:tc>
      </w:tr>
    </w:tbl>
    <w:p w14:paraId="592B32EF"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Plantações feitas por famílias, que são quem mais produz a comida que chega à nossa mesa.</w:t>
      </w:r>
    </w:p>
    <w:p w14:paraId="694DEAEA" w14:textId="00ECA932" w:rsidR="00D16019" w:rsidRDefault="00000000">
      <w:pPr>
        <w:spacing w:before="60" w:after="220" w:line="276" w:lineRule="auto"/>
        <w:jc w:val="both"/>
      </w:pPr>
      <w:r>
        <w:t xml:space="preserve">A agricultura familiar no município concentra-se em assentamentos de reforma agrária e pequenas propriedades do cinturão rural, que ocupa a maior parte dos 8.082,33 km² do território (IBGE), mas tem participação marginal na estrutura econômica dominada pela pecuária extensiva e pela lavoura empresarial </w:t>
      </w:r>
      <w:r>
        <w:lastRenderedPageBreak/>
        <w:t>de grãos. O Censo Agropecuário 2017 do IBGE é a fonte disponível para dimensionar estabelecimentos familiares e deve ser confrontado com os registros do Cadastro Nacional da Agricultura Familiar. O fortalecimento da agricultura familiar condiciona E1-F06 e E1-F26 e reduz a dependência de cadeias longas vulneráveis a choques de preço (E1-F24) e a eventos climáticos como os registrados em 2024 e 2026 (E2-F30, E2-F17).</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6CE7FEF8"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6D3A147B" w14:textId="77777777" w:rsidR="00D16019" w:rsidRDefault="00000000">
            <w:pPr>
              <w:keepNext/>
              <w:spacing w:before="10" w:after="10"/>
              <w:jc w:val="center"/>
            </w:pPr>
            <w:r>
              <w:rPr>
                <w:b/>
                <w:bCs/>
                <w:color w:val="FFFFFF"/>
              </w:rPr>
              <w:t>E1-F04</w:t>
            </w:r>
          </w:p>
        </w:tc>
        <w:tc>
          <w:tcPr>
            <w:tcW w:w="7054"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6830AE17" w14:textId="77777777" w:rsidR="00D16019" w:rsidRDefault="00000000">
            <w:pPr>
              <w:keepNext/>
              <w:spacing w:before="10" w:after="10"/>
            </w:pPr>
            <w:r>
              <w:rPr>
                <w:b/>
                <w:bCs/>
                <w:color w:val="1A3A5C"/>
                <w:sz w:val="24"/>
                <w:szCs w:val="24"/>
              </w:rPr>
              <w:t>Produção de alimentos – hortas, hortos, quintais e outros que produzem alimentos</w:t>
            </w:r>
          </w:p>
        </w:tc>
        <w:tc>
          <w:tcPr>
            <w:tcW w:w="1300"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2E93887D" w14:textId="77777777" w:rsidR="00D16019" w:rsidRDefault="00000000">
            <w:pPr>
              <w:keepNext/>
              <w:spacing w:before="10" w:after="10"/>
              <w:jc w:val="center"/>
            </w:pPr>
            <w:r>
              <w:rPr>
                <w:color w:val="1A3A5C"/>
                <w:sz w:val="20"/>
                <w:szCs w:val="20"/>
              </w:rPr>
              <w:t>ODS 2</w:t>
            </w:r>
          </w:p>
        </w:tc>
      </w:tr>
    </w:tbl>
    <w:p w14:paraId="1B2D6EF3"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As pessoas plantam alimentos seguros, livres de venenos, como também plantas medicinais em pequenos espaços, como quintais, escolas ou terrenos comunitários.</w:t>
      </w:r>
    </w:p>
    <w:p w14:paraId="390627AF" w14:textId="12239B37" w:rsidR="00D16019" w:rsidRDefault="00000000">
      <w:pPr>
        <w:spacing w:before="60" w:after="220" w:line="276" w:lineRule="auto"/>
        <w:jc w:val="both"/>
      </w:pPr>
      <w:r>
        <w:t>Hortas comunitárias, hortas escolares e quintais produtivos existem de forma dispersa nas regiões urbanas periféricas de Campo Grande, geralmente associadas a grupos de mulheres, igrejas e unidades de saúde, sem cadastro municipal que permita dimensionar sua escala. Nas aldeias urbanas indígenas, majoritariamente Terena, o cultivo em pequenos espaços preserva práticas alimentares e medicinais tradicionais (E4-F03, E4-F18) apesar da restrição de área imposta pela ocupação urbana. O fator articula segurança alimentar (E1-F02), renda complementar (E1-F11) e promoção da saúde, e sua expansão depende do acesso a terrenos públicos ociosos, de água a custo compatível (E2-F20) e de apoio técnico, o que o torna objeto viável de ação intersetorial de baixo custo no plano popular.</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73FCDE6A"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3C2D4263" w14:textId="77777777" w:rsidR="00D16019" w:rsidRDefault="00000000">
            <w:pPr>
              <w:keepNext/>
              <w:spacing w:before="10" w:after="10"/>
              <w:jc w:val="center"/>
            </w:pPr>
            <w:r>
              <w:rPr>
                <w:b/>
                <w:bCs/>
                <w:color w:val="FFFFFF"/>
              </w:rPr>
              <w:t>E1-F05</w:t>
            </w:r>
          </w:p>
        </w:tc>
        <w:tc>
          <w:tcPr>
            <w:tcW w:w="7054"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2F589354" w14:textId="77777777" w:rsidR="00D16019" w:rsidRDefault="00000000">
            <w:pPr>
              <w:keepNext/>
              <w:spacing w:before="10" w:after="10"/>
            </w:pPr>
            <w:r>
              <w:rPr>
                <w:b/>
                <w:bCs/>
                <w:color w:val="1A3A5C"/>
                <w:sz w:val="24"/>
                <w:szCs w:val="24"/>
              </w:rPr>
              <w:t>Produção orgânica</w:t>
            </w:r>
          </w:p>
        </w:tc>
        <w:tc>
          <w:tcPr>
            <w:tcW w:w="1300"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7418BC4D" w14:textId="77777777" w:rsidR="00D16019" w:rsidRDefault="00000000">
            <w:pPr>
              <w:keepNext/>
              <w:spacing w:before="10" w:after="10"/>
              <w:jc w:val="center"/>
            </w:pPr>
            <w:r>
              <w:rPr>
                <w:color w:val="1A3A5C"/>
                <w:sz w:val="20"/>
                <w:szCs w:val="20"/>
              </w:rPr>
              <w:t>ODS 2</w:t>
            </w:r>
          </w:p>
        </w:tc>
      </w:tr>
    </w:tbl>
    <w:p w14:paraId="46ED7FDE"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Alimentos plantados de forma natural, sem usar venenos para matar as pragas e os bichos no mato.</w:t>
      </w:r>
    </w:p>
    <w:p w14:paraId="204F4F20" w14:textId="7B063B5C" w:rsidR="00D16019" w:rsidRDefault="00000000">
      <w:pPr>
        <w:spacing w:before="60" w:after="220" w:line="276" w:lineRule="auto"/>
        <w:jc w:val="both"/>
      </w:pPr>
      <w:r>
        <w:t>A produção orgânica certificada no município é residual e voltada a nichos de consumo de renda média e alta, comercializada em feiras específicas e pontos de venda especializados, sem presença significativa nas regiões urbanas de menor renda. O contexto produtivo regional, marcado pelo uso intensivo de agrotóxicos nas lavouras de soja e milho do entorno, amplia a relevância do fator tanto para a saúde dos consumidores quanto para a dos trabalhadores rurais expostos (E1-F16, E2-F21). A ampliação da oferta orgânica e agroecológica depende de crédito orientado (E1-F22), assistência técnica e compras públicas, e sua articulação com hortas comunitárias (E1-F04) permitiria levar alimentos livres de agrotóxicos a territórios hoje excluídos desse mercado.</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40DB2DE8"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1D9B528C" w14:textId="77777777" w:rsidR="00D16019" w:rsidRDefault="00000000">
            <w:pPr>
              <w:keepNext/>
              <w:spacing w:before="10" w:after="10"/>
              <w:jc w:val="center"/>
            </w:pPr>
            <w:r>
              <w:rPr>
                <w:b/>
                <w:bCs/>
                <w:color w:val="FFFFFF"/>
              </w:rPr>
              <w:t>E1-F06</w:t>
            </w:r>
          </w:p>
        </w:tc>
        <w:tc>
          <w:tcPr>
            <w:tcW w:w="7054"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6ABA891E" w14:textId="77777777" w:rsidR="00D16019" w:rsidRDefault="00000000">
            <w:pPr>
              <w:keepNext/>
              <w:spacing w:before="10" w:after="10"/>
            </w:pPr>
            <w:r>
              <w:rPr>
                <w:b/>
                <w:bCs/>
                <w:color w:val="1A3A5C"/>
                <w:sz w:val="24"/>
                <w:szCs w:val="24"/>
              </w:rPr>
              <w:t>Disponibilidade de alimentos</w:t>
            </w:r>
          </w:p>
        </w:tc>
        <w:tc>
          <w:tcPr>
            <w:tcW w:w="1300"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112B2FF3" w14:textId="77777777" w:rsidR="00D16019" w:rsidRDefault="00000000">
            <w:pPr>
              <w:keepNext/>
              <w:spacing w:before="10" w:after="10"/>
              <w:jc w:val="center"/>
            </w:pPr>
            <w:r>
              <w:rPr>
                <w:color w:val="1A3A5C"/>
                <w:sz w:val="20"/>
                <w:szCs w:val="20"/>
              </w:rPr>
              <w:t>ODS 2</w:t>
            </w:r>
          </w:p>
        </w:tc>
      </w:tr>
    </w:tbl>
    <w:p w14:paraId="337CF2B3"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Ter comida suficiente para comprar ou colher na região, para que ninguém fique sem o que comer e nem pague caro pela comida.</w:t>
      </w:r>
    </w:p>
    <w:p w14:paraId="5B779990" w14:textId="77777777" w:rsidR="00D16019" w:rsidRDefault="00000000">
      <w:pPr>
        <w:spacing w:before="60" w:after="220" w:line="276" w:lineRule="auto"/>
        <w:jc w:val="both"/>
      </w:pPr>
      <w:r>
        <w:t xml:space="preserve">A disponibilidade de alimentos em Campo Grande não é limitada pelo volume ofertado, dado o papel da capital como entreposto logístico estadual, mas pela distribuição territorial dos pontos de venda de alimentos in natura e pelo preço. Nas regiões do Anhanduizinho, da Lagoa e do Imbirussu predominam mercados de bairro e atacarejos com oferta concentrada em produtos ultraprocessados, padrão que configura ambientes alimentares desfavoráveis à alimentação saudável e que deve ser verificado pela cartografia social. </w:t>
      </w:r>
      <w:r w:rsidRPr="00B90C82">
        <w:t>A ausência de mapeamento municipal de ambientes alimentares é lacuna de informação relevante para o planejamento.</w:t>
      </w:r>
      <w:r>
        <w:t xml:space="preserve"> Eventos extremos recentes, como o vendaval de setembro de 2026, que deixou mais de 300 mil pessoas sem energia elétrica, evidenciam a vulnerabilidade da conservação domiciliar de alimentos perecíveis (E2-F31). O fator relaciona-se a E1-F02, E1-F24 e E1-F26 e orienta a localização de feiras e equipamentos públicos de abastecimento.</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74081539"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164B0FAB" w14:textId="77777777" w:rsidR="00D16019" w:rsidRDefault="00000000">
            <w:pPr>
              <w:keepNext/>
              <w:spacing w:before="10" w:after="10"/>
              <w:jc w:val="center"/>
            </w:pPr>
            <w:r>
              <w:rPr>
                <w:b/>
                <w:bCs/>
                <w:color w:val="FFFFFF"/>
              </w:rPr>
              <w:lastRenderedPageBreak/>
              <w:t>E1-F07</w:t>
            </w:r>
          </w:p>
        </w:tc>
        <w:tc>
          <w:tcPr>
            <w:tcW w:w="7054"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58A4CB3E" w14:textId="77777777" w:rsidR="00D16019" w:rsidRDefault="00000000">
            <w:pPr>
              <w:keepNext/>
              <w:spacing w:before="10" w:after="10"/>
            </w:pPr>
            <w:r>
              <w:rPr>
                <w:b/>
                <w:bCs/>
                <w:color w:val="1A3A5C"/>
                <w:sz w:val="24"/>
                <w:szCs w:val="24"/>
              </w:rPr>
              <w:t>Trabalho de assistência e doméstico não remunerado</w:t>
            </w:r>
          </w:p>
        </w:tc>
        <w:tc>
          <w:tcPr>
            <w:tcW w:w="1300"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4515E53C" w14:textId="77777777" w:rsidR="00D16019" w:rsidRDefault="00000000">
            <w:pPr>
              <w:keepNext/>
              <w:spacing w:before="10" w:after="10"/>
              <w:jc w:val="center"/>
            </w:pPr>
            <w:r>
              <w:rPr>
                <w:color w:val="1A3A5C"/>
                <w:sz w:val="20"/>
                <w:szCs w:val="20"/>
              </w:rPr>
              <w:t>ODS 5</w:t>
            </w:r>
          </w:p>
        </w:tc>
      </w:tr>
    </w:tbl>
    <w:p w14:paraId="75231128"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Tarefas como cuidar da casa, dos filhos ou de parentes doentes, feitas principalmente por mulheres sem receber por isso.</w:t>
      </w:r>
    </w:p>
    <w:p w14:paraId="5D5629A2" w14:textId="77777777" w:rsidR="00D16019" w:rsidRDefault="00000000">
      <w:pPr>
        <w:spacing w:before="60" w:after="220" w:line="276" w:lineRule="auto"/>
        <w:jc w:val="both"/>
      </w:pPr>
      <w:r>
        <w:t>O trabalho doméstico e de cuidado não remunerado recai predominantemente sobre mulheres, padrão documentado em escala nacional pelo módulo de outras formas de trabalho da PNAD Contínua, sem desagregação municipal disponível para Campo Grande. No território, o fator é agravado pela insuficiência de creches nas regiões periféricas (E1-F01), pelo envelhecimento populacional que amplia a demanda por cuidado de idosos (E2-F19) e pela cobertura incompleta da Estratégia Saúde da Família, que transfere ao domicílio o acompanhamento de condições crônicas (E2-F09). A sobrecarga reduz a disponibilidade das mulheres para o trabalho remunerado (E1-F12), para a formação (E5-F05) e para a participação comunitária (E6-F07), operando como mecanismo de reprodução da pobreza em famílias chefiadas por mulheres (E3-F01, E3-F04). O plano popular deve tratar o cuidado como infraestrutura social, com metas de vagas em educação infantil e de apoio domiciliar por território.</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3E7B6921"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4D8820AA" w14:textId="77777777" w:rsidR="00D16019" w:rsidRDefault="00000000">
            <w:pPr>
              <w:keepNext/>
              <w:spacing w:before="10" w:after="10"/>
              <w:jc w:val="center"/>
            </w:pPr>
            <w:r>
              <w:rPr>
                <w:b/>
                <w:bCs/>
                <w:color w:val="FFFFFF"/>
              </w:rPr>
              <w:t>E1-F08</w:t>
            </w:r>
          </w:p>
        </w:tc>
        <w:tc>
          <w:tcPr>
            <w:tcW w:w="7054"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7A59FA69" w14:textId="77777777" w:rsidR="00D16019" w:rsidRDefault="00000000">
            <w:pPr>
              <w:keepNext/>
              <w:spacing w:before="10" w:after="10"/>
            </w:pPr>
            <w:r>
              <w:rPr>
                <w:b/>
                <w:bCs/>
                <w:color w:val="1A3A5C"/>
                <w:sz w:val="24"/>
                <w:szCs w:val="24"/>
              </w:rPr>
              <w:t>Geração de emprego e renda</w:t>
            </w:r>
          </w:p>
        </w:tc>
        <w:tc>
          <w:tcPr>
            <w:tcW w:w="1300"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68E89A7C" w14:textId="77777777" w:rsidR="00D16019" w:rsidRDefault="00000000">
            <w:pPr>
              <w:keepNext/>
              <w:spacing w:before="10" w:after="10"/>
              <w:jc w:val="center"/>
            </w:pPr>
            <w:r>
              <w:rPr>
                <w:color w:val="1A3A5C"/>
                <w:sz w:val="20"/>
                <w:szCs w:val="20"/>
              </w:rPr>
              <w:t>ODS 8</w:t>
            </w:r>
          </w:p>
        </w:tc>
      </w:tr>
    </w:tbl>
    <w:p w14:paraId="1F7CE7EA" w14:textId="77777777" w:rsidR="00D16019" w:rsidRDefault="00000000">
      <w:pPr>
        <w:keepNext/>
        <w:spacing w:before="60" w:after="60" w:line="276" w:lineRule="auto"/>
        <w:ind w:left="284"/>
        <w:jc w:val="both"/>
      </w:pPr>
      <w:r>
        <w:rPr>
          <w:b/>
          <w:bCs/>
          <w:i/>
          <w:iCs/>
          <w:color w:val="4A5568"/>
          <w:sz w:val="21"/>
          <w:szCs w:val="21"/>
        </w:rPr>
        <w:t xml:space="preserve">Definição de referência: </w:t>
      </w:r>
      <w:proofErr w:type="gramStart"/>
      <w:r>
        <w:rPr>
          <w:i/>
          <w:iCs/>
          <w:color w:val="4A5568"/>
          <w:sz w:val="21"/>
          <w:szCs w:val="21"/>
        </w:rPr>
        <w:t>Criar novos</w:t>
      </w:r>
      <w:proofErr w:type="gramEnd"/>
      <w:r>
        <w:rPr>
          <w:i/>
          <w:iCs/>
          <w:color w:val="4A5568"/>
          <w:sz w:val="21"/>
          <w:szCs w:val="21"/>
        </w:rPr>
        <w:t xml:space="preserve"> postos de trabalho e chances para as pessoas ganharem dinheiro.</w:t>
      </w:r>
    </w:p>
    <w:p w14:paraId="15D9B615" w14:textId="77777777" w:rsidR="00D16019" w:rsidRDefault="00000000">
      <w:pPr>
        <w:spacing w:before="60" w:after="220" w:line="276" w:lineRule="auto"/>
        <w:jc w:val="both"/>
      </w:pPr>
      <w:r>
        <w:t>O PIB de Campo Grande alcançou R$ 34,7 bilhões em 2021 (IBGE), com valor adicionado concentrado em serviços (59,6%) e administração pública (22,8%), seguidos de indústria (14,8%) e agropecuária (2,8%). A capital mantém posição de maior geradora absoluta de emprego formal do estado, com saldo de 8.107 vagas entre janeiro e setembro de 2025 (CAGED), inferior ao saldo de 8.612 no mesmo período de 2024. Entre 2022 e 2023, contudo, o município perdeu 1,3 ponto percentual de participação no PIB estadual, enquanto polos agroindustriais do interior cresceram (</w:t>
      </w:r>
      <w:proofErr w:type="spellStart"/>
      <w:r>
        <w:t>Semadesc</w:t>
      </w:r>
      <w:proofErr w:type="spellEnd"/>
      <w:r>
        <w:t>, 2025), sinalizando deslocamento do dinamismo econômico para fora da capital. A geração de renda permanece concentrada: as classes de menor renda detêm 31,4% das remunerações formais. O fator conecta-se a E1-F12, E1-F13 e E1-F28 e indica que a política de emprego deve priorizar ocupações acessíveis à população das regiões de maior vulnerabilidade, articulada à educação profissional (E5-F05, E5-F16).</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21717F68"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5C2AEE56" w14:textId="77777777" w:rsidR="00D16019" w:rsidRDefault="00000000">
            <w:pPr>
              <w:keepNext/>
              <w:spacing w:before="10" w:after="10"/>
              <w:jc w:val="center"/>
            </w:pPr>
            <w:r>
              <w:rPr>
                <w:b/>
                <w:bCs/>
                <w:color w:val="FFFFFF"/>
              </w:rPr>
              <w:t>E1-F09</w:t>
            </w:r>
          </w:p>
        </w:tc>
        <w:tc>
          <w:tcPr>
            <w:tcW w:w="7054"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7606479C" w14:textId="77777777" w:rsidR="00D16019" w:rsidRDefault="00000000">
            <w:pPr>
              <w:keepNext/>
              <w:spacing w:before="10" w:after="10"/>
            </w:pPr>
            <w:r>
              <w:rPr>
                <w:b/>
                <w:bCs/>
                <w:color w:val="1A3A5C"/>
                <w:sz w:val="24"/>
                <w:szCs w:val="24"/>
              </w:rPr>
              <w:t>Empreendedorismo solidário, criatividade e inovação</w:t>
            </w:r>
          </w:p>
        </w:tc>
        <w:tc>
          <w:tcPr>
            <w:tcW w:w="1300"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69F61ADD" w14:textId="77777777" w:rsidR="00D16019" w:rsidRDefault="00000000">
            <w:pPr>
              <w:keepNext/>
              <w:spacing w:before="10" w:after="10"/>
              <w:jc w:val="center"/>
            </w:pPr>
            <w:r>
              <w:rPr>
                <w:color w:val="1A3A5C"/>
                <w:sz w:val="20"/>
                <w:szCs w:val="20"/>
              </w:rPr>
              <w:t>ODS 8</w:t>
            </w:r>
          </w:p>
        </w:tc>
      </w:tr>
    </w:tbl>
    <w:p w14:paraId="1A317A92"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Apoio para quem quer abrir seu próprio negócio ou inventar um jeito novo de resolver um problema.</w:t>
      </w:r>
    </w:p>
    <w:p w14:paraId="7737F8F2" w14:textId="715AAD0B" w:rsidR="00D16019" w:rsidRDefault="00000000">
      <w:pPr>
        <w:spacing w:before="60" w:after="220" w:line="276" w:lineRule="auto"/>
        <w:jc w:val="both"/>
      </w:pPr>
      <w:r>
        <w:t xml:space="preserve">O empreendedorismo em Campo Grande cresceu de 103.129 para 117.722 empresas ativas entre março de 2020 e janeiro de 2023 (Prefeitura Municipal), expansão em parte composta por microempreendedores individuais que formalizaram atividades de subsistência após a perda de vínculos empregatícios na pandemia. Esse empreendedorismo de necessidade difere da dimensão solidária e criativa nomeada pelo </w:t>
      </w:r>
      <w:r w:rsidRPr="00B90C82">
        <w:t>fator, que pressupõe cooperação, inovação social e acesso a apoio técnico. O município dispõe de equipamentos como a Fundação Social do Trabalho e de instituições de ensino com incubadoras, mas não há registro público consolidado de empreendimentos solidários ou de inovação social em territórios periféricos. O fator</w:t>
      </w:r>
      <w:r>
        <w:t xml:space="preserve"> articula-se a E1-F11, E1-F22 e E5-F10, e o plano popular pode orientar o apoio a iniciativas surgidas da própria comunidade, identificadas na cartografia social, em vez de replicar programas genéricos de capacitação empresarial.</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43C5913D"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395647D0" w14:textId="77777777" w:rsidR="00D16019" w:rsidRDefault="00000000">
            <w:pPr>
              <w:keepNext/>
              <w:spacing w:before="10" w:after="10"/>
              <w:jc w:val="center"/>
            </w:pPr>
            <w:r>
              <w:rPr>
                <w:b/>
                <w:bCs/>
                <w:color w:val="FFFFFF"/>
              </w:rPr>
              <w:t>E1-F10</w:t>
            </w:r>
          </w:p>
        </w:tc>
        <w:tc>
          <w:tcPr>
            <w:tcW w:w="7054"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3E0DBF9E" w14:textId="77777777" w:rsidR="00D16019" w:rsidRDefault="00000000">
            <w:pPr>
              <w:keepNext/>
              <w:spacing w:before="10" w:after="10"/>
            </w:pPr>
            <w:r>
              <w:rPr>
                <w:b/>
                <w:bCs/>
                <w:color w:val="1A3A5C"/>
                <w:sz w:val="24"/>
                <w:szCs w:val="24"/>
              </w:rPr>
              <w:t>Formalização de emprego (CLT, MEI, ECOSOL)</w:t>
            </w:r>
          </w:p>
        </w:tc>
        <w:tc>
          <w:tcPr>
            <w:tcW w:w="1300"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307CEE0F" w14:textId="77777777" w:rsidR="00D16019" w:rsidRDefault="00000000">
            <w:pPr>
              <w:keepNext/>
              <w:spacing w:before="10" w:after="10"/>
              <w:jc w:val="center"/>
            </w:pPr>
            <w:r>
              <w:rPr>
                <w:color w:val="1A3A5C"/>
                <w:sz w:val="20"/>
                <w:szCs w:val="20"/>
              </w:rPr>
              <w:t>ODS 8</w:t>
            </w:r>
          </w:p>
        </w:tc>
      </w:tr>
    </w:tbl>
    <w:p w14:paraId="0D619832"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Ter a carteira de trabalho assinada ou a empresa legalizada para ter garantias como aposentadoria e auxílio-doença.</w:t>
      </w:r>
    </w:p>
    <w:p w14:paraId="74187121" w14:textId="77777777" w:rsidR="00D16019" w:rsidRDefault="00000000">
      <w:pPr>
        <w:spacing w:before="60" w:after="220" w:line="276" w:lineRule="auto"/>
        <w:jc w:val="both"/>
      </w:pPr>
      <w:r>
        <w:t xml:space="preserve">Campo Grande registrava 307,1 mil vínculos formais com remuneração média de R$ 4 mil, acima da média estadual de R$ 3,3 mil, com ocupações predominantes de dirigentes do serviço público, faxineiros e assistentes administrativos (RAIS). A formalização via MEI ampliou a cobertura previdenciária de parte </w:t>
      </w:r>
      <w:r>
        <w:lastRenderedPageBreak/>
        <w:t>dos trabalhadores autônomos, mas com contribuição reduzida e acesso limitado a benefícios. A Economia Solidária carece de marco municipal de formalização que reconheça cooperativas e associações de produção como sujeitos de compras públicas e de crédito. A distância entre formalização e proteção efetiva é maior nos setores de construção civil, serviços domésticos, reciclagem e comércio ambulante, que concentram trabalhadores negros, indígenas e migrantes (E3-F13, E3-F16). O fator relaciona-se a E1-F28 e E1-F18, e o planejamento deve monitorar a formalização desagregada por raça, sexo e território.</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14A47E46"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68B8FD51" w14:textId="77777777" w:rsidR="00D16019" w:rsidRDefault="00000000">
            <w:pPr>
              <w:keepNext/>
              <w:spacing w:before="10" w:after="10"/>
              <w:jc w:val="center"/>
            </w:pPr>
            <w:r>
              <w:rPr>
                <w:b/>
                <w:bCs/>
                <w:color w:val="FFFFFF"/>
              </w:rPr>
              <w:t>E1-F11</w:t>
            </w:r>
          </w:p>
        </w:tc>
        <w:tc>
          <w:tcPr>
            <w:tcW w:w="7054"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1BDAEFDC" w14:textId="77777777" w:rsidR="00D16019" w:rsidRDefault="00000000">
            <w:pPr>
              <w:keepNext/>
              <w:spacing w:before="10" w:after="10"/>
            </w:pPr>
            <w:r>
              <w:rPr>
                <w:b/>
                <w:bCs/>
                <w:color w:val="1A3A5C"/>
                <w:sz w:val="24"/>
                <w:szCs w:val="24"/>
              </w:rPr>
              <w:t>Iniciativas de economia solidária</w:t>
            </w:r>
          </w:p>
        </w:tc>
        <w:tc>
          <w:tcPr>
            <w:tcW w:w="1300"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39307FD2" w14:textId="77777777" w:rsidR="00D16019" w:rsidRDefault="00000000">
            <w:pPr>
              <w:keepNext/>
              <w:spacing w:before="10" w:after="10"/>
              <w:jc w:val="center"/>
            </w:pPr>
            <w:r>
              <w:rPr>
                <w:color w:val="1A3A5C"/>
                <w:sz w:val="20"/>
                <w:szCs w:val="20"/>
              </w:rPr>
              <w:t>ODS 8</w:t>
            </w:r>
          </w:p>
        </w:tc>
      </w:tr>
    </w:tbl>
    <w:p w14:paraId="058CF4E3"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Formas de trabalho e produção em que as pessoas se unem para gerar renda de maneira coletiva, justa e igualitária.</w:t>
      </w:r>
    </w:p>
    <w:p w14:paraId="0B9B5773" w14:textId="3EAD6AD1" w:rsidR="00D16019" w:rsidRDefault="00000000">
      <w:pPr>
        <w:spacing w:before="60" w:after="220" w:line="276" w:lineRule="auto"/>
        <w:jc w:val="both"/>
      </w:pPr>
      <w:r w:rsidRPr="00B90C82">
        <w:t>As iniciativas de economia solidária em Campo Grande concentram-se em cooperativas e associações de catadores de materiais recicláveis, grupos de produção artesanal e feiras de economia popular, sem cadastro municipal atualizado que permita dimensionar seu número, faturamento e trabalhadores envolvidos. A coleta de resíduos domiciliares atinge 99,23% da população, gerando volume de recicláveis que poderia sustentar uma cadeia solidária mais robusta (E1-F27), hoje limitada pela baixa remuneração dos catadores e pela ausência de contratos de prestação de serviço com o poder público. As aldeias urbanas</w:t>
      </w:r>
      <w:r>
        <w:t xml:space="preserve"> indígenas mantêm produção artesanal com potencial de comercialização coletiva. O fator depende de E1-F22 e E1-F20 para acesso a capital e de E6-F04 para parcerias institucionais, e constitui eixo estratégico de geração de renda nos territórios de maior vulnerabilidade.</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1D15DB50"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617685FB" w14:textId="77777777" w:rsidR="00D16019" w:rsidRDefault="00000000">
            <w:pPr>
              <w:keepNext/>
              <w:spacing w:before="10" w:after="10"/>
              <w:jc w:val="center"/>
            </w:pPr>
            <w:r>
              <w:rPr>
                <w:b/>
                <w:bCs/>
                <w:color w:val="FFFFFF"/>
              </w:rPr>
              <w:t>E1-F12</w:t>
            </w:r>
          </w:p>
        </w:tc>
        <w:tc>
          <w:tcPr>
            <w:tcW w:w="7054"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1AFED8A9" w14:textId="77777777" w:rsidR="00D16019" w:rsidRDefault="00000000">
            <w:pPr>
              <w:keepNext/>
              <w:spacing w:before="10" w:after="10"/>
            </w:pPr>
            <w:r>
              <w:rPr>
                <w:b/>
                <w:bCs/>
                <w:color w:val="1A3A5C"/>
                <w:sz w:val="24"/>
                <w:szCs w:val="24"/>
              </w:rPr>
              <w:t>Disponibilidade de emprego</w:t>
            </w:r>
          </w:p>
        </w:tc>
        <w:tc>
          <w:tcPr>
            <w:tcW w:w="1300"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3DCA8324" w14:textId="77777777" w:rsidR="00D16019" w:rsidRDefault="00000000">
            <w:pPr>
              <w:keepNext/>
              <w:spacing w:before="10" w:after="10"/>
              <w:jc w:val="center"/>
            </w:pPr>
            <w:r>
              <w:rPr>
                <w:color w:val="1A3A5C"/>
                <w:sz w:val="20"/>
                <w:szCs w:val="20"/>
              </w:rPr>
              <w:t>ODS 8</w:t>
            </w:r>
          </w:p>
        </w:tc>
      </w:tr>
    </w:tbl>
    <w:p w14:paraId="6A8B60BB"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Existência de vagas de trabalho na região para quem quer e precisa trabalhar.</w:t>
      </w:r>
    </w:p>
    <w:p w14:paraId="000AC984" w14:textId="77777777" w:rsidR="00D16019" w:rsidRDefault="00000000">
      <w:pPr>
        <w:spacing w:before="60" w:after="220" w:line="276" w:lineRule="auto"/>
        <w:jc w:val="both"/>
      </w:pPr>
      <w:r>
        <w:t>A disponibilidade de vagas em Campo Grande concentra-se no setor de serviços, no comércio e na administração pública, com oferta geograficamente localizada no centro e nos eixos comerciais, distante das regiões urbanas de maior vulnerabilidade. O saldo positivo de 8.107 empregos formais entre janeiro e setembro de 2025 (CAGED) mantém a capital como principal mercado de trabalho do estado, mas o perfil das vagas criadas, com predominância de ocupações de baixa remuneração, limita seu efeito redistributivo. A distância entre moradia e emprego, combinada à frequência insuficiente do transporte coletivo operado pelo Consórcio Guaicurus nas regiões periféricas (E5-F23), funciona como barreira de acesso às vagas existentes. A atração regional de trabalhadores, incluindo migrantes estrangeiros que representam 17,1% da população em situação de rua (GT-PSR, 2025), indica que a oferta de emprego não absorve todos os que a capital atrai. O fator relaciona-se a E1-F08, E1-F13 e E5-F16.</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47BC0FC7"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38E18FCA" w14:textId="77777777" w:rsidR="00D16019" w:rsidRDefault="00000000">
            <w:pPr>
              <w:keepNext/>
              <w:spacing w:before="10" w:after="10"/>
              <w:jc w:val="center"/>
            </w:pPr>
            <w:r>
              <w:rPr>
                <w:b/>
                <w:bCs/>
                <w:color w:val="FFFFFF"/>
              </w:rPr>
              <w:t>E1-F13</w:t>
            </w:r>
          </w:p>
        </w:tc>
        <w:tc>
          <w:tcPr>
            <w:tcW w:w="7054"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4056131F" w14:textId="77777777" w:rsidR="00D16019" w:rsidRDefault="00000000">
            <w:pPr>
              <w:keepNext/>
              <w:spacing w:before="10" w:after="10"/>
            </w:pPr>
            <w:r>
              <w:rPr>
                <w:b/>
                <w:bCs/>
                <w:color w:val="1A3A5C"/>
                <w:sz w:val="24"/>
                <w:szCs w:val="24"/>
              </w:rPr>
              <w:t>Desemprego</w:t>
            </w:r>
          </w:p>
        </w:tc>
        <w:tc>
          <w:tcPr>
            <w:tcW w:w="1300"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41287277" w14:textId="77777777" w:rsidR="00D16019" w:rsidRDefault="00000000">
            <w:pPr>
              <w:keepNext/>
              <w:spacing w:before="10" w:after="10"/>
              <w:jc w:val="center"/>
            </w:pPr>
            <w:r>
              <w:rPr>
                <w:color w:val="1A3A5C"/>
                <w:sz w:val="20"/>
                <w:szCs w:val="20"/>
              </w:rPr>
              <w:t>ODS 8</w:t>
            </w:r>
          </w:p>
        </w:tc>
      </w:tr>
    </w:tbl>
    <w:p w14:paraId="14B62940"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Falta de trabalho para quem quer e precisa trabalhar. Aumenta a pobreza e os problemas sociais.</w:t>
      </w:r>
    </w:p>
    <w:p w14:paraId="2B593B91" w14:textId="77777777" w:rsidR="00D16019" w:rsidRDefault="00000000">
      <w:pPr>
        <w:spacing w:before="60" w:after="220" w:line="276" w:lineRule="auto"/>
        <w:jc w:val="both"/>
      </w:pPr>
      <w:r>
        <w:t>A taxa de desocupação municipal não é produzida com periodicidade anual para Campo Grande; a PNAD Contínua divulga estimativas para o conjunto dos municípios das capitais, que devem ser extraídas para a série histórica do diagnóstico. O desemprego manifesta-se de forma concentrada nas regiões urbanas do Anhanduizinho, da Lagoa e do Bandeira, onde se localiza a maior parte das famílias inscritas no CadÚnico, e atinge com maior intensidade jovens, mulheres chefes de família e pessoas negras. O crescimento da população em situação de rua, de 503 pessoas em 2018 para 1.611 em outubro de 2025 segundo levantamento municipal divulgado pela imprensa, é indicador indireto da combinação entre desemprego, custo da moradia e fragilidade das redes de proteção (E3-F14). O fator alimenta E1-F28 e E3-F01 e tem efeitos documentados sobre saúde mental (E2-F18) e uso de álcool e outras drogas (E2-F10).</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41DD07DA"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194EEFD0" w14:textId="77777777" w:rsidR="00D16019" w:rsidRDefault="00000000">
            <w:pPr>
              <w:keepNext/>
              <w:spacing w:before="10" w:after="10"/>
              <w:jc w:val="center"/>
            </w:pPr>
            <w:r>
              <w:rPr>
                <w:b/>
                <w:bCs/>
                <w:color w:val="FFFFFF"/>
              </w:rPr>
              <w:lastRenderedPageBreak/>
              <w:t>E1-F14</w:t>
            </w:r>
          </w:p>
        </w:tc>
        <w:tc>
          <w:tcPr>
            <w:tcW w:w="7054"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0452B2A4" w14:textId="77777777" w:rsidR="00D16019" w:rsidRDefault="00000000">
            <w:pPr>
              <w:keepNext/>
              <w:spacing w:before="10" w:after="10"/>
            </w:pPr>
            <w:r>
              <w:rPr>
                <w:b/>
                <w:bCs/>
                <w:color w:val="1A3A5C"/>
                <w:sz w:val="24"/>
                <w:szCs w:val="24"/>
              </w:rPr>
              <w:t>Trabalho infantil</w:t>
            </w:r>
          </w:p>
        </w:tc>
        <w:tc>
          <w:tcPr>
            <w:tcW w:w="1300"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739BFA44" w14:textId="77777777" w:rsidR="00D16019" w:rsidRDefault="00000000">
            <w:pPr>
              <w:keepNext/>
              <w:spacing w:before="10" w:after="10"/>
              <w:jc w:val="center"/>
            </w:pPr>
            <w:r>
              <w:rPr>
                <w:color w:val="1A3A5C"/>
                <w:sz w:val="20"/>
                <w:szCs w:val="20"/>
              </w:rPr>
              <w:t>ODS 8</w:t>
            </w:r>
          </w:p>
        </w:tc>
      </w:tr>
    </w:tbl>
    <w:p w14:paraId="5783077E"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 xml:space="preserve">É quando obrigam as crianças a trabalhar, o que é proibido, e tira delas o tempo de brincar e estudar, </w:t>
      </w:r>
      <w:proofErr w:type="gramStart"/>
      <w:r>
        <w:rPr>
          <w:i/>
          <w:iCs/>
          <w:color w:val="4A5568"/>
          <w:sz w:val="21"/>
          <w:szCs w:val="21"/>
        </w:rPr>
        <w:t>mantendo elas</w:t>
      </w:r>
      <w:proofErr w:type="gramEnd"/>
      <w:r>
        <w:rPr>
          <w:i/>
          <w:iCs/>
          <w:color w:val="4A5568"/>
          <w:sz w:val="21"/>
          <w:szCs w:val="21"/>
        </w:rPr>
        <w:t xml:space="preserve"> na pobreza.</w:t>
      </w:r>
    </w:p>
    <w:p w14:paraId="58C349AF" w14:textId="77777777" w:rsidR="00D16019" w:rsidRDefault="00000000">
      <w:pPr>
        <w:spacing w:before="60" w:after="220" w:line="276" w:lineRule="auto"/>
        <w:jc w:val="both"/>
      </w:pPr>
      <w:r>
        <w:t>O trabalho infantil em Campo Grande manifesta-se nas formas de menor visibilidade, como o trabalho doméstico intrafamiliar, a venda ambulante em semáforos da área central e o acompanhamento de adultos na catação de recicláveis. A identificação de 52 crianças entre as pessoas em situação de rua no Censo de setembro de 2025 (GT-PSR) é sinal de risco elevado de exploração. Os registros de denúncias ao Disque 100, as notificações do SINAN por trabalho infantil e os dados do Censo Escolar sobre abandono constituem as fontes para dimensionar o fenômeno no município, ainda não sistematizadas nesta versão. O fator articula-se a E1-F01, E3-F09 e E5-F04 e exige protocolo conjunto entre escolas, Conselhos Tutelares, CRAS e equipes de saúde, com atenção às especificidades culturais das crianças indígenas e migrantes, cuja abordagem demanda formação específica dos profissionais.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130C9E01"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56EEA167" w14:textId="77777777" w:rsidR="00D16019" w:rsidRDefault="00000000">
            <w:pPr>
              <w:keepNext/>
              <w:spacing w:before="10" w:after="10"/>
              <w:jc w:val="center"/>
            </w:pPr>
            <w:r>
              <w:rPr>
                <w:b/>
                <w:bCs/>
                <w:color w:val="FFFFFF"/>
              </w:rPr>
              <w:t>E1-F15</w:t>
            </w:r>
          </w:p>
        </w:tc>
        <w:tc>
          <w:tcPr>
            <w:tcW w:w="7054"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1BB2DCAA" w14:textId="77777777" w:rsidR="00D16019" w:rsidRDefault="00000000">
            <w:pPr>
              <w:keepNext/>
              <w:spacing w:before="10" w:after="10"/>
            </w:pPr>
            <w:r>
              <w:rPr>
                <w:b/>
                <w:bCs/>
                <w:color w:val="1A3A5C"/>
                <w:sz w:val="24"/>
                <w:szCs w:val="24"/>
              </w:rPr>
              <w:t>Trabalho em condições análogas às de escravidão</w:t>
            </w:r>
          </w:p>
        </w:tc>
        <w:tc>
          <w:tcPr>
            <w:tcW w:w="1300"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37C81CFB" w14:textId="77777777" w:rsidR="00D16019" w:rsidRDefault="00000000">
            <w:pPr>
              <w:keepNext/>
              <w:spacing w:before="10" w:after="10"/>
              <w:jc w:val="center"/>
            </w:pPr>
            <w:r>
              <w:rPr>
                <w:color w:val="1A3A5C"/>
                <w:sz w:val="20"/>
                <w:szCs w:val="20"/>
              </w:rPr>
              <w:t>ODS 8</w:t>
            </w:r>
          </w:p>
        </w:tc>
      </w:tr>
    </w:tbl>
    <w:p w14:paraId="66165784"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É quando obrigam alguém a trabalhar sem liberdade e em condições muito ruins, o que é crime.</w:t>
      </w:r>
    </w:p>
    <w:p w14:paraId="022843EA" w14:textId="77777777" w:rsidR="00D16019" w:rsidRDefault="00000000">
      <w:pPr>
        <w:spacing w:before="60" w:after="220" w:line="276" w:lineRule="auto"/>
        <w:jc w:val="both"/>
      </w:pPr>
      <w:r>
        <w:t>Mato Grosso do Sul registra operações recorrentes de resgate de trabalhadores em condições análogas às de escravidão em atividades agropecuárias, carvoarias e frigoríficos, segundo o Painel de Informações e Estatísticas da Inspeção do Trabalho do Ministério do Trabalho e Emprego, fonte a ser consultada para o recorte municipal. Campo Grande funciona como ponto de recrutamento e trânsito de trabalhadores aliciados para o interior e, por sua posição na rota de fronteira com Paraguai e Bolívia, como espaço de circulação de migrantes em situação irregular (E3-F13). A população indígena urbana, que cresceu de 5,8 mil para 18,4 mil pessoas entre os Censos de 2010 e 2022, inclui trabalhadores sazonais expostos a intermediação ilegal de mão de obra. O fator relaciona-se a E3-F07 e E1-F18, e a APS deve ser preparada para reconhecer sinais de exploração em atendimentos a trabalhadores migrantes e indígenas.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13A601EF"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5DC21D21" w14:textId="77777777" w:rsidR="00D16019" w:rsidRDefault="00000000">
            <w:pPr>
              <w:keepNext/>
              <w:spacing w:before="10" w:after="10"/>
              <w:jc w:val="center"/>
            </w:pPr>
            <w:r>
              <w:rPr>
                <w:b/>
                <w:bCs/>
                <w:color w:val="FFFFFF"/>
              </w:rPr>
              <w:t>E1-F16</w:t>
            </w:r>
          </w:p>
        </w:tc>
        <w:tc>
          <w:tcPr>
            <w:tcW w:w="7054"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7AE472DF" w14:textId="77777777" w:rsidR="00D16019" w:rsidRDefault="00000000">
            <w:pPr>
              <w:keepNext/>
              <w:spacing w:before="10" w:after="10"/>
            </w:pPr>
            <w:r>
              <w:rPr>
                <w:b/>
                <w:bCs/>
                <w:color w:val="1A3A5C"/>
                <w:sz w:val="24"/>
                <w:szCs w:val="24"/>
              </w:rPr>
              <w:t>Ambientes de trabalho seguros</w:t>
            </w:r>
          </w:p>
        </w:tc>
        <w:tc>
          <w:tcPr>
            <w:tcW w:w="1300"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2917DDD5" w14:textId="77777777" w:rsidR="00D16019" w:rsidRDefault="00000000">
            <w:pPr>
              <w:keepNext/>
              <w:spacing w:before="10" w:after="10"/>
              <w:jc w:val="center"/>
            </w:pPr>
            <w:r>
              <w:rPr>
                <w:color w:val="1A3A5C"/>
                <w:sz w:val="20"/>
                <w:szCs w:val="20"/>
              </w:rPr>
              <w:t>ODS 8</w:t>
            </w:r>
          </w:p>
        </w:tc>
      </w:tr>
    </w:tbl>
    <w:p w14:paraId="62A4E139"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Locais de trabalho sem riscos à saúde e com boas condições. Protege a vida e o bem-estar dos trabalhadores.</w:t>
      </w:r>
    </w:p>
    <w:p w14:paraId="6A6138C6" w14:textId="77777777" w:rsidR="00D16019" w:rsidRDefault="00000000">
      <w:pPr>
        <w:spacing w:before="60" w:after="220" w:line="276" w:lineRule="auto"/>
        <w:jc w:val="both"/>
      </w:pPr>
      <w:r>
        <w:t>A segurança nos ambientes de trabalho em Campo Grande é monitorada pelo Centro de Referência em Saúde do Trabalhador estadual e pelas notificações de acidentes de trabalho graves no SINAN, sistema sabidamente subnotificado para trabalhadores informais. Os setores de construção civil, frigoríficos, transporte de cargas e limpeza urbana concentram os riscos de maior gravidade. O vendaval de 10 de setembro de 2026, com rajadas de 83,8 km/h, expôs trabalhadores de manutenção elétrica e poda a condições de alto risco durante a recomposição da rede, com previsão de substituição de até 100 postes pela Energisa. A exposição ocupacional a agrotóxicos nas áreas rurais do município e a exposição de catadores a resíduos perigosos completam o quadro. O fator relaciona-se a E1-F18, E2-F11 e E5-F03, e o planejamento deve integrar vigilância em saúde do trabalhador às equipes de APS nos territórios com maior concentração de trabalho informal.</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2C64D263"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2ECBE171" w14:textId="77777777" w:rsidR="00D16019" w:rsidRDefault="00000000">
            <w:pPr>
              <w:keepNext/>
              <w:spacing w:before="10" w:after="10"/>
              <w:jc w:val="center"/>
            </w:pPr>
            <w:r>
              <w:rPr>
                <w:b/>
                <w:bCs/>
                <w:color w:val="FFFFFF"/>
              </w:rPr>
              <w:t>E1-F17</w:t>
            </w:r>
          </w:p>
        </w:tc>
        <w:tc>
          <w:tcPr>
            <w:tcW w:w="7054"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5E9479E6" w14:textId="77777777" w:rsidR="00D16019" w:rsidRDefault="00000000">
            <w:pPr>
              <w:keepNext/>
              <w:spacing w:before="10" w:after="10"/>
            </w:pPr>
            <w:r>
              <w:rPr>
                <w:b/>
                <w:bCs/>
                <w:color w:val="1A3A5C"/>
                <w:sz w:val="24"/>
                <w:szCs w:val="24"/>
              </w:rPr>
              <w:t>Ações solidárias locais</w:t>
            </w:r>
          </w:p>
        </w:tc>
        <w:tc>
          <w:tcPr>
            <w:tcW w:w="1300"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01156232" w14:textId="77777777" w:rsidR="00D16019" w:rsidRDefault="00000000">
            <w:pPr>
              <w:keepNext/>
              <w:spacing w:before="10" w:after="10"/>
              <w:jc w:val="center"/>
            </w:pPr>
            <w:r>
              <w:rPr>
                <w:color w:val="1A3A5C"/>
                <w:sz w:val="20"/>
                <w:szCs w:val="20"/>
              </w:rPr>
              <w:t>ODS 8</w:t>
            </w:r>
          </w:p>
        </w:tc>
      </w:tr>
    </w:tbl>
    <w:p w14:paraId="32E7D89D"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Ajuda entre vizinhos e grupos da comunidade, como doação de alimentos e apoio a quem está passando dificuldade.</w:t>
      </w:r>
    </w:p>
    <w:p w14:paraId="036DCA4E" w14:textId="1DE7BC74" w:rsidR="00D16019" w:rsidRDefault="00000000">
      <w:pPr>
        <w:spacing w:before="60" w:after="220" w:line="276" w:lineRule="auto"/>
        <w:jc w:val="both"/>
      </w:pPr>
      <w:r>
        <w:t xml:space="preserve">As ações solidárias locais em Campo Grande, como doação de alimentos, cozinhas comunitárias, apoio a famílias em situação de rua e redes de vizinhança, são conduzidas por igrejas, associações de moradores, coletivos e organizações indígenas, com intensidade que aumenta em momentos de crise. Após o vendaval de setembro de 2026, a mobilização comunitária complementou a resposta municipal na remoção de árvores </w:t>
      </w:r>
      <w:r>
        <w:lastRenderedPageBreak/>
        <w:t>e no apoio a famílias atingidas, padrão observado também nos alagamentos de abril de 2025. O fator articula-se a E6-F01, E6-F16 e E6-F05, e sua valorização no plano popular passa por apoio logístico e financeiro sem captura da autonomia das iniciativas.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2210DC4E"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25F6C434" w14:textId="77777777" w:rsidR="00D16019" w:rsidRDefault="00000000">
            <w:pPr>
              <w:keepNext/>
              <w:spacing w:before="10" w:after="10"/>
              <w:jc w:val="center"/>
            </w:pPr>
            <w:r>
              <w:rPr>
                <w:b/>
                <w:bCs/>
                <w:color w:val="FFFFFF"/>
              </w:rPr>
              <w:t>E1-F18</w:t>
            </w:r>
          </w:p>
        </w:tc>
        <w:tc>
          <w:tcPr>
            <w:tcW w:w="7054"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06D1C105" w14:textId="77777777" w:rsidR="00D16019" w:rsidRDefault="00000000">
            <w:pPr>
              <w:keepNext/>
              <w:spacing w:before="10" w:after="10"/>
            </w:pPr>
            <w:r>
              <w:rPr>
                <w:b/>
                <w:bCs/>
                <w:color w:val="1A3A5C"/>
                <w:sz w:val="24"/>
                <w:szCs w:val="24"/>
              </w:rPr>
              <w:t>Condições de trabalho</w:t>
            </w:r>
          </w:p>
        </w:tc>
        <w:tc>
          <w:tcPr>
            <w:tcW w:w="1300"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37E6888A" w14:textId="77777777" w:rsidR="00D16019" w:rsidRDefault="00000000">
            <w:pPr>
              <w:keepNext/>
              <w:spacing w:before="10" w:after="10"/>
              <w:jc w:val="center"/>
            </w:pPr>
            <w:r>
              <w:rPr>
                <w:color w:val="1A3A5C"/>
                <w:sz w:val="20"/>
                <w:szCs w:val="20"/>
              </w:rPr>
              <w:t>ODS 8</w:t>
            </w:r>
          </w:p>
        </w:tc>
      </w:tr>
    </w:tbl>
    <w:p w14:paraId="7BE0671C"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O jeito e o ambiente em que a pessoa trabalha: horários, segurança, salário e respeito no dia a dia.</w:t>
      </w:r>
    </w:p>
    <w:p w14:paraId="6AE0A803" w14:textId="77777777" w:rsidR="00D16019" w:rsidRDefault="00000000">
      <w:pPr>
        <w:spacing w:before="60" w:after="220" w:line="276" w:lineRule="auto"/>
        <w:jc w:val="both"/>
      </w:pPr>
      <w:r>
        <w:t>As condições de trabalho em Campo Grande apresentam forte segmentação: vínculos públicos e de serviços especializados com remuneração e estabilidade elevadas coexistem com ocupações de limpeza, comércio, construção e serviços pessoais de baixa remuneração, jornadas extensas e alta rotatividade, como indica a predominância de faxineiros entre as ocupações formais mais frequentes (RAIS). Nas ocupações informais, a ausência de direitos amplia a exposição a riscos e reduz o acesso a afastamento por doença. As condições de trabalho dos profissionais de saúde, sobretudo dos vinculados por residência e contratos temporários, afetam a fixação das equipes nas regiões periféricas (E2-F16). O fator relaciona-se a E1-F10, E1-F16 e E1-F28 e tem efeitos sobre saúde mental (E2-F18) e doenças crônicas (E2-F09), devendo o plano popular incorporar indicadores de qualidade do emprego e não apenas de quantidade de vagas.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3BD09A90"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479A6B42" w14:textId="77777777" w:rsidR="00D16019" w:rsidRDefault="00000000">
            <w:pPr>
              <w:keepNext/>
              <w:spacing w:before="10" w:after="10"/>
              <w:jc w:val="center"/>
            </w:pPr>
            <w:r>
              <w:rPr>
                <w:b/>
                <w:bCs/>
                <w:color w:val="FFFFFF"/>
              </w:rPr>
              <w:t>E1-F19</w:t>
            </w:r>
          </w:p>
        </w:tc>
        <w:tc>
          <w:tcPr>
            <w:tcW w:w="7054"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0A1199AC" w14:textId="77777777" w:rsidR="00D16019" w:rsidRDefault="00000000">
            <w:pPr>
              <w:keepNext/>
              <w:spacing w:before="10" w:after="10"/>
            </w:pPr>
            <w:r>
              <w:rPr>
                <w:b/>
                <w:bCs/>
                <w:color w:val="1A3A5C"/>
                <w:sz w:val="24"/>
                <w:szCs w:val="24"/>
              </w:rPr>
              <w:t>Promoção de políticas de investimento local</w:t>
            </w:r>
          </w:p>
        </w:tc>
        <w:tc>
          <w:tcPr>
            <w:tcW w:w="1300"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60411507" w14:textId="77777777" w:rsidR="00D16019" w:rsidRDefault="00000000">
            <w:pPr>
              <w:keepNext/>
              <w:spacing w:before="10" w:after="10"/>
              <w:jc w:val="center"/>
            </w:pPr>
            <w:r>
              <w:rPr>
                <w:color w:val="1A3A5C"/>
                <w:sz w:val="20"/>
                <w:szCs w:val="20"/>
              </w:rPr>
              <w:t>ODS 8</w:t>
            </w:r>
          </w:p>
        </w:tc>
      </w:tr>
    </w:tbl>
    <w:p w14:paraId="4CC66B2A"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Apoiar projetos que fortaleçam a economia da comunidade.</w:t>
      </w:r>
    </w:p>
    <w:p w14:paraId="730A16D3" w14:textId="77777777" w:rsidR="00D16019" w:rsidRDefault="00000000">
      <w:pPr>
        <w:spacing w:before="60" w:after="220" w:line="276" w:lineRule="auto"/>
        <w:jc w:val="both"/>
      </w:pPr>
      <w:r>
        <w:t>A política de investimento em Campo Grande tem sido orientada pela atração de empresas e pela consolidação da capital como polo logístico e de serviços, enquanto os investimentos industriais de maior porte do estado, como as plantas de celulose, se concentram em municípios do interior. A redução de 1,3 ponto percentual na participação do município no PIB estadual entre 2022 e 2023 (</w:t>
      </w:r>
      <w:proofErr w:type="spellStart"/>
      <w:r>
        <w:t>Semadesc</w:t>
      </w:r>
      <w:proofErr w:type="spellEnd"/>
      <w:r>
        <w:t>) indica a necessidade de estratégia própria de desenvolvimento. O investimento público em saneamento atingiu R$ 195,31 por habitante em 2023, abaixo do parâmetro de R$ 231,09 do PLANSAB (Instituto Trata Brasil, 2025), o que ilustra a distância entre investimento e necessidade. O fator articula-se a E1-F08 e E5-F24 e demanda critérios territoriais de priorização, de modo que o investimento público se dirija às regiões com piores indicadores sociais, sanitários e de infraestrutura.</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73DA085B"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651AA46C" w14:textId="77777777" w:rsidR="00D16019" w:rsidRDefault="00000000">
            <w:pPr>
              <w:keepNext/>
              <w:spacing w:before="10" w:after="10"/>
              <w:jc w:val="center"/>
            </w:pPr>
            <w:r>
              <w:rPr>
                <w:b/>
                <w:bCs/>
                <w:color w:val="FFFFFF"/>
              </w:rPr>
              <w:t>E1-F20</w:t>
            </w:r>
          </w:p>
        </w:tc>
        <w:tc>
          <w:tcPr>
            <w:tcW w:w="7054"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4A22A22B" w14:textId="77777777" w:rsidR="00D16019" w:rsidRDefault="00000000">
            <w:pPr>
              <w:keepNext/>
              <w:spacing w:before="10" w:after="10"/>
            </w:pPr>
            <w:r>
              <w:rPr>
                <w:b/>
                <w:bCs/>
                <w:color w:val="1A3A5C"/>
                <w:sz w:val="24"/>
                <w:szCs w:val="24"/>
              </w:rPr>
              <w:t>Acesso a serviços bancários</w:t>
            </w:r>
          </w:p>
        </w:tc>
        <w:tc>
          <w:tcPr>
            <w:tcW w:w="1300"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2DB42AC8" w14:textId="77777777" w:rsidR="00D16019" w:rsidRDefault="00000000">
            <w:pPr>
              <w:keepNext/>
              <w:spacing w:before="10" w:after="10"/>
              <w:jc w:val="center"/>
            </w:pPr>
            <w:r>
              <w:rPr>
                <w:color w:val="1A3A5C"/>
                <w:sz w:val="20"/>
                <w:szCs w:val="20"/>
              </w:rPr>
              <w:t>ODS 8</w:t>
            </w:r>
          </w:p>
        </w:tc>
      </w:tr>
    </w:tbl>
    <w:p w14:paraId="0E7F72C3"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Permitir que todos possam ter conta, crédito e financiamento.</w:t>
      </w:r>
    </w:p>
    <w:p w14:paraId="4A62654D" w14:textId="77777777" w:rsidR="00D16019" w:rsidRDefault="00000000">
      <w:pPr>
        <w:spacing w:before="60" w:after="220" w:line="276" w:lineRule="auto"/>
        <w:jc w:val="both"/>
      </w:pPr>
      <w:r>
        <w:t>O acesso a serviços bancários em Campo Grande é amplo na área urbana consolidada, com agências, correspondentes e serviços digitais, e o sistema de pagamentos instantâneos ampliou a bancarização de trabalhadores informais. As barreiras persistem para pessoas sem documentação civil, pessoas em situação de rua e parte da população indígena urbana: o Censo 2022 indica que apenas 6% dos indígenas residentes na capital possuem o Registro Administrativo de Nascimento de Indígena, documento complementar que facilita o acesso a direitos, o que se soma a dificuldades de registro civil (E3-F08). A exclusão bancária limita o acesso a crédito (E1-F22, E1-F29) e a benefícios sociais operados por conta. O fator relaciona-se a E1-F11 e E3-F12, e o plano popular pode incorporar ações de documentação e educação financeira articuladas aos CRAS e às unidades de saúde.</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239F9FA1"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3BD5193C" w14:textId="77777777" w:rsidR="00D16019" w:rsidRDefault="00000000">
            <w:pPr>
              <w:keepNext/>
              <w:spacing w:before="10" w:after="10"/>
              <w:jc w:val="center"/>
            </w:pPr>
            <w:r>
              <w:rPr>
                <w:b/>
                <w:bCs/>
                <w:color w:val="FFFFFF"/>
              </w:rPr>
              <w:t>E1-F21</w:t>
            </w:r>
          </w:p>
        </w:tc>
        <w:tc>
          <w:tcPr>
            <w:tcW w:w="7054"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7935D99A" w14:textId="77777777" w:rsidR="00D16019" w:rsidRDefault="00000000">
            <w:pPr>
              <w:keepNext/>
              <w:spacing w:before="10" w:after="10"/>
            </w:pPr>
            <w:r>
              <w:rPr>
                <w:b/>
                <w:bCs/>
                <w:color w:val="1A3A5C"/>
                <w:sz w:val="24"/>
                <w:szCs w:val="24"/>
              </w:rPr>
              <w:t>Industrialização inclusiva e sustentável</w:t>
            </w:r>
          </w:p>
        </w:tc>
        <w:tc>
          <w:tcPr>
            <w:tcW w:w="1300"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21E9DBBD" w14:textId="77777777" w:rsidR="00D16019" w:rsidRDefault="00000000">
            <w:pPr>
              <w:keepNext/>
              <w:spacing w:before="10" w:after="10"/>
              <w:jc w:val="center"/>
            </w:pPr>
            <w:r>
              <w:rPr>
                <w:color w:val="1A3A5C"/>
                <w:sz w:val="20"/>
                <w:szCs w:val="20"/>
              </w:rPr>
              <w:t>ODS 9</w:t>
            </w:r>
          </w:p>
        </w:tc>
      </w:tr>
    </w:tbl>
    <w:p w14:paraId="3DBB9F48"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Desenvolvimento da indústria com inclusão social e respeito ao meio ambiente.</w:t>
      </w:r>
    </w:p>
    <w:p w14:paraId="61DA650C" w14:textId="5E357087" w:rsidR="00D16019" w:rsidRDefault="00000000">
      <w:pPr>
        <w:spacing w:before="60" w:after="220" w:line="276" w:lineRule="auto"/>
        <w:jc w:val="both"/>
      </w:pPr>
      <w:r>
        <w:t xml:space="preserve">A indústria responde por 14,8% do valor adicionado de Campo Grande, com predominância de agroindústria, frigoríficos, alimentos, construção civil e indústria farmacêutica, enquanto a industrialização de grande porte do estado se desloca para o interior. A inclusividade dessa industrialização é limitada: as faixas salariais mais baixas concentram trabalhadores com menor escolaridade e populações negras e </w:t>
      </w:r>
      <w:r>
        <w:lastRenderedPageBreak/>
        <w:t>indígenas, e a localização de plantas industriais próximas a áreas residenciais periféricas gera conflitos por emissões e ruído não monitorados de forma sistemática (E2-F21, E2-F25). O fator articula-se a E1-F23, E5-F15 e E5-F05 e deve orientar a exigência de contrapartidas sociais e ambientais em incentivos fiscais concedidos pelo município.</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7E1D1E49"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126359AD" w14:textId="77777777" w:rsidR="00D16019" w:rsidRDefault="00000000">
            <w:pPr>
              <w:keepNext/>
              <w:spacing w:before="10" w:after="10"/>
              <w:jc w:val="center"/>
            </w:pPr>
            <w:r>
              <w:rPr>
                <w:b/>
                <w:bCs/>
                <w:color w:val="FFFFFF"/>
              </w:rPr>
              <w:t>E1-F22</w:t>
            </w:r>
          </w:p>
        </w:tc>
        <w:tc>
          <w:tcPr>
            <w:tcW w:w="7054"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0873ECEF" w14:textId="77777777" w:rsidR="00D16019" w:rsidRDefault="00000000">
            <w:pPr>
              <w:keepNext/>
              <w:spacing w:before="10" w:after="10"/>
            </w:pPr>
            <w:r>
              <w:rPr>
                <w:b/>
                <w:bCs/>
                <w:color w:val="1A3A5C"/>
                <w:sz w:val="24"/>
                <w:szCs w:val="24"/>
              </w:rPr>
              <w:t>Crédito para micro, pequenas empresas e cooperativas</w:t>
            </w:r>
          </w:p>
        </w:tc>
        <w:tc>
          <w:tcPr>
            <w:tcW w:w="1300"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6255514F" w14:textId="77777777" w:rsidR="00D16019" w:rsidRDefault="00000000">
            <w:pPr>
              <w:keepNext/>
              <w:spacing w:before="10" w:after="10"/>
              <w:jc w:val="center"/>
            </w:pPr>
            <w:r>
              <w:rPr>
                <w:color w:val="1A3A5C"/>
                <w:sz w:val="20"/>
                <w:szCs w:val="20"/>
              </w:rPr>
              <w:t>ODS 9</w:t>
            </w:r>
          </w:p>
        </w:tc>
      </w:tr>
    </w:tbl>
    <w:p w14:paraId="3E1FC783"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Empréstimo de dinheiro com juros baixos para ajudar o pequeno comerciante ou produtor a melhorar seu negócio.</w:t>
      </w:r>
    </w:p>
    <w:p w14:paraId="6435C321" w14:textId="4BC36162" w:rsidR="00D16019" w:rsidRDefault="00000000">
      <w:pPr>
        <w:spacing w:before="60" w:after="220" w:line="276" w:lineRule="auto"/>
        <w:jc w:val="both"/>
      </w:pPr>
      <w:r>
        <w:t xml:space="preserve">O crédito para micro e pequenas empresas e cooperativas em Campo Grande é ofertado por bancos públicos, cooperativas de crédito e pelo programa estadual de microcrédito, além de iniciativas municipais vinculadas à Fundação Social do Trabalho. As barreiras de acesso concentram-se em exigências de garantias, documentação e histórico bancário, que excluem </w:t>
      </w:r>
      <w:proofErr w:type="spellStart"/>
      <w:r>
        <w:t>empreendimentos</w:t>
      </w:r>
      <w:proofErr w:type="spellEnd"/>
      <w:r>
        <w:t xml:space="preserve"> solidários, grupos de mulheres e empreendedores indígenas e migrantes. Após o vendaval de setembro de 2026, a necessidade de crédito para recomposição de pequenos negócios atingidos por destelhamento e perda de energia tornou-se visível, articulando este fator a E1-F29. O crédito orientado condiciona E1-F09 e E1-F11 e deve ser acompanhado de assistência técnica para evitar endividamento em territórios de renda baixa e instável.</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442F6C36"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7D8BC152" w14:textId="77777777" w:rsidR="00D16019" w:rsidRDefault="00000000">
            <w:pPr>
              <w:keepNext/>
              <w:spacing w:before="10" w:after="10"/>
              <w:jc w:val="center"/>
            </w:pPr>
            <w:r>
              <w:rPr>
                <w:b/>
                <w:bCs/>
                <w:color w:val="FFFFFF"/>
              </w:rPr>
              <w:t>E1-F23</w:t>
            </w:r>
          </w:p>
        </w:tc>
        <w:tc>
          <w:tcPr>
            <w:tcW w:w="7054"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75845C0D" w14:textId="77777777" w:rsidR="00D16019" w:rsidRDefault="00000000">
            <w:pPr>
              <w:keepNext/>
              <w:spacing w:before="10" w:after="10"/>
            </w:pPr>
            <w:r>
              <w:rPr>
                <w:b/>
                <w:bCs/>
                <w:color w:val="1A3A5C"/>
                <w:sz w:val="24"/>
                <w:szCs w:val="24"/>
              </w:rPr>
              <w:t>Atividades econômicas sustentáveis</w:t>
            </w:r>
          </w:p>
        </w:tc>
        <w:tc>
          <w:tcPr>
            <w:tcW w:w="1300"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71CC42E6" w14:textId="77777777" w:rsidR="00D16019" w:rsidRDefault="00000000">
            <w:pPr>
              <w:keepNext/>
              <w:spacing w:before="10" w:after="10"/>
              <w:jc w:val="center"/>
            </w:pPr>
            <w:r>
              <w:rPr>
                <w:color w:val="1A3A5C"/>
                <w:sz w:val="20"/>
                <w:szCs w:val="20"/>
              </w:rPr>
              <w:t>ODS 9</w:t>
            </w:r>
          </w:p>
        </w:tc>
      </w:tr>
    </w:tbl>
    <w:p w14:paraId="6A573ACB"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Produção que respeita os limites ambientais. Garante crescimento sem comprometer os recursos naturais.</w:t>
      </w:r>
    </w:p>
    <w:p w14:paraId="2F775C28" w14:textId="39D53706" w:rsidR="00D16019" w:rsidRDefault="00000000">
      <w:pPr>
        <w:spacing w:before="60" w:after="220" w:line="276" w:lineRule="auto"/>
        <w:jc w:val="both"/>
      </w:pPr>
      <w:r>
        <w:t xml:space="preserve">As atividades econômicas sustentáveis em Campo Grande têm expressão em iniciativas privadas de energia solar distribuída, eficiência no uso da água e reciclagem, mas não estão organizadas em política municipal com metas e incentivos. A economia local mantém dependência de cadeias associadas à conversão do Cerrado e à pecuária extensiva, cuja expansão regional tem custos ambientais documentados pelo MapBiomas (E4-F16). A transição para atividades de menor impacto, como agroecologia periurbana (E1-F05), reciclagem organizada (E1-F27), turismo </w:t>
      </w:r>
      <w:r w:rsidRPr="00B90C82">
        <w:t xml:space="preserve">de natureza e serviços ambientais, depende de crédito (E1-F22), formação (E5-F10) e compras públicas. A ausência de indicadores de economia verde no município </w:t>
      </w:r>
      <w:r w:rsidR="00B90C82" w:rsidRPr="00B90C82">
        <w:t>deve ser evidenciada.</w:t>
      </w:r>
      <w:r w:rsidRPr="00B90C82">
        <w:t xml:space="preserve"> O fator articula-se a E1-F21 e E4-F22 e permite ao plano popular vincular geração de renda e proteção ambiental nos territórios periféricos</w:t>
      </w:r>
      <w:r>
        <w:t xml:space="preserve"> e rurais.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47137BAB"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11173F47" w14:textId="77777777" w:rsidR="00D16019" w:rsidRDefault="00000000">
            <w:pPr>
              <w:keepNext/>
              <w:spacing w:before="10" w:after="10"/>
              <w:jc w:val="center"/>
            </w:pPr>
            <w:r>
              <w:rPr>
                <w:b/>
                <w:bCs/>
                <w:color w:val="FFFFFF"/>
              </w:rPr>
              <w:t>E1-F24</w:t>
            </w:r>
          </w:p>
        </w:tc>
        <w:tc>
          <w:tcPr>
            <w:tcW w:w="7054"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43E34AFA" w14:textId="77777777" w:rsidR="00D16019" w:rsidRDefault="00000000">
            <w:pPr>
              <w:keepNext/>
              <w:spacing w:before="10" w:after="10"/>
            </w:pPr>
            <w:r>
              <w:rPr>
                <w:b/>
                <w:bCs/>
                <w:color w:val="1A3A5C"/>
                <w:sz w:val="24"/>
                <w:szCs w:val="24"/>
              </w:rPr>
              <w:t>Cobrança de preços abusivos por itens básicos</w:t>
            </w:r>
          </w:p>
        </w:tc>
        <w:tc>
          <w:tcPr>
            <w:tcW w:w="1300"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01C03DE7" w14:textId="77777777" w:rsidR="00D16019" w:rsidRDefault="00000000">
            <w:pPr>
              <w:keepNext/>
              <w:spacing w:before="10" w:after="10"/>
              <w:jc w:val="center"/>
            </w:pPr>
            <w:r>
              <w:rPr>
                <w:color w:val="1A3A5C"/>
                <w:sz w:val="20"/>
                <w:szCs w:val="20"/>
              </w:rPr>
              <w:t>ODS 10</w:t>
            </w:r>
          </w:p>
        </w:tc>
      </w:tr>
    </w:tbl>
    <w:p w14:paraId="517C242B"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Quando cobram muito caro por coisas essenciais, como comida, água e remédios, principalmente em momentos de crise.</w:t>
      </w:r>
    </w:p>
    <w:p w14:paraId="22845652" w14:textId="77777777" w:rsidR="00D16019" w:rsidRDefault="00000000">
      <w:pPr>
        <w:spacing w:before="60" w:after="220" w:line="276" w:lineRule="auto"/>
        <w:jc w:val="both"/>
      </w:pPr>
      <w:r>
        <w:t xml:space="preserve">A cobrança de preços abusivos por itens básicos manifesta-se em Campo Grande sobretudo em momentos de crise: durante o vendaval de setembro de 2026 e nos episódios de interrupção do abastecimento de energia e água, relatos de elevação de preços de água mineral, gás e serviços de reparo são recorrentes, embora sem registro sistemático. O Procon municipal e o estadual são as instâncias de fiscalização, e seus registros de reclamações constituem fonte a ser incorporada ao diagnóstico. Para as famílias inscritas no CadÚnico, a variação dos preços de alimentos e gás de cozinha determina diretamente a insegurança alimentar (E1-F02, E2-F02). O fator relaciona-se a E1-F25 e E2-F29, e o plano popular pode prever mecanismos de comunicação comunitária para denúncia de abusos em </w:t>
      </w:r>
      <w:proofErr w:type="gramStart"/>
      <w:r>
        <w:t>situações de emergência</w:t>
      </w:r>
      <w:proofErr w:type="gramEnd"/>
      <w:r>
        <w:t>, articulados às rádios e aos grupos de mensagens locais (E6-F03, E6-F11).</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21E81505"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49F05351" w14:textId="77777777" w:rsidR="00D16019" w:rsidRDefault="00000000">
            <w:pPr>
              <w:keepNext/>
              <w:spacing w:before="10" w:after="10"/>
              <w:jc w:val="center"/>
            </w:pPr>
            <w:r>
              <w:rPr>
                <w:b/>
                <w:bCs/>
                <w:color w:val="FFFFFF"/>
              </w:rPr>
              <w:lastRenderedPageBreak/>
              <w:t>E1-F25</w:t>
            </w:r>
          </w:p>
        </w:tc>
        <w:tc>
          <w:tcPr>
            <w:tcW w:w="7054"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23B927DD" w14:textId="77777777" w:rsidR="00D16019" w:rsidRDefault="00000000">
            <w:pPr>
              <w:keepNext/>
              <w:spacing w:before="10" w:after="10"/>
            </w:pPr>
            <w:r>
              <w:rPr>
                <w:b/>
                <w:bCs/>
                <w:color w:val="1A3A5C"/>
                <w:sz w:val="24"/>
                <w:szCs w:val="24"/>
              </w:rPr>
              <w:t>Regulamentação e monitoramento dos mercados e instituições (monopólios e preço justo)</w:t>
            </w:r>
          </w:p>
        </w:tc>
        <w:tc>
          <w:tcPr>
            <w:tcW w:w="1300"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113B102C" w14:textId="77777777" w:rsidR="00D16019" w:rsidRDefault="00000000">
            <w:pPr>
              <w:keepNext/>
              <w:spacing w:before="10" w:after="10"/>
              <w:jc w:val="center"/>
            </w:pPr>
            <w:r>
              <w:rPr>
                <w:color w:val="1A3A5C"/>
                <w:sz w:val="20"/>
                <w:szCs w:val="20"/>
              </w:rPr>
              <w:t>ODS 10</w:t>
            </w:r>
          </w:p>
        </w:tc>
      </w:tr>
    </w:tbl>
    <w:p w14:paraId="5F7B1AA9"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Regras que asseguram concorrência justa e preços acessíveis. Evita abusos econômicos e protege o consumidor.</w:t>
      </w:r>
    </w:p>
    <w:p w14:paraId="10BAA7EE" w14:textId="77777777" w:rsidR="00D16019" w:rsidRDefault="00000000">
      <w:pPr>
        <w:spacing w:before="60" w:after="220" w:line="276" w:lineRule="auto"/>
        <w:jc w:val="both"/>
      </w:pPr>
      <w:r>
        <w:t>A regulação de mercados com efeito direto sobre a vida cotidiana em Campo Grande inclui os serviços concedidos de água e esgoto (Águas Guariroba), transporte coletivo (Consórcio Guaicurus) e energia elétrica (Energisa), cuja fiscalização envolve a agência reguladora municipal e a ANEEL. A qualidade e o preço desses serviços condicionam saúde, mobilidade e renda das famílias de menor renda. A queda de Campo Grande do 17º para o 37º lugar no Ranking do Saneamento do Instituto Trata Brasil entre 2024 e 2025 e a interrupção de energia para mais de 300 mil pessoas no vendaval de setembro de 2026 evidenciam a relevância do controle regulatório sobre metas de investimento e resiliência. O fator articula-se a E2-F22, E5-F23 e E6-F09 e exige transparência dos contratos de concessão e participação social nas revisões tarifárias e de metas.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0523097D"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63C90377" w14:textId="77777777" w:rsidR="00D16019" w:rsidRDefault="00000000">
            <w:pPr>
              <w:keepNext/>
              <w:spacing w:before="10" w:after="10"/>
              <w:jc w:val="center"/>
            </w:pPr>
            <w:r>
              <w:rPr>
                <w:b/>
                <w:bCs/>
                <w:color w:val="FFFFFF"/>
              </w:rPr>
              <w:t>E1-F26</w:t>
            </w:r>
          </w:p>
        </w:tc>
        <w:tc>
          <w:tcPr>
            <w:tcW w:w="7054"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3196DA4D" w14:textId="77777777" w:rsidR="00D16019" w:rsidRDefault="00000000">
            <w:pPr>
              <w:keepNext/>
              <w:spacing w:before="10" w:after="10"/>
            </w:pPr>
            <w:r>
              <w:rPr>
                <w:b/>
                <w:bCs/>
                <w:color w:val="1A3A5C"/>
                <w:sz w:val="24"/>
                <w:szCs w:val="24"/>
              </w:rPr>
              <w:t>Sistemas sustentáveis de produção de alimentos</w:t>
            </w:r>
          </w:p>
        </w:tc>
        <w:tc>
          <w:tcPr>
            <w:tcW w:w="1300"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03418F4C" w14:textId="77777777" w:rsidR="00D16019" w:rsidRDefault="00000000">
            <w:pPr>
              <w:keepNext/>
              <w:spacing w:before="10" w:after="10"/>
              <w:jc w:val="center"/>
            </w:pPr>
            <w:r>
              <w:rPr>
                <w:color w:val="1A3A5C"/>
                <w:sz w:val="20"/>
                <w:szCs w:val="20"/>
              </w:rPr>
              <w:t>ODS 12</w:t>
            </w:r>
          </w:p>
        </w:tc>
      </w:tr>
    </w:tbl>
    <w:p w14:paraId="2C2FC0B4"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Produção e consumo de alimentos que respeitem o meio ambiente e garantam segurança alimentar.</w:t>
      </w:r>
    </w:p>
    <w:p w14:paraId="3F007E04" w14:textId="77777777" w:rsidR="00D16019" w:rsidRDefault="00000000">
      <w:pPr>
        <w:spacing w:before="60" w:after="220" w:line="276" w:lineRule="auto"/>
        <w:jc w:val="both"/>
      </w:pPr>
      <w:r>
        <w:t>O sistema alimentar de Campo Grande é dominado por cadeias longas e por produção regional voltada à exportação de commodities, com baixa integração entre a produção local de alimentos e o consumo urbano. A CEASA e o Mercado Municipal organizam parte do abastecimento de hortifrutigranjeiros, cuja origem é em grande medida externa ao município. A sustentabilidade do sistema depende da ampliação da agricultura familiar e agroecológica periurbana (E1-F03, E1-F05), da redução do desperdício na distribuição e da promoção de alimentação adequada nas escolas e unidades de saúde. Eventos climáticos como a estiagem e as queimadas de 2024 no Pantanal, que queimaram cerca de 1,5 milhão de hectares entre janeiro e setembro segundo o Monitor do Fogo do MapBiomas, sinalizam riscos crescentes para a produção regional (E2-F30, E2-F38). O fator articula-se a E1-F06 e E4-F02.</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3C8D6399"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10EF38BC" w14:textId="77777777" w:rsidR="00D16019" w:rsidRDefault="00000000">
            <w:pPr>
              <w:keepNext/>
              <w:spacing w:before="10" w:after="10"/>
              <w:jc w:val="center"/>
            </w:pPr>
            <w:r>
              <w:rPr>
                <w:b/>
                <w:bCs/>
                <w:color w:val="FFFFFF"/>
              </w:rPr>
              <w:t>E1-F27</w:t>
            </w:r>
          </w:p>
        </w:tc>
        <w:tc>
          <w:tcPr>
            <w:tcW w:w="7054"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446034DA" w14:textId="77777777" w:rsidR="00D16019" w:rsidRDefault="00000000">
            <w:pPr>
              <w:keepNext/>
              <w:spacing w:before="10" w:after="10"/>
            </w:pPr>
            <w:r>
              <w:rPr>
                <w:b/>
                <w:bCs/>
                <w:color w:val="1A3A5C"/>
                <w:sz w:val="24"/>
                <w:szCs w:val="24"/>
              </w:rPr>
              <w:t>Economia circular</w:t>
            </w:r>
          </w:p>
        </w:tc>
        <w:tc>
          <w:tcPr>
            <w:tcW w:w="1300"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39D85DA5" w14:textId="77777777" w:rsidR="00D16019" w:rsidRDefault="00000000">
            <w:pPr>
              <w:keepNext/>
              <w:spacing w:before="10" w:after="10"/>
              <w:jc w:val="center"/>
            </w:pPr>
            <w:r>
              <w:rPr>
                <w:color w:val="1A3A5C"/>
                <w:sz w:val="20"/>
                <w:szCs w:val="20"/>
              </w:rPr>
              <w:t>ODS 12</w:t>
            </w:r>
          </w:p>
        </w:tc>
      </w:tr>
    </w:tbl>
    <w:p w14:paraId="1732CA90"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Modelo econômico baseado em reutilizar, renovar e reciclar.</w:t>
      </w:r>
    </w:p>
    <w:p w14:paraId="1291B1F5" w14:textId="50C3EC33" w:rsidR="00D16019" w:rsidRDefault="00000000">
      <w:pPr>
        <w:spacing w:before="60" w:after="220" w:line="276" w:lineRule="auto"/>
        <w:jc w:val="both"/>
      </w:pPr>
      <w:r>
        <w:t xml:space="preserve">Campo Grande coleta resíduos domiciliares de 99,23% da população, com geração de 0,98 kg por habitante por dia (Instituto Água e Saneamento, base SNIS), mas a reciclagem efetiva é baixa e dependente de cooperativas e catadores autônomos com remuneração precária. A economia circular nomeada pelo fator inclui ainda </w:t>
      </w:r>
      <w:proofErr w:type="spellStart"/>
      <w:r>
        <w:t>reúso</w:t>
      </w:r>
      <w:proofErr w:type="spellEnd"/>
      <w:r>
        <w:t xml:space="preserve"> de água, logística reversa de embalagens, inclusive de agrotóxicos, e aproveitamento de resíduos de poda, cujo volume aumentou após o vendaval de setembro de 2026. A organização da cadeia de reciclagem com inclusão dos catadores (E1-F11) reduziria o descarte irregular em terrenos baldios, que favorece criadouros do Aedes aegypti e escorpiões (E2-F07, E2-F35). O fator articula-se a E2-F31 e E6-F05 e é uma das interfaces mais diretas entre renda, ambiente e saúde no território.</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4551A593"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7A64CDF4" w14:textId="77777777" w:rsidR="00D16019" w:rsidRDefault="00000000">
            <w:pPr>
              <w:keepNext/>
              <w:spacing w:before="10" w:after="10"/>
              <w:jc w:val="center"/>
            </w:pPr>
            <w:r>
              <w:rPr>
                <w:b/>
                <w:bCs/>
                <w:color w:val="FFFFFF"/>
              </w:rPr>
              <w:t>E1-F28</w:t>
            </w:r>
          </w:p>
        </w:tc>
        <w:tc>
          <w:tcPr>
            <w:tcW w:w="7054"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083E1490" w14:textId="77777777" w:rsidR="00D16019" w:rsidRDefault="00000000">
            <w:pPr>
              <w:keepNext/>
              <w:spacing w:before="10" w:after="10"/>
            </w:pPr>
            <w:r>
              <w:rPr>
                <w:b/>
                <w:bCs/>
                <w:color w:val="1A3A5C"/>
                <w:sz w:val="24"/>
                <w:szCs w:val="24"/>
              </w:rPr>
              <w:t>Trabalho informal</w:t>
            </w:r>
          </w:p>
        </w:tc>
        <w:tc>
          <w:tcPr>
            <w:tcW w:w="1300"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50A782CC" w14:textId="77777777" w:rsidR="00D16019" w:rsidRDefault="00000000">
            <w:pPr>
              <w:keepNext/>
              <w:spacing w:before="10" w:after="10"/>
              <w:jc w:val="center"/>
            </w:pPr>
            <w:r>
              <w:rPr>
                <w:color w:val="1A3A5C"/>
                <w:sz w:val="20"/>
                <w:szCs w:val="20"/>
              </w:rPr>
              <w:t>ODS 8</w:t>
            </w:r>
          </w:p>
        </w:tc>
      </w:tr>
    </w:tbl>
    <w:p w14:paraId="6849CD98"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Trabalho sem vínculo empregatício, sem carteira de trabalho e sem direitos como férias, 13º, FGTS e INSS.</w:t>
      </w:r>
    </w:p>
    <w:p w14:paraId="72612E36" w14:textId="77777777" w:rsidR="00D16019" w:rsidRDefault="00000000">
      <w:pPr>
        <w:spacing w:before="60" w:after="220" w:line="276" w:lineRule="auto"/>
        <w:jc w:val="both"/>
      </w:pPr>
      <w:r>
        <w:t xml:space="preserve">O trabalho informal é o componente mais extenso e menos visível do mercado de trabalho de Campo Grande. A PNAD Contínua divulga a taxa de informalidade para o conjunto das capitais, e os microdados do CadÚnico permitem estimar a informalidade entre famílias de baixa renda por território, fontes que devem compor a série do diagnóstico. A informalidade concentra-se em serviços domésticos, construção, comércio ambulante, transporte por aplicativo e reciclagem, e atinge mais intensamente mulheres, pessoas negras, indígenas e migrantes. A ausência de proteção previdenciária expõe esses trabalhadores à perda </w:t>
      </w:r>
      <w:r>
        <w:lastRenderedPageBreak/>
        <w:t>total de renda em situações de doença ou desastre, como ocorreu com trabalhadores autônomos durante o vendaval de setembro de 2026. O fator articula-se a E1-F10, E1-F13 e E3-F01 e afeta o acesso à saúde, pois limita a disponibilidade de horário para consultas na rede pública em horário comercial (E2-F15).</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29BF563F"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1536C056" w14:textId="77777777" w:rsidR="00D16019" w:rsidRDefault="00000000">
            <w:pPr>
              <w:keepNext/>
              <w:spacing w:before="10" w:after="10"/>
              <w:jc w:val="center"/>
            </w:pPr>
            <w:r>
              <w:rPr>
                <w:b/>
                <w:bCs/>
                <w:color w:val="FFFFFF"/>
              </w:rPr>
              <w:t>E1-F29</w:t>
            </w:r>
          </w:p>
        </w:tc>
        <w:tc>
          <w:tcPr>
            <w:tcW w:w="7054"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707D5A50" w14:textId="77777777" w:rsidR="00D16019" w:rsidRDefault="00000000">
            <w:pPr>
              <w:keepNext/>
              <w:spacing w:before="10" w:after="10"/>
            </w:pPr>
            <w:r>
              <w:rPr>
                <w:b/>
                <w:bCs/>
                <w:color w:val="1A3A5C"/>
                <w:sz w:val="24"/>
                <w:szCs w:val="24"/>
              </w:rPr>
              <w:t>Crédito para adaptação climática e reconstrução</w:t>
            </w:r>
          </w:p>
        </w:tc>
        <w:tc>
          <w:tcPr>
            <w:tcW w:w="1300" w:type="dxa"/>
            <w:tcBorders>
              <w:top w:val="single" w:sz="1" w:space="0" w:color="C8D8E8"/>
              <w:left w:val="single" w:sz="1" w:space="0" w:color="C8D8E8"/>
              <w:bottom w:val="single" w:sz="1" w:space="0" w:color="C8D8E8"/>
              <w:right w:val="single" w:sz="1" w:space="0" w:color="C8D8E8"/>
            </w:tcBorders>
            <w:shd w:val="clear" w:color="auto" w:fill="D4E6F1"/>
            <w:tcMar>
              <w:top w:w="70" w:type="dxa"/>
              <w:left w:w="120" w:type="dxa"/>
              <w:bottom w:w="70" w:type="dxa"/>
              <w:right w:w="120" w:type="dxa"/>
            </w:tcMar>
            <w:vAlign w:val="center"/>
          </w:tcPr>
          <w:p w14:paraId="13FE9C50" w14:textId="77777777" w:rsidR="00D16019" w:rsidRDefault="00000000">
            <w:pPr>
              <w:keepNext/>
              <w:spacing w:before="10" w:after="10"/>
              <w:jc w:val="center"/>
            </w:pPr>
            <w:r>
              <w:rPr>
                <w:color w:val="1A3A5C"/>
                <w:sz w:val="20"/>
                <w:szCs w:val="20"/>
              </w:rPr>
              <w:t>ODS 13</w:t>
            </w:r>
          </w:p>
        </w:tc>
      </w:tr>
    </w:tbl>
    <w:p w14:paraId="2C5C76AB"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Empréstimo de dinheiro para as pessoas se prepararem para os efeitos do clima ou reconstruírem o que perderam em desastres.</w:t>
      </w:r>
    </w:p>
    <w:p w14:paraId="72415868" w14:textId="77777777" w:rsidR="00D16019" w:rsidRDefault="00000000">
      <w:pPr>
        <w:spacing w:before="60" w:after="220" w:line="276" w:lineRule="auto"/>
        <w:jc w:val="both"/>
      </w:pPr>
      <w:r>
        <w:t xml:space="preserve">O crédito para adaptação climática e reconstrução tornou-se fator concreto em Campo Grande após o vendaval de 10 de setembro de 2026, que destelhou 26 escolas municipais, derrubou árvores e postes e motivou decreto de </w:t>
      </w:r>
      <w:proofErr w:type="gramStart"/>
      <w:r>
        <w:t>situação de emergência</w:t>
      </w:r>
      <w:proofErr w:type="gramEnd"/>
      <w:r>
        <w:t xml:space="preserve"> por 180 dias, com autorização para uso da contribuição de iluminação pública na recuperação de infraestrutura e do Fundo Municipal de Meio Ambiente na recuperação ambiental. O decreto não prevê, contudo, linha de crédito para famílias e pequenos negócios atingidos, que dependem de instrumentos federais acionados mediante reconhecimento da </w:t>
      </w:r>
      <w:proofErr w:type="gramStart"/>
      <w:r>
        <w:t>situação de emergência</w:t>
      </w:r>
      <w:proofErr w:type="gramEnd"/>
      <w:r>
        <w:t xml:space="preserve"> pelo Ministério da Integração. </w:t>
      </w:r>
      <w:r w:rsidRPr="00B90C82">
        <w:t>A inexistência de programa municipal de crédito para adaptação de moradias, como reforço de telhados e drenagem, constitui lacuna de política pública.</w:t>
      </w:r>
      <w:r>
        <w:t xml:space="preserve"> O fator articula-se a E4-F10, E4-F07 e E2-F32, e o plano popular deve associar crédito a assistência técnica para reconstrução resiliente.</w:t>
      </w:r>
    </w:p>
    <w:p w14:paraId="4FE98943" w14:textId="77777777" w:rsidR="00D16019" w:rsidRDefault="00000000">
      <w:pPr>
        <w:pStyle w:val="Ttulo1"/>
        <w:pageBreakBefore/>
        <w:spacing w:after="120"/>
      </w:pPr>
      <w:r>
        <w:rPr>
          <w:color w:val="1A5C3A"/>
        </w:rPr>
        <w:lastRenderedPageBreak/>
        <w:t>Eixo 2. A Vida em Risco</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4"/>
      </w:tblGrid>
      <w:tr w:rsidR="00D16019" w14:paraId="39B8049F" w14:textId="77777777">
        <w:tc>
          <w:tcPr>
            <w:tcW w:w="9354"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4D43B65E" w14:textId="77777777" w:rsidR="00D16019" w:rsidRDefault="00000000">
            <w:pPr>
              <w:spacing w:before="10" w:after="10"/>
            </w:pPr>
            <w:r>
              <w:rPr>
                <w:b/>
                <w:bCs/>
                <w:color w:val="FFFFFF"/>
                <w:sz w:val="26"/>
                <w:szCs w:val="26"/>
              </w:rPr>
              <w:t>EIXO 2  |  A Vida em Risco</w:t>
            </w:r>
          </w:p>
        </w:tc>
      </w:tr>
      <w:tr w:rsidR="00D16019" w14:paraId="120C9D30" w14:textId="77777777">
        <w:tc>
          <w:tcPr>
            <w:tcW w:w="93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639624BF" w14:textId="77777777" w:rsidR="00D16019" w:rsidRDefault="00000000">
            <w:pPr>
              <w:spacing w:before="10" w:after="10"/>
            </w:pPr>
            <w:r>
              <w:rPr>
                <w:i/>
                <w:iCs/>
                <w:color w:val="1A5C3A"/>
              </w:rPr>
              <w:t>Contradição central: A mortalidade, a insalubridade e o adoecimento expressam a negligência estatal.</w:t>
            </w:r>
          </w:p>
        </w:tc>
      </w:tr>
      <w:tr w:rsidR="00D16019" w14:paraId="06CF5C21" w14:textId="77777777">
        <w:tc>
          <w:tcPr>
            <w:tcW w:w="9354"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08F70033" w14:textId="77777777" w:rsidR="00D16019" w:rsidRDefault="00000000">
            <w:pPr>
              <w:spacing w:before="10" w:after="10"/>
            </w:pPr>
            <w:r>
              <w:rPr>
                <w:color w:val="4A5568"/>
                <w:sz w:val="21"/>
                <w:szCs w:val="21"/>
              </w:rPr>
              <w:t>Foco pedagógico: Saúde, corpo político, saneamento e adoecimento social</w:t>
            </w:r>
          </w:p>
        </w:tc>
      </w:tr>
      <w:tr w:rsidR="00D16019" w14:paraId="217922A6" w14:textId="77777777">
        <w:tc>
          <w:tcPr>
            <w:tcW w:w="9354"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5C0E08EC" w14:textId="77777777" w:rsidR="00D16019" w:rsidRDefault="00000000">
            <w:pPr>
              <w:spacing w:before="10" w:after="10"/>
            </w:pPr>
            <w:r>
              <w:rPr>
                <w:color w:val="4A5568"/>
                <w:sz w:val="21"/>
                <w:szCs w:val="21"/>
              </w:rPr>
              <w:t>ODS mobilizados: 2, 3, 6, 11, 13  |  38 fatores da Matriz v1.0.2</w:t>
            </w:r>
          </w:p>
        </w:tc>
      </w:tr>
    </w:tbl>
    <w:p w14:paraId="3F32F6C6" w14:textId="77777777" w:rsidR="00D16019" w:rsidRDefault="00000000">
      <w:pPr>
        <w:spacing w:before="160" w:after="200" w:line="276" w:lineRule="auto"/>
        <w:jc w:val="both"/>
      </w:pPr>
      <w:r>
        <w:t xml:space="preserve">O eixo reúne 38 fatores que descrevem a vida exposta ao risco em Campo Grande, do perfil epidemiológico à cadeia completa de ameaças climáticas. A expansão da cobertura de Saúde da Família de 33,27% em 2017 para 76,28% em 2023 (e-Gestor, escala municipal) é o principal avanço institucional do período, mas convive com transmissão sazonal de dengue e chikungunya, endemia de leishmaniose visceral, cobertura vacinal infantil abaixo da meta, 2.041 acidentes com escorpiões em 2025 e piora recente nos indicadores de saneamento. A novidade estrutural do eixo é a materialização do risco climático no território: qualidade do ar péssima durante as queimadas de 2024, alagamentos com 88 mm em um dia em abril de 2025 e o vendaval de setembro de 2026, que levou à decretação de </w:t>
      </w:r>
      <w:proofErr w:type="gramStart"/>
      <w:r>
        <w:t>situação de emergência</w:t>
      </w:r>
      <w:proofErr w:type="gramEnd"/>
      <w:r>
        <w:t xml:space="preserve"> por 180 dias. </w:t>
      </w:r>
      <w:r w:rsidRPr="00B90C82">
        <w:t>A preparação comunitária, com alertas, rotas, pontos de encontro e brigadas, é a lacuna mais evidente.</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2EF8DB43"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2131D3D0" w14:textId="77777777" w:rsidR="00D16019" w:rsidRDefault="00000000">
            <w:pPr>
              <w:keepNext/>
              <w:spacing w:before="10" w:after="10"/>
              <w:jc w:val="center"/>
            </w:pPr>
            <w:r>
              <w:rPr>
                <w:b/>
                <w:bCs/>
                <w:color w:val="FFFFFF"/>
              </w:rPr>
              <w:t>E2-F01</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0F9789CA" w14:textId="77777777" w:rsidR="00D16019" w:rsidRDefault="00000000">
            <w:pPr>
              <w:keepNext/>
              <w:spacing w:before="10" w:after="10"/>
            </w:pPr>
            <w:r>
              <w:rPr>
                <w:b/>
                <w:bCs/>
                <w:color w:val="1A5C3A"/>
                <w:sz w:val="24"/>
                <w:szCs w:val="24"/>
              </w:rPr>
              <w:t>Área inundada</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438DB8D7" w14:textId="77777777" w:rsidR="00D16019" w:rsidRDefault="00000000">
            <w:pPr>
              <w:keepNext/>
              <w:spacing w:before="10" w:after="10"/>
              <w:jc w:val="center"/>
            </w:pPr>
            <w:r>
              <w:rPr>
                <w:color w:val="1A5C3A"/>
                <w:sz w:val="20"/>
                <w:szCs w:val="20"/>
              </w:rPr>
              <w:t>ODS 13</w:t>
            </w:r>
          </w:p>
        </w:tc>
      </w:tr>
    </w:tbl>
    <w:p w14:paraId="1C0053F0"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Lugar que fica coberto pela água quando o rio sobe ou a chuva é muito forte.</w:t>
      </w:r>
    </w:p>
    <w:p w14:paraId="53A0D350" w14:textId="28FE6E42" w:rsidR="00D16019" w:rsidRDefault="00000000">
      <w:pPr>
        <w:spacing w:before="60" w:after="220" w:line="276" w:lineRule="auto"/>
        <w:jc w:val="both"/>
      </w:pPr>
      <w:r>
        <w:t xml:space="preserve">As áreas inundáveis de Campo Grande concentram-se nos fundos de vale dos córregos urbanos, como Anhanduí, Prosa, Segredo, Bandeira e Lagoa, cuja canalização e impermeabilização das bacias reduziram a capacidade de infiltração e </w:t>
      </w:r>
      <w:r w:rsidRPr="00B90C82">
        <w:t xml:space="preserve">aumentaram a velocidade do escoamento. O evento de 24 de abril de 2025, com 88 mm de chuva registrados pelo CEMADEN, produziu enxurradas nas avenidas Rachid Neder, Tamandaré, Rachel de Queiroz e Espírito Santo e alagamentos em bairros como </w:t>
      </w:r>
      <w:proofErr w:type="spellStart"/>
      <w:r w:rsidRPr="00B90C82">
        <w:t>Coophatrabalho</w:t>
      </w:r>
      <w:proofErr w:type="spellEnd"/>
      <w:r w:rsidRPr="00B90C82">
        <w:t xml:space="preserve"> e </w:t>
      </w:r>
      <w:proofErr w:type="spellStart"/>
      <w:r w:rsidRPr="00B90C82">
        <w:t>Aguadinha</w:t>
      </w:r>
      <w:proofErr w:type="spellEnd"/>
      <w:r w:rsidRPr="00B90C82">
        <w:t>. O município não dispõe de mapa público de manchas de inundação por tempo de retorno, lacuna central para o planejamento urbano e sanitário, que deve ser suprida pela Defesa Civil, pelo Plano Diretor de Desenvolvimento Urbano Ambiental (Lei Complementar nº 341/2018)</w:t>
      </w:r>
      <w:r w:rsidR="00B90C82" w:rsidRPr="00B90C82">
        <w:t xml:space="preserve">. </w:t>
      </w:r>
      <w:r w:rsidRPr="00B90C82">
        <w:t>O fator articula-se a E2-F34, E2-F33 e E5-F24, e define onde devem ser priorizadas drenagem, rotas de fuga (E2-F26</w:t>
      </w:r>
      <w:r>
        <w:t>) e vigilância de doenças de veiculação hídrica (E2-F06).</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270D62C2"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5BD77595" w14:textId="77777777" w:rsidR="00D16019" w:rsidRDefault="00000000">
            <w:pPr>
              <w:keepNext/>
              <w:spacing w:before="10" w:after="10"/>
              <w:jc w:val="center"/>
            </w:pPr>
            <w:r>
              <w:rPr>
                <w:b/>
                <w:bCs/>
                <w:color w:val="FFFFFF"/>
              </w:rPr>
              <w:t>E2-F02</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73C6C6F1" w14:textId="77777777" w:rsidR="00D16019" w:rsidRDefault="00000000">
            <w:pPr>
              <w:keepNext/>
              <w:spacing w:before="10" w:after="10"/>
            </w:pPr>
            <w:r>
              <w:rPr>
                <w:b/>
                <w:bCs/>
                <w:color w:val="1A5C3A"/>
                <w:sz w:val="24"/>
                <w:szCs w:val="24"/>
              </w:rPr>
              <w:t>Insegurança alimentar</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2BCB0862" w14:textId="77777777" w:rsidR="00D16019" w:rsidRDefault="00000000">
            <w:pPr>
              <w:keepNext/>
              <w:spacing w:before="10" w:after="10"/>
              <w:jc w:val="center"/>
            </w:pPr>
            <w:r>
              <w:rPr>
                <w:color w:val="1A5C3A"/>
                <w:sz w:val="20"/>
                <w:szCs w:val="20"/>
              </w:rPr>
              <w:t>ODS 2</w:t>
            </w:r>
          </w:p>
        </w:tc>
      </w:tr>
    </w:tbl>
    <w:p w14:paraId="47926712"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É quando uma pessoa não consegue se alimentar bem, não consome os nutrientes de que o corpo precisa para crescer e se manter saudável.</w:t>
      </w:r>
    </w:p>
    <w:p w14:paraId="5688F907" w14:textId="77777777" w:rsidR="00D16019" w:rsidRDefault="00000000">
      <w:pPr>
        <w:spacing w:before="60" w:after="220" w:line="276" w:lineRule="auto"/>
        <w:jc w:val="both"/>
      </w:pPr>
      <w:r>
        <w:t xml:space="preserve">A insegurança alimentar em Campo Grande não dispõe de medição municipal pela Escala Brasileira de Insegurança Alimentar, sendo as estimativas disponíveis estaduais, produzidas pela PNAD Contínua, o que impede identificar sua distribuição intraurbana. O SISVAN, alimentado pelas equipes de Saúde da Família e pelo acompanhamento das condicionalidades do Bolsa Família, é a fonte local para o estado nutricional de crianças e gestantes por unidade de saúde, e sua cobertura e resultados devem ser extraídos para o diagnóstico. A população em situação de rua, que somava 1.476 pessoas no Censo do GT-PSR de 2025, e as famílias indígenas urbanas constituem os grupos de maior risco. O fator é desfecho de E1-F02, E1-F06 e E1-F24 e determinante de E2-F05 e E2-F09, em que a má nutrição coexiste com sobrepeso associado ao consumo de ultraprocessados. O plano popular deve priorizar a vigilância alimentar e nutricional </w:t>
      </w:r>
      <w:proofErr w:type="spellStart"/>
      <w:r>
        <w:t>territorializada</w:t>
      </w:r>
      <w:proofErr w:type="spellEnd"/>
      <w:r>
        <w:t xml:space="preserve"> pela APS.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2820CE02"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5FC65310" w14:textId="77777777" w:rsidR="00D16019" w:rsidRDefault="00000000">
            <w:pPr>
              <w:keepNext/>
              <w:spacing w:before="10" w:after="10"/>
              <w:jc w:val="center"/>
            </w:pPr>
            <w:r>
              <w:rPr>
                <w:b/>
                <w:bCs/>
                <w:color w:val="FFFFFF"/>
              </w:rPr>
              <w:lastRenderedPageBreak/>
              <w:t>E2-F03</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566D7EA1" w14:textId="77777777" w:rsidR="00D16019" w:rsidRDefault="00000000">
            <w:pPr>
              <w:keepNext/>
              <w:spacing w:before="10" w:after="10"/>
            </w:pPr>
            <w:r>
              <w:rPr>
                <w:b/>
                <w:bCs/>
                <w:color w:val="1A5C3A"/>
                <w:sz w:val="24"/>
                <w:szCs w:val="24"/>
              </w:rPr>
              <w:t>Mortalidade materna</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419FBCF5" w14:textId="77777777" w:rsidR="00D16019" w:rsidRDefault="00000000">
            <w:pPr>
              <w:keepNext/>
              <w:spacing w:before="10" w:after="10"/>
              <w:jc w:val="center"/>
            </w:pPr>
            <w:r>
              <w:rPr>
                <w:color w:val="1A5C3A"/>
                <w:sz w:val="20"/>
                <w:szCs w:val="20"/>
              </w:rPr>
              <w:t>ODS 3</w:t>
            </w:r>
          </w:p>
        </w:tc>
      </w:tr>
    </w:tbl>
    <w:p w14:paraId="0D8BF5C0"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Quando mulheres morrem durante a gravidez, parto ou logo depois.</w:t>
      </w:r>
    </w:p>
    <w:p w14:paraId="4D5F841E" w14:textId="77777777" w:rsidR="00D16019" w:rsidRDefault="00000000">
      <w:pPr>
        <w:spacing w:before="60" w:after="220" w:line="276" w:lineRule="auto"/>
        <w:jc w:val="both"/>
      </w:pPr>
      <w:r>
        <w:t>A mortalidade materna em Mato Grosso do Sul apresenta perfil sociorracial concentrado: entre os óbitos analisados pelo Comitê Estadual de Prevenção da Mortalidade, 66% ocorreram em mulheres pardas, 61% em solteiras e 48% na faixa de 30 a 39 anos (SES-MS, 2023). Em Campo Grande, que concentra as maternidades de referência para gestação de alto risco, como o Hospital Regional de Mato Grosso do Sul, a Santa Casa e o Hospital Universitário Maria Aparecida Pedrossian, a razão de mortalidade materna deve ser calculada por local de residência para evitar distorções decorrentes da atração de casos do interior. A identificação precoce de risco no pré-natal pela APS e a regulação oportuna para a atenção especializada são os pontos críticos da linha de cuidado. O fator articula-se a E2-F12, E2-F15 e E3-F02, e a estratificação por raça e cor e por território é condição para orientar a resposta.</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74A37AC1"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645C43AB" w14:textId="77777777" w:rsidR="00D16019" w:rsidRDefault="00000000">
            <w:pPr>
              <w:keepNext/>
              <w:spacing w:before="10" w:after="10"/>
              <w:jc w:val="center"/>
            </w:pPr>
            <w:r>
              <w:rPr>
                <w:b/>
                <w:bCs/>
                <w:color w:val="FFFFFF"/>
              </w:rPr>
              <w:t>E2-F04</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429CEFFB" w14:textId="77777777" w:rsidR="00D16019" w:rsidRDefault="00000000">
            <w:pPr>
              <w:keepNext/>
              <w:spacing w:before="10" w:after="10"/>
            </w:pPr>
            <w:r>
              <w:rPr>
                <w:b/>
                <w:bCs/>
                <w:color w:val="1A5C3A"/>
                <w:sz w:val="24"/>
                <w:szCs w:val="24"/>
              </w:rPr>
              <w:t>Mortalidade neonatal</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19AF4980" w14:textId="77777777" w:rsidR="00D16019" w:rsidRDefault="00000000">
            <w:pPr>
              <w:keepNext/>
              <w:spacing w:before="10" w:after="10"/>
              <w:jc w:val="center"/>
            </w:pPr>
            <w:r>
              <w:rPr>
                <w:color w:val="1A5C3A"/>
                <w:sz w:val="20"/>
                <w:szCs w:val="20"/>
              </w:rPr>
              <w:t>ODS 3</w:t>
            </w:r>
          </w:p>
        </w:tc>
      </w:tr>
    </w:tbl>
    <w:p w14:paraId="3EA9345A"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Morte de bebês com até 28 dias de vida.</w:t>
      </w:r>
    </w:p>
    <w:p w14:paraId="7C4A2C72" w14:textId="77777777" w:rsidR="00D16019" w:rsidRDefault="00000000">
      <w:pPr>
        <w:spacing w:before="60" w:after="220" w:line="276" w:lineRule="auto"/>
        <w:jc w:val="both"/>
      </w:pPr>
      <w:r>
        <w:t>A mortalidade neonatal é o principal componente da mortalidade infantil em contextos com cobertura ampliada de APS, como Campo Grande, e depende da qualidade do pré-natal, da assistência ao parto e da disponibilidade de leitos de UTI neonatal. A capital concentra a oferta estadual de cuidados intensivos neonatais, o que exige leitura dos dados do SIM e do SINASC por local de residência. A série municipal do coeficiente de mortalidade neonatal precoce e tardia não foi sistematizada nesta versão e deve ser extraída do DATASUS. Fatores de risco como prematuridade, baixo peso ao nascer e gravidez na adolescência apresentam distribuição desigual entre as regiões urbanas e devem ser cruzados com a cobertura de Saúde da Família por território. O fator relaciona-se a E2-F03, E2-F05 e E2-F12, e sua análise orienta investimentos na linha de cuidado materno-infantil e na regulação de leitos.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6289E1F4"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449803C1" w14:textId="77777777" w:rsidR="00D16019" w:rsidRDefault="00000000">
            <w:pPr>
              <w:keepNext/>
              <w:spacing w:before="10" w:after="10"/>
              <w:jc w:val="center"/>
            </w:pPr>
            <w:r>
              <w:rPr>
                <w:b/>
                <w:bCs/>
                <w:color w:val="FFFFFF"/>
              </w:rPr>
              <w:t>E2-F05</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16D4E426" w14:textId="77777777" w:rsidR="00D16019" w:rsidRDefault="00000000">
            <w:pPr>
              <w:keepNext/>
              <w:spacing w:before="10" w:after="10"/>
            </w:pPr>
            <w:r>
              <w:rPr>
                <w:b/>
                <w:bCs/>
                <w:color w:val="1A5C3A"/>
                <w:sz w:val="24"/>
                <w:szCs w:val="24"/>
              </w:rPr>
              <w:t>Mortalidade infantil</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004141E7" w14:textId="77777777" w:rsidR="00D16019" w:rsidRDefault="00000000">
            <w:pPr>
              <w:keepNext/>
              <w:spacing w:before="10" w:after="10"/>
              <w:jc w:val="center"/>
            </w:pPr>
            <w:r>
              <w:rPr>
                <w:color w:val="1A5C3A"/>
                <w:sz w:val="20"/>
                <w:szCs w:val="20"/>
              </w:rPr>
              <w:t>ODS 3</w:t>
            </w:r>
          </w:p>
        </w:tc>
      </w:tr>
    </w:tbl>
    <w:p w14:paraId="5EAE3FD5"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Morte de crianças antes de completarem 1 ano.</w:t>
      </w:r>
    </w:p>
    <w:p w14:paraId="5DD3AFB6" w14:textId="77777777" w:rsidR="00D16019" w:rsidRDefault="00000000">
      <w:pPr>
        <w:spacing w:before="60" w:after="220" w:line="276" w:lineRule="auto"/>
        <w:jc w:val="both"/>
      </w:pPr>
      <w:r>
        <w:t>A mortalidade infantil é indicador sentinela da efetividade da APS e das condições de vida. Em Mato Grosso do Sul, a macrorregião de Corumbá apresentou em 2023 a maior taxa estadual, de 17,1 óbitos por mil nascidos vivos, seguida pela macrorregião de Dourados (Boletim do Comitê Estadual de Prevenção da Mortalidade, 2025). Para Campo Grande, o IBGE Cidades registra coeficiente de 12,88 óbitos por mil nascidos vivos, calculado com base no DATASUS (escala municipal), valor inferior ao das macrorregiões de Corumbá e Dourados; a série anual por local de residência e a decomposição em componentes neonatal e pós-neonatal devem ser extraídas do SIM e do SINASC. A expansão da cobertura de Saúde da Família de 33,27% em 2017 para 76,28% em 2023 (e-Gestor) tende a reduzir óbitos por causas evitáveis, mas a distribuição territorial das equipes determina se essa redução alcança as regiões de maior vulnerabilidade. O fator articula-se a E2-F02, E2-F04, E2-F14 e E2-F20, e a investigação dos óbitos pelo comitê municipal deve alimentar o planejamento territorial.</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5CA34D51"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1D08B116" w14:textId="77777777" w:rsidR="00D16019" w:rsidRDefault="00000000">
            <w:pPr>
              <w:keepNext/>
              <w:spacing w:before="10" w:after="10"/>
              <w:jc w:val="center"/>
            </w:pPr>
            <w:r>
              <w:rPr>
                <w:b/>
                <w:bCs/>
                <w:color w:val="FFFFFF"/>
              </w:rPr>
              <w:t>E2-F06</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717E55E8" w14:textId="77777777" w:rsidR="00D16019" w:rsidRDefault="00000000">
            <w:pPr>
              <w:keepNext/>
              <w:spacing w:before="10" w:after="10"/>
            </w:pPr>
            <w:r>
              <w:rPr>
                <w:b/>
                <w:bCs/>
                <w:color w:val="1A5C3A"/>
                <w:sz w:val="24"/>
                <w:szCs w:val="24"/>
              </w:rPr>
              <w:t>Doenças decorrentes de contaminação e poluição do ar, da água e do solo</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16B298F9" w14:textId="77777777" w:rsidR="00D16019" w:rsidRDefault="00000000">
            <w:pPr>
              <w:keepNext/>
              <w:spacing w:before="10" w:after="10"/>
              <w:jc w:val="center"/>
            </w:pPr>
            <w:r>
              <w:rPr>
                <w:color w:val="1A5C3A"/>
                <w:sz w:val="20"/>
                <w:szCs w:val="20"/>
              </w:rPr>
              <w:t>ODS 3</w:t>
            </w:r>
          </w:p>
        </w:tc>
      </w:tr>
    </w:tbl>
    <w:p w14:paraId="7FD9F37D"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Doenças causadas pela poluição, como problemas respiratórios, diarreias, vermes e outras intoxicações.</w:t>
      </w:r>
    </w:p>
    <w:p w14:paraId="675F0528" w14:textId="77777777" w:rsidR="00D16019" w:rsidRDefault="00000000">
      <w:pPr>
        <w:spacing w:before="60" w:after="220" w:line="276" w:lineRule="auto"/>
        <w:jc w:val="both"/>
      </w:pPr>
      <w:r>
        <w:t xml:space="preserve">As doenças decorrentes de contaminação do ambiente em Campo Grande incluem diarreias infecciosas, hepatite A e leptospirose associadas a água contaminada e enchentes, doenças respiratórias agravadas pela fumaça das queimadas e intoxicações por agrotóxicos em áreas rurais e periurbanas. Em 2024, a cidade registrou pela primeira vez qualidade do ar classificada como péssima pelo projeto </w:t>
      </w:r>
      <w:proofErr w:type="spellStart"/>
      <w:r>
        <w:t>QualiAr</w:t>
      </w:r>
      <w:proofErr w:type="spellEnd"/>
      <w:r>
        <w:t xml:space="preserve"> da UFMS, com apenas cinco dias de qualidade boa em setembro, durante a temporada de incêndios no Pantanal (E2-F38, </w:t>
      </w:r>
      <w:r>
        <w:lastRenderedPageBreak/>
        <w:t>E2-F25). O lançamento de esgoto não tratado nos córregos, estimado em 18,3 milhões de m³ em 2022 (Instituto Água e Saneamento), mantém a exposição de moradores de fundos de vale (E2-F21). As internações por doenças respiratórias e diarreicas no SIH, desagregadas por mês e região de residência, são o indicador para quantificar o efeito, ainda não sistematizado. O fator integra a vigilância em saúde ambiental (VIGIAR, VIGIAGUA, VIGIPEQ) com a APS.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7DBB869E"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4355CE63" w14:textId="77777777" w:rsidR="00D16019" w:rsidRDefault="00000000">
            <w:pPr>
              <w:keepNext/>
              <w:spacing w:before="10" w:after="10"/>
              <w:jc w:val="center"/>
            </w:pPr>
            <w:r>
              <w:rPr>
                <w:b/>
                <w:bCs/>
                <w:color w:val="FFFFFF"/>
              </w:rPr>
              <w:t>E2-F07</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4DDB734C" w14:textId="77777777" w:rsidR="00D16019" w:rsidRDefault="00000000">
            <w:pPr>
              <w:keepNext/>
              <w:spacing w:before="10" w:after="10"/>
            </w:pPr>
            <w:r>
              <w:rPr>
                <w:b/>
                <w:bCs/>
                <w:color w:val="1A5C3A"/>
                <w:sz w:val="24"/>
                <w:szCs w:val="24"/>
              </w:rPr>
              <w:t>Dengue</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76E30173" w14:textId="77777777" w:rsidR="00D16019" w:rsidRDefault="00000000">
            <w:pPr>
              <w:keepNext/>
              <w:spacing w:before="10" w:after="10"/>
              <w:jc w:val="center"/>
            </w:pPr>
            <w:r>
              <w:rPr>
                <w:color w:val="1A5C3A"/>
                <w:sz w:val="20"/>
                <w:szCs w:val="20"/>
              </w:rPr>
              <w:t>ODS 3</w:t>
            </w:r>
          </w:p>
        </w:tc>
      </w:tr>
    </w:tbl>
    <w:p w14:paraId="1E2866B1"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Doença causada por um vírus que o mosquito espalha, geralmente onde há acúmulo de água ou falta de limpeza.</w:t>
      </w:r>
    </w:p>
    <w:p w14:paraId="0EF8618E" w14:textId="77777777" w:rsidR="00D16019" w:rsidRDefault="00000000">
      <w:pPr>
        <w:spacing w:before="60" w:after="220" w:line="276" w:lineRule="auto"/>
        <w:jc w:val="both"/>
      </w:pPr>
      <w:r>
        <w:t>A dengue é o agravo de maior carga epidêmica em Campo Grande. Em 2024, Mato Grosso do Sul registrou 19.473 casos prováveis e 32 óbitos confirmados, e o chikungunya atingiu recorde estadual de 2.766 casos prováveis (SES-MS), com a capital concentrando parcela relevante da transmissão. Em 2026, o boletim municipal registrou 1.534 notificações e 878 casos autóctones confirmados até a semana epidemiológica 33, sem casos graves ou óbitos até a semana 29 (</w:t>
      </w:r>
      <w:proofErr w:type="spellStart"/>
      <w:r>
        <w:t>Sesau</w:t>
      </w:r>
      <w:proofErr w:type="spellEnd"/>
      <w:r>
        <w:t>), sinalizando ano de menor intensidade. A sazonalidade acompanha o período chuvoso de outubro a abril, e a persistência de criadouros associa-se ao armazenamento domiciliar de água, ao descarte irregular de resíduos (E1-F27) e a imóveis abandonados. A vacina contra dengue incorporada ao SUS em 2024 amplia a resposta, condicionada à cobertura vacinal (E2-F14). O fator articula-se a E2-F35, E2-F20 e E6-F05, e a mobilização comunitária é componente estrutural do controle vetorial.</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2A69601A"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69C34279" w14:textId="77777777" w:rsidR="00D16019" w:rsidRDefault="00000000">
            <w:pPr>
              <w:keepNext/>
              <w:spacing w:before="10" w:after="10"/>
              <w:jc w:val="center"/>
            </w:pPr>
            <w:r>
              <w:rPr>
                <w:b/>
                <w:bCs/>
                <w:color w:val="FFFFFF"/>
              </w:rPr>
              <w:t>E2-F08</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02DA1D83" w14:textId="77777777" w:rsidR="00D16019" w:rsidRDefault="00000000">
            <w:pPr>
              <w:keepNext/>
              <w:spacing w:before="10" w:after="10"/>
            </w:pPr>
            <w:r>
              <w:rPr>
                <w:b/>
                <w:bCs/>
                <w:color w:val="1A5C3A"/>
                <w:sz w:val="24"/>
                <w:szCs w:val="24"/>
              </w:rPr>
              <w:t>Doenças transmissíveis (AIDS, tuberculose, hanseníase, negligenciadas)</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04AAE03E" w14:textId="77777777" w:rsidR="00D16019" w:rsidRDefault="00000000">
            <w:pPr>
              <w:keepNext/>
              <w:spacing w:before="10" w:after="10"/>
              <w:jc w:val="center"/>
            </w:pPr>
            <w:r>
              <w:rPr>
                <w:color w:val="1A5C3A"/>
                <w:sz w:val="20"/>
                <w:szCs w:val="20"/>
              </w:rPr>
              <w:t>ODS 3</w:t>
            </w:r>
          </w:p>
        </w:tc>
      </w:tr>
    </w:tbl>
    <w:p w14:paraId="27988B0C"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Doenças que passam de uma pessoa para outra, como a gripe ou a tuberculose.</w:t>
      </w:r>
    </w:p>
    <w:p w14:paraId="221B0C23" w14:textId="77777777" w:rsidR="00D16019" w:rsidRDefault="00000000">
      <w:pPr>
        <w:spacing w:before="60" w:after="220" w:line="276" w:lineRule="auto"/>
        <w:jc w:val="both"/>
      </w:pPr>
      <w:r>
        <w:t>Campo Grande mantém transmissão de doenças infecciosas de relevância para a saúde pública, incluindo tuberculose, HIV e AIDS, hanseníase, sífilis e leishmaniose visceral humana, esta última endêmica no município e objeto do Informe Técnico em Saúde Única da SES-MS (2025), que documenta a relação entre transmissão humana, presença de cães infectados e condições ambientais de bairros periféricos. A tuberculose concentra-se em populações privadas de liberdade, pessoas em situação de rua e indígenas, e a coinfecção com HIV é indicador crítico de vulnerabilidade. As séries municipais de incidência no SINAN devem ser extraídas para cada agravo, dado não consolidado nesta versão. O fator articula-se a E3-F14, E4-F19 e E2-F15 e exige integração entre APS, Consultório na Rua, vigilância epidemiológica e controle de zoonoses, com atenção à adesão ao tratamento em populações de alta mobilidade.</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432BE05F"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02AD6276" w14:textId="77777777" w:rsidR="00D16019" w:rsidRDefault="00000000">
            <w:pPr>
              <w:keepNext/>
              <w:spacing w:before="10" w:after="10"/>
              <w:jc w:val="center"/>
            </w:pPr>
            <w:r>
              <w:rPr>
                <w:b/>
                <w:bCs/>
                <w:color w:val="FFFFFF"/>
              </w:rPr>
              <w:t>E2-F09</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50A70C7D" w14:textId="77777777" w:rsidR="00D16019" w:rsidRDefault="00000000">
            <w:pPr>
              <w:keepNext/>
              <w:spacing w:before="10" w:after="10"/>
            </w:pPr>
            <w:r>
              <w:rPr>
                <w:b/>
                <w:bCs/>
                <w:color w:val="1A5C3A"/>
                <w:sz w:val="24"/>
                <w:szCs w:val="24"/>
              </w:rPr>
              <w:t>Doenças não transmissíveis (crônicas)</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339701C6" w14:textId="77777777" w:rsidR="00D16019" w:rsidRDefault="00000000">
            <w:pPr>
              <w:keepNext/>
              <w:spacing w:before="10" w:after="10"/>
              <w:jc w:val="center"/>
            </w:pPr>
            <w:r>
              <w:rPr>
                <w:color w:val="1A5C3A"/>
                <w:sz w:val="20"/>
                <w:szCs w:val="20"/>
              </w:rPr>
              <w:t>ODS 3</w:t>
            </w:r>
          </w:p>
        </w:tc>
      </w:tr>
    </w:tbl>
    <w:p w14:paraId="054B7561"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Doenças que não passam de uma pessoa para outra, como a pressão alta, o diabetes ou problemas do coração.</w:t>
      </w:r>
    </w:p>
    <w:p w14:paraId="3AE2CE0D" w14:textId="77777777" w:rsidR="00D16019" w:rsidRDefault="00000000">
      <w:pPr>
        <w:spacing w:before="60" w:after="220" w:line="276" w:lineRule="auto"/>
        <w:jc w:val="both"/>
      </w:pPr>
      <w:r>
        <w:t>As doenças crônicas não transmissíveis são a principal causa de morte em adultos e idosos de Campo Grande, com predominância das doenças do aparelho circulatório, seguidas das neoplasias, segundo o Plano Regional da Macrorregião de Saúde de Campo Grande (SES-MS, 2024), que analisou o período de 2018 a 2021. O envelhecimento populacional (E2-F19) e a transição alimentar para ultraprocessados ampliam a prevalência de hipertensão, diabetes e obesidade. O acompanhamento desses agravos depende da cobertura e da qualidade da APS, que atingia 76,28% da população em 2023 (e-Gestor), e do acesso contínuo a medicamentos (E2-F13). Os indicadores de desempenho da APS no SISAB, como proporção de hipertensos e diabéticos acompanhados, devem ser extraídos por equipe para identificar desigualdades territoriais. O fator articula-se a E1-F18, E5-F26 e E5-F28, pois o acesso a atividade física e lazer seguros condiciona a prevenção.</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4D1D38B1"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2A078AF6" w14:textId="77777777" w:rsidR="00D16019" w:rsidRDefault="00000000">
            <w:pPr>
              <w:keepNext/>
              <w:spacing w:before="10" w:after="10"/>
              <w:jc w:val="center"/>
            </w:pPr>
            <w:r>
              <w:rPr>
                <w:b/>
                <w:bCs/>
                <w:color w:val="FFFFFF"/>
              </w:rPr>
              <w:lastRenderedPageBreak/>
              <w:t>E2-F10</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7E6AC8B8" w14:textId="77777777" w:rsidR="00D16019" w:rsidRDefault="00000000">
            <w:pPr>
              <w:keepNext/>
              <w:spacing w:before="10" w:after="10"/>
            </w:pPr>
            <w:r>
              <w:rPr>
                <w:b/>
                <w:bCs/>
                <w:color w:val="1A5C3A"/>
                <w:sz w:val="24"/>
                <w:szCs w:val="24"/>
              </w:rPr>
              <w:t>Uso de drogas e álcool</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61A33460" w14:textId="77777777" w:rsidR="00D16019" w:rsidRDefault="00000000">
            <w:pPr>
              <w:keepNext/>
              <w:spacing w:before="10" w:after="10"/>
              <w:jc w:val="center"/>
            </w:pPr>
            <w:r>
              <w:rPr>
                <w:color w:val="1A5C3A"/>
                <w:sz w:val="20"/>
                <w:szCs w:val="20"/>
              </w:rPr>
              <w:t>ODS 3</w:t>
            </w:r>
          </w:p>
        </w:tc>
      </w:tr>
    </w:tbl>
    <w:p w14:paraId="7514B4C4"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Quando o uso de álcool, cigarro ou drogas prejudica a saúde do corpo, da mente e a convivência com os outros.</w:t>
      </w:r>
    </w:p>
    <w:p w14:paraId="3667B492" w14:textId="77777777" w:rsidR="00D16019" w:rsidRDefault="00000000">
      <w:pPr>
        <w:spacing w:before="60" w:after="220" w:line="276" w:lineRule="auto"/>
        <w:jc w:val="both"/>
      </w:pPr>
      <w:r>
        <w:t>O uso problemático de álcool e outras drogas em Campo Grande é tratado pela Rede de Atenção Psicossocial, que em 2023 contava com sete CAPS, dos quais quatro do tipo III, dois CAPS AD IV e um infantojuvenil, duas unidades de acolhimento, quatro residências terapêuticas e 110 leitos próprios na rede municipal, além de leitos contratualizados (Prefeitura Municipal, 2023). Entre as pessoas em situação de rua entrevistadas no Censo do GT-PSR de 2025, o tratamento para uso de substâncias apareceu como necessidade declarada em 77 registros. O uso de substâncias associa-se a violência (E2-F28), acidentes (E2-F11), perda de vínculos e situação de rua (E3-F14), e sua abordagem exclusivamente clínica tem efetividade limitada sem moradia, renda e proteção social. O fator articula-se a E2-F18 e E6-F06, dado que o mercado ilegal de drogas estrutura parte da violência nos territórios periféricos.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0E8F6BC0"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43871822" w14:textId="77777777" w:rsidR="00D16019" w:rsidRDefault="00000000">
            <w:pPr>
              <w:keepNext/>
              <w:spacing w:before="10" w:after="10"/>
              <w:jc w:val="center"/>
            </w:pPr>
            <w:r>
              <w:rPr>
                <w:b/>
                <w:bCs/>
                <w:color w:val="FFFFFF"/>
              </w:rPr>
              <w:t>E2-F11</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30B5BB0D" w14:textId="77777777" w:rsidR="00D16019" w:rsidRDefault="00000000">
            <w:pPr>
              <w:keepNext/>
              <w:spacing w:before="10" w:after="10"/>
            </w:pPr>
            <w:r>
              <w:rPr>
                <w:b/>
                <w:bCs/>
                <w:color w:val="1A5C3A"/>
                <w:sz w:val="24"/>
                <w:szCs w:val="24"/>
              </w:rPr>
              <w:t>Acidentes em estradas</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46D5AE60" w14:textId="77777777" w:rsidR="00D16019" w:rsidRDefault="00000000">
            <w:pPr>
              <w:keepNext/>
              <w:spacing w:before="10" w:after="10"/>
              <w:jc w:val="center"/>
            </w:pPr>
            <w:r>
              <w:rPr>
                <w:color w:val="1A5C3A"/>
                <w:sz w:val="20"/>
                <w:szCs w:val="20"/>
              </w:rPr>
              <w:t>ODS 3</w:t>
            </w:r>
          </w:p>
        </w:tc>
      </w:tr>
    </w:tbl>
    <w:p w14:paraId="2F25542E"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Colisões, batidas e atropelamentos que causam ferimentos ou mortes.</w:t>
      </w:r>
    </w:p>
    <w:p w14:paraId="461B41BA" w14:textId="77777777" w:rsidR="00D16019" w:rsidRDefault="00000000">
      <w:pPr>
        <w:spacing w:before="60" w:after="220" w:line="276" w:lineRule="auto"/>
        <w:jc w:val="both"/>
      </w:pPr>
      <w:r>
        <w:t>Campo Grande é entroncamento das rodovias BR-163, BR-262 e BR-060, com tráfego intenso de veículos de carga que atravessa ou contorna a área urbana, e possui frota elevada em relação à população, padrão comum às capitais do Centro-Oeste. Os acidentes de trânsito são causa relevante de mortalidade por causas externas em homens jovens e de internações de alto custo no Hospital Regional, na Santa Casa e na rede de urgência. A série de óbitos e internações por acidentes de transporte no SIM e no SIH, desagregada por tipo de vítima, deve ser extraída para o diagnóstico, dado ainda não consolidado. Motociclistas, inclusive trabalhadores de entrega por aplicativo, constituem grupo de risco crescente, articulando o fator a E1-F28 e E1-F16. O fator relaciona-se a E5-F19, E5-F23 e E5-F03, e o planejamento deve integrar segurança viária, fiscalização e atendimento pré-hospitalar do SAMU.</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5B931DC0"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1EB54E52" w14:textId="77777777" w:rsidR="00D16019" w:rsidRDefault="00000000">
            <w:pPr>
              <w:keepNext/>
              <w:spacing w:before="10" w:after="10"/>
              <w:jc w:val="center"/>
            </w:pPr>
            <w:r>
              <w:rPr>
                <w:b/>
                <w:bCs/>
                <w:color w:val="FFFFFF"/>
              </w:rPr>
              <w:t>E2-F12</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2C8A59C9" w14:textId="77777777" w:rsidR="00D16019" w:rsidRDefault="00000000">
            <w:pPr>
              <w:keepNext/>
              <w:spacing w:before="10" w:after="10"/>
            </w:pPr>
            <w:r>
              <w:rPr>
                <w:b/>
                <w:bCs/>
                <w:color w:val="1A5C3A"/>
                <w:sz w:val="24"/>
                <w:szCs w:val="24"/>
              </w:rPr>
              <w:t>Saúde sexual e reprodutiva</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52A33E1F" w14:textId="77777777" w:rsidR="00D16019" w:rsidRDefault="00000000">
            <w:pPr>
              <w:keepNext/>
              <w:spacing w:before="10" w:after="10"/>
              <w:jc w:val="center"/>
            </w:pPr>
            <w:r>
              <w:rPr>
                <w:color w:val="1A5C3A"/>
                <w:sz w:val="20"/>
                <w:szCs w:val="20"/>
              </w:rPr>
              <w:t>ODS 3</w:t>
            </w:r>
          </w:p>
        </w:tc>
      </w:tr>
    </w:tbl>
    <w:p w14:paraId="35E93D92"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Cuidados com o corpo, prevenção de doenças, acesso a absorvente, acesso a anticoncepcionais e o direito de decidir, com segurança, se quer ou não ter filhos.</w:t>
      </w:r>
    </w:p>
    <w:p w14:paraId="4FEBD651" w14:textId="77777777" w:rsidR="00D16019" w:rsidRDefault="00000000">
      <w:pPr>
        <w:spacing w:before="60" w:after="220" w:line="276" w:lineRule="auto"/>
        <w:jc w:val="both"/>
      </w:pPr>
      <w:r>
        <w:t>A saúde sexual e reprodutiva em Campo Grande é ofertada pela APS, com planejamento reprodutivo, pré-natal, testagem rápida para HIV, sífilis e hepatites e acesso a métodos contraceptivos, e por serviços especializados de referência. A sífilis adquirida e congênita mantém tendência de elevação no estado, segundo o Plano Estadual de Saúde 2024-2027, e exige rastreamento oportuno no pré-natal. A gravidez na adolescência, com reflexos sobre E2-F03 e E2-F04, apresenta distribuição territorial desigual que deve ser verificada no SINASC por bairro de residência. Mulheres indígenas, migrantes e em situação de rua enfrentam barreiras culturais, linguísticas e de documentação no acesso. A dignidade menstrual, incluída na definição do fator, depende da distribuição de absorventes pelo programa federal nas unidades de saúde e escolas, cuja cobertura municipal não foi verificada. O fator articula-se a E3-F02, E3-F03 e E3-F04.</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1D809A9A"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2589B7D2" w14:textId="77777777" w:rsidR="00D16019" w:rsidRDefault="00000000">
            <w:pPr>
              <w:keepNext/>
              <w:spacing w:before="10" w:after="10"/>
              <w:jc w:val="center"/>
            </w:pPr>
            <w:r>
              <w:rPr>
                <w:b/>
                <w:bCs/>
                <w:color w:val="FFFFFF"/>
              </w:rPr>
              <w:t>E2-F13</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2F5DB753" w14:textId="77777777" w:rsidR="00D16019" w:rsidRDefault="00000000">
            <w:pPr>
              <w:keepNext/>
              <w:spacing w:before="10" w:after="10"/>
            </w:pPr>
            <w:r>
              <w:rPr>
                <w:b/>
                <w:bCs/>
                <w:color w:val="1A5C3A"/>
                <w:sz w:val="24"/>
                <w:szCs w:val="24"/>
              </w:rPr>
              <w:t>Acesso a medicamentos</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394EC24B" w14:textId="77777777" w:rsidR="00D16019" w:rsidRDefault="00000000">
            <w:pPr>
              <w:keepNext/>
              <w:spacing w:before="10" w:after="10"/>
              <w:jc w:val="center"/>
            </w:pPr>
            <w:r>
              <w:rPr>
                <w:color w:val="1A5C3A"/>
                <w:sz w:val="20"/>
                <w:szCs w:val="20"/>
              </w:rPr>
              <w:t>ODS 3</w:t>
            </w:r>
          </w:p>
        </w:tc>
      </w:tr>
    </w:tbl>
    <w:p w14:paraId="69B7DA3D"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Poder conseguir os remédios de que se precisa, de graça ou por um preço que dá para pagar.</w:t>
      </w:r>
    </w:p>
    <w:p w14:paraId="4D3C3D43" w14:textId="77777777" w:rsidR="00D16019" w:rsidRDefault="00000000">
      <w:pPr>
        <w:spacing w:before="60" w:after="220" w:line="276" w:lineRule="auto"/>
        <w:jc w:val="both"/>
      </w:pPr>
      <w:r>
        <w:t xml:space="preserve">O acesso a medicamentos em Campo Grande é garantido pela Farmácia Básica das unidades de saúde, pelo Programa Farmácia Popular e pela Farmácia de Componente Especializado do estado, que concentra a dispensação de medicamentos de alto custo para toda a macrorregião. Episódios de desabastecimento pontual na rede municipal são relatados pela imprensa e pelo controle social, e sua frequência deve ser monitorada por meio dos relatórios de gestão da assistência farmacêutica e das atas do Conselho Municipal de Saúde, dado não sistematizado nesta versão. A interrupção do tratamento de hipertensão, diabetes e </w:t>
      </w:r>
      <w:r>
        <w:lastRenderedPageBreak/>
        <w:t>saúde mental por falta de medicamento repercute diretamente em internações evitáveis (E2-F09, E2-F18). Para populações sem documentação ou endereço fixo (E3-F08, E3-F14), o acesso depende de flexibilização de cadastros. O fator articula-se a E2-F15 e E1-F24, dado que a compra direta de medicamentos compromete a renda das famílias de menor rendimento.</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7AFC6715"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1B070AC9" w14:textId="77777777" w:rsidR="00D16019" w:rsidRDefault="00000000">
            <w:pPr>
              <w:keepNext/>
              <w:spacing w:before="10" w:after="10"/>
              <w:jc w:val="center"/>
            </w:pPr>
            <w:r>
              <w:rPr>
                <w:b/>
                <w:bCs/>
                <w:color w:val="FFFFFF"/>
              </w:rPr>
              <w:t>E2-F14</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78357385" w14:textId="77777777" w:rsidR="00D16019" w:rsidRDefault="00000000">
            <w:pPr>
              <w:keepNext/>
              <w:spacing w:before="10" w:after="10"/>
            </w:pPr>
            <w:r>
              <w:rPr>
                <w:b/>
                <w:bCs/>
                <w:color w:val="1A5C3A"/>
                <w:sz w:val="24"/>
                <w:szCs w:val="24"/>
              </w:rPr>
              <w:t>Cobertura vacinal</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359D9F7E" w14:textId="77777777" w:rsidR="00D16019" w:rsidRDefault="00000000">
            <w:pPr>
              <w:keepNext/>
              <w:spacing w:before="10" w:after="10"/>
              <w:jc w:val="center"/>
            </w:pPr>
            <w:r>
              <w:rPr>
                <w:color w:val="1A5C3A"/>
                <w:sz w:val="20"/>
                <w:szCs w:val="20"/>
              </w:rPr>
              <w:t>ODS 3</w:t>
            </w:r>
          </w:p>
        </w:tc>
      </w:tr>
    </w:tbl>
    <w:p w14:paraId="400B8751"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Quem precisa de vacina e consegue ser vacinado. Quantidade de pessoas que tomaram as vacinas. Quanto mais gente vacinada, mais protegida fica a comunidade.</w:t>
      </w:r>
    </w:p>
    <w:p w14:paraId="1552FD7A" w14:textId="77777777" w:rsidR="00D16019" w:rsidRDefault="00000000">
      <w:pPr>
        <w:spacing w:before="60" w:after="220" w:line="276" w:lineRule="auto"/>
        <w:jc w:val="both"/>
      </w:pPr>
      <w:r>
        <w:t>A cobertura vacinal em Campo Grande permanece abaixo das metas do Programa Nacional de Imunizações para vacinas do calendário infantil. Em outubro de 2026, a Secretaria Municipal de Saúde informou cobertura de 78,53% para a tríplice viral, 16,47 pontos percentuais abaixo da meta de 95%, em contexto continental de recrudescimento do sarampo, com 55.792 casos nas Américas até outubro de 2026 segundo a OPAS. A capital não registra casos confirmados desde 2020, mas a cobertura insuficiente mantém o risco de reintrodução. Os dados de cobertura por sala de vacina e por território devem ser extraídos do painel de cobertura vacinal por residência do Ministério da Saúde para identificar bolsões de não vacinados. O fator articula-se a E2-F07, pela vacinação contra dengue, a E2-F15, pela organização das salas de vacina, e a E6-F11, pois a comunicação comunitária é decisiva para enfrentar a hesitação vacinal.</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41784514"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2BD2FD00" w14:textId="77777777" w:rsidR="00D16019" w:rsidRDefault="00000000">
            <w:pPr>
              <w:keepNext/>
              <w:spacing w:before="10" w:after="10"/>
              <w:jc w:val="center"/>
            </w:pPr>
            <w:r>
              <w:rPr>
                <w:b/>
                <w:bCs/>
                <w:color w:val="FFFFFF"/>
              </w:rPr>
              <w:t>E2-F15</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5840AE02" w14:textId="77777777" w:rsidR="00D16019" w:rsidRDefault="00000000">
            <w:pPr>
              <w:keepNext/>
              <w:spacing w:before="10" w:after="10"/>
            </w:pPr>
            <w:r>
              <w:rPr>
                <w:b/>
                <w:bCs/>
                <w:color w:val="1A5C3A"/>
                <w:sz w:val="24"/>
                <w:szCs w:val="24"/>
              </w:rPr>
              <w:t>Serviços de saúde</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446067BB" w14:textId="77777777" w:rsidR="00D16019" w:rsidRDefault="00000000">
            <w:pPr>
              <w:keepNext/>
              <w:spacing w:before="10" w:after="10"/>
              <w:jc w:val="center"/>
            </w:pPr>
            <w:r>
              <w:rPr>
                <w:color w:val="1A5C3A"/>
                <w:sz w:val="20"/>
                <w:szCs w:val="20"/>
              </w:rPr>
              <w:t>ODS 3</w:t>
            </w:r>
          </w:p>
        </w:tc>
      </w:tr>
    </w:tbl>
    <w:p w14:paraId="3DFEE96E"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Ter hospitais, postos de saúde, remédios e vacinas ao alcance de todos. Salva vidas e evita doenças.</w:t>
      </w:r>
    </w:p>
    <w:p w14:paraId="774E00A4" w14:textId="77777777" w:rsidR="00D16019" w:rsidRDefault="00000000">
      <w:pPr>
        <w:spacing w:before="60" w:after="220" w:line="276" w:lineRule="auto"/>
        <w:jc w:val="both"/>
      </w:pPr>
      <w:r>
        <w:t>Campo Grande possui a rede de serviços de saúde mais complexa de Mato Grosso do Sul. Na atenção primária, contava em 2023 com 197 equipes de Saúde da Família, 147 equipes de Saúde Bucal e 1.574 agentes comunitários de saúde, com cobertura de 76,28% (e-Gestor), resultado de expansão sustentada pelo programa de residência em Medicina de Família e Comunidade e multiprofissional. Na atenção especializada e hospitalar, destacam-se o Hospital Regional, a Santa Casa, o Hospital Universitário da UFMS e a rede de UPAs e Centros Regionais de Saúde. O vendaval de setembro de 2026 danificou a UPA Universitário e atingiu veículos no Hospital Universitário, evidenciando a vulnerabilidade da infraestrutura assistencial a eventos extremos (E5-F20). A concentração de serviços atrai demanda do interior e pressiona a regulação. O fator articula-se a E2-F16, E5-F23 e E5-F19, que determinam o acesso efetivo.</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640829D7"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067B9210" w14:textId="77777777" w:rsidR="00D16019" w:rsidRDefault="00000000">
            <w:pPr>
              <w:keepNext/>
              <w:spacing w:before="10" w:after="10"/>
              <w:jc w:val="center"/>
            </w:pPr>
            <w:r>
              <w:rPr>
                <w:b/>
                <w:bCs/>
                <w:color w:val="FFFFFF"/>
              </w:rPr>
              <w:t>E2-F16</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4D9F144D" w14:textId="77777777" w:rsidR="00D16019" w:rsidRDefault="00000000">
            <w:pPr>
              <w:keepNext/>
              <w:spacing w:before="10" w:after="10"/>
            </w:pPr>
            <w:r>
              <w:rPr>
                <w:b/>
                <w:bCs/>
                <w:color w:val="1A5C3A"/>
                <w:sz w:val="24"/>
                <w:szCs w:val="24"/>
              </w:rPr>
              <w:t>Profissionais de saúde</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6ADAB96B" w14:textId="77777777" w:rsidR="00D16019" w:rsidRDefault="00000000">
            <w:pPr>
              <w:keepNext/>
              <w:spacing w:before="10" w:after="10"/>
              <w:jc w:val="center"/>
            </w:pPr>
            <w:r>
              <w:rPr>
                <w:color w:val="1A5C3A"/>
                <w:sz w:val="20"/>
                <w:szCs w:val="20"/>
              </w:rPr>
              <w:t>ODS 3</w:t>
            </w:r>
          </w:p>
        </w:tc>
      </w:tr>
    </w:tbl>
    <w:p w14:paraId="283A1392"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São todas as pessoas que trabalham cuidando da nossa saúde, como médicos, enfermeiros e agentes de saúde.</w:t>
      </w:r>
    </w:p>
    <w:p w14:paraId="570D822F" w14:textId="77777777" w:rsidR="00D16019" w:rsidRDefault="00000000">
      <w:pPr>
        <w:spacing w:before="60" w:after="220" w:line="276" w:lineRule="auto"/>
        <w:jc w:val="both"/>
      </w:pPr>
      <w:r>
        <w:t>A força de trabalho em saúde de Campo Grande foi ampliada nos últimos anos pela estratégia de residências em Medicina de Família e Comunidade e multiprofissional, que permitiu dobrar o número de equipes de Saúde da Família entre 2017 e 2023, de 96 para 197. A sustentabilidade desse modelo depende da conversão de vínculos de residência e contratos temporários em carreira estável, condição para reduzir a rotatividade nas unidades das regiões periféricas. A composição das equipes registrada no CNES, a proporção de vínculos precários e a cobertura de agentes comunitários de saúde por microárea devem ser extraídas para o diagnóstico. A exposição de profissionais à violência nos territórios (E2-F28) e as condições de trabalho em unidades danificadas por eventos climáticos afetam a fixação. O fator articula-se a E1-F18, E2-F15 e E5-F06, dado que a formação local pela UFMS e demais instituições abastece a rede.</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7F73214D"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3C481D1E" w14:textId="77777777" w:rsidR="00D16019" w:rsidRDefault="00000000">
            <w:pPr>
              <w:keepNext/>
              <w:spacing w:before="10" w:after="10"/>
              <w:jc w:val="center"/>
            </w:pPr>
            <w:r>
              <w:rPr>
                <w:b/>
                <w:bCs/>
                <w:color w:val="FFFFFF"/>
              </w:rPr>
              <w:lastRenderedPageBreak/>
              <w:t>E2-F17</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3591CBC9" w14:textId="77777777" w:rsidR="00D16019" w:rsidRDefault="00000000">
            <w:pPr>
              <w:keepNext/>
              <w:spacing w:before="10" w:after="10"/>
            </w:pPr>
            <w:r>
              <w:rPr>
                <w:b/>
                <w:bCs/>
                <w:color w:val="1A5C3A"/>
                <w:sz w:val="24"/>
                <w:szCs w:val="24"/>
              </w:rPr>
              <w:t>Tornado/Vendaval</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3543A73A" w14:textId="77777777" w:rsidR="00D16019" w:rsidRDefault="00000000">
            <w:pPr>
              <w:keepNext/>
              <w:spacing w:before="10" w:after="10"/>
              <w:jc w:val="center"/>
            </w:pPr>
            <w:r>
              <w:rPr>
                <w:color w:val="1A5C3A"/>
                <w:sz w:val="20"/>
                <w:szCs w:val="20"/>
              </w:rPr>
              <w:t>ODS 13</w:t>
            </w:r>
          </w:p>
        </w:tc>
      </w:tr>
    </w:tbl>
    <w:p w14:paraId="7ED180E1"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Ventos muito fortes que podem destruir casas, derrubar árvores e postes e machucar ou matar as pessoas.</w:t>
      </w:r>
    </w:p>
    <w:p w14:paraId="464A25F5" w14:textId="77777777" w:rsidR="00D16019" w:rsidRDefault="00000000">
      <w:pPr>
        <w:spacing w:before="60" w:after="220" w:line="276" w:lineRule="auto"/>
        <w:jc w:val="both"/>
      </w:pPr>
      <w:r>
        <w:t xml:space="preserve">O vendaval de 10 de setembro de 2026 é o evento extremo de maior impacto recente em Campo Grande: rajadas de 83,8 km/h registradas pelo INMET em cerca de meia hora, 3.095 raios em 36 minutos, 155 chamados ao Corpo de Bombeiros por árvores caídas ou em risco em uma única noite, 26 escolas municipais destelhadas, danos na UPA Universitário, no Hospital Universitário e em equipamentos culturais, e interrupção de energia para mais de 300 mil pessoas. A prefeitura decretou </w:t>
      </w:r>
      <w:proofErr w:type="gramStart"/>
      <w:r>
        <w:t>situação de emergência</w:t>
      </w:r>
      <w:proofErr w:type="gramEnd"/>
      <w:r>
        <w:t xml:space="preserve"> por 180 dias em 12 de setembro, com dispensa de licitação para obras emergenciais e solicitação de reconhecimento estadual e federal. O evento revela a vulnerabilidade da arborização urbana sem manejo, das coberturas de prédios públicos e da rede elétrica aérea. O fator articula-se a E2-F32, E2-F29, E5-F20 e E4-F10, e o plano popular deve incorporar a preparação para ventos extremos como risco recorrente.</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3A905919"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259F0956" w14:textId="77777777" w:rsidR="00D16019" w:rsidRDefault="00000000">
            <w:pPr>
              <w:keepNext/>
              <w:spacing w:before="10" w:after="10"/>
              <w:jc w:val="center"/>
            </w:pPr>
            <w:r>
              <w:rPr>
                <w:b/>
                <w:bCs/>
                <w:color w:val="FFFFFF"/>
              </w:rPr>
              <w:t>E2-F18</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61360035" w14:textId="77777777" w:rsidR="00D16019" w:rsidRDefault="00000000">
            <w:pPr>
              <w:keepNext/>
              <w:spacing w:before="10" w:after="10"/>
            </w:pPr>
            <w:r>
              <w:rPr>
                <w:b/>
                <w:bCs/>
                <w:color w:val="1A5C3A"/>
                <w:sz w:val="24"/>
                <w:szCs w:val="24"/>
              </w:rPr>
              <w:t>Saúde mental</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6FB2D488" w14:textId="77777777" w:rsidR="00D16019" w:rsidRDefault="00000000">
            <w:pPr>
              <w:keepNext/>
              <w:spacing w:before="10" w:after="10"/>
              <w:jc w:val="center"/>
            </w:pPr>
            <w:r>
              <w:rPr>
                <w:color w:val="1A5C3A"/>
                <w:sz w:val="20"/>
                <w:szCs w:val="20"/>
              </w:rPr>
              <w:t>ODS 3</w:t>
            </w:r>
          </w:p>
        </w:tc>
      </w:tr>
    </w:tbl>
    <w:p w14:paraId="4EB6D8F1"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Existe o cuidado com os sentimentos e com o pensamento para que a pessoa consiga viver e trabalhar bem.</w:t>
      </w:r>
    </w:p>
    <w:p w14:paraId="57AD6C9E" w14:textId="77777777" w:rsidR="00D16019" w:rsidRDefault="00000000">
      <w:pPr>
        <w:spacing w:before="60" w:after="220" w:line="276" w:lineRule="auto"/>
        <w:jc w:val="both"/>
      </w:pPr>
      <w:r>
        <w:t>A saúde mental tornou-se demanda crescente na APS e na Rede de Atenção Psicossocial de Campo Grande, composta em 2023 por sete CAPS, duas unidades de acolhimento, quatro residências terapêuticas e leitos próprios e contratualizados (Prefeitura Municipal). A distribuição territorial dos CAPS e a capacidade de matriciamento das equipes de Saúde da Família determinam o acesso nas regiões periféricas. Determinantes sociais como desemprego (E1-F13), violência (E2-F28), discriminação racial (E3-F16) e exposição a desastres (E2-F17) produzem sofrimento psíquico que se manifesta na APS, enquanto a perda de moradia e de bens após eventos extremos exige suporte psicossocial específico. As taxas de mortalidade por suicídio e as notificações de lesão autoprovocada no SINAN devem ser analisadas com cautela e por equipe técnica. O fator articula-se a E6-F15, pois grupos de escuta comunitários ampliam a rede de cuidado além dos serviços.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05FE5AB1"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332CC5C9" w14:textId="77777777" w:rsidR="00D16019" w:rsidRDefault="00000000">
            <w:pPr>
              <w:keepNext/>
              <w:spacing w:before="10" w:after="10"/>
              <w:jc w:val="center"/>
            </w:pPr>
            <w:r>
              <w:rPr>
                <w:b/>
                <w:bCs/>
                <w:color w:val="FFFFFF"/>
              </w:rPr>
              <w:t>E2-F19</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57AC886F" w14:textId="77777777" w:rsidR="00D16019" w:rsidRDefault="00000000">
            <w:pPr>
              <w:keepNext/>
              <w:spacing w:before="10" w:after="10"/>
            </w:pPr>
            <w:r>
              <w:rPr>
                <w:b/>
                <w:bCs/>
                <w:color w:val="1A5C3A"/>
                <w:sz w:val="24"/>
                <w:szCs w:val="24"/>
              </w:rPr>
              <w:t>Saúde do idoso</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10FAF10E" w14:textId="77777777" w:rsidR="00D16019" w:rsidRDefault="00000000">
            <w:pPr>
              <w:keepNext/>
              <w:spacing w:before="10" w:after="10"/>
              <w:jc w:val="center"/>
            </w:pPr>
            <w:r>
              <w:rPr>
                <w:color w:val="1A5C3A"/>
                <w:sz w:val="20"/>
                <w:szCs w:val="20"/>
              </w:rPr>
              <w:t>ODS 3</w:t>
            </w:r>
          </w:p>
        </w:tc>
      </w:tr>
    </w:tbl>
    <w:p w14:paraId="09E9D90C"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Existe atendimento especial para quem é mais velho, garantindo que eles tenham saúde e autonomia.</w:t>
      </w:r>
    </w:p>
    <w:p w14:paraId="6B38634B" w14:textId="77777777" w:rsidR="00D16019" w:rsidRDefault="00000000">
      <w:pPr>
        <w:spacing w:before="60" w:after="220" w:line="276" w:lineRule="auto"/>
        <w:jc w:val="both"/>
      </w:pPr>
      <w:r>
        <w:t>O envelhecimento populacional é tendência consolidada no Brasil, com crescimento de 57,4% da população de 65 anos ou mais entre os Censos de 2010 e 2022 (IBGE), e Campo Grande acompanha esse movimento, ainda que com estrutura etária mais jovem que a dos estados do Sul e Sudeste. A proporção municipal de pessoas com 60 anos ou mais e o índice de envelhecimento do Censo 2022 devem ser extraídos para o diagnóstico. Os idosos concentram a carga de doenças crônicas (E2-F09), polifarmácia (E2-F13), risco de quedas e maior vulnerabilidade a ondas de calor, fumaça (E2-F25) e interrupções de energia que afetam equipamentos domiciliares. O cuidado recai sobre as famílias, sobretudo mulheres (E1-F07), e a rede de instituições de longa permanência e centros de convivência é insuficiente para a demanda projetada. O fator articula-se a E3-F09 e E3-F11 e exige planejamento intersetorial de cuidado continuado.</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56BF5363"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6D462E74" w14:textId="77777777" w:rsidR="00D16019" w:rsidRDefault="00000000">
            <w:pPr>
              <w:keepNext/>
              <w:spacing w:before="10" w:after="10"/>
              <w:jc w:val="center"/>
            </w:pPr>
            <w:r>
              <w:rPr>
                <w:b/>
                <w:bCs/>
                <w:color w:val="FFFFFF"/>
              </w:rPr>
              <w:t>E2-F20</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3870FBDF" w14:textId="77777777" w:rsidR="00D16019" w:rsidRDefault="00000000">
            <w:pPr>
              <w:keepNext/>
              <w:spacing w:before="10" w:after="10"/>
            </w:pPr>
            <w:r>
              <w:rPr>
                <w:b/>
                <w:bCs/>
                <w:color w:val="1A5C3A"/>
                <w:sz w:val="24"/>
                <w:szCs w:val="24"/>
              </w:rPr>
              <w:t>Acesso à água e saneamento</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617B6ADC" w14:textId="77777777" w:rsidR="00D16019" w:rsidRDefault="00000000">
            <w:pPr>
              <w:keepNext/>
              <w:spacing w:before="10" w:after="10"/>
              <w:jc w:val="center"/>
            </w:pPr>
            <w:r>
              <w:rPr>
                <w:color w:val="1A5C3A"/>
                <w:sz w:val="20"/>
                <w:szCs w:val="20"/>
              </w:rPr>
              <w:t>ODS 6</w:t>
            </w:r>
          </w:p>
        </w:tc>
      </w:tr>
    </w:tbl>
    <w:p w14:paraId="04EED22A"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Ter água limpa na torneira e canos que levam a sujeira de casa embora para ser tratada, sem poluir os rios.</w:t>
      </w:r>
    </w:p>
    <w:p w14:paraId="59013686" w14:textId="77777777" w:rsidR="00D16019" w:rsidRDefault="00000000">
      <w:pPr>
        <w:spacing w:before="60" w:after="220" w:line="276" w:lineRule="auto"/>
        <w:jc w:val="both"/>
      </w:pPr>
      <w:r>
        <w:t xml:space="preserve">Campo Grande apresenta indicadores de saneamento superiores às médias nacional e estadual: 97,41% de atendimento de água e 87,64% de coleta de esgoto em 2023 (Instituto Trata Brasil, Ranking 2025, base SINISA), e a capital figura entre as sete capitais com mais de 90% de coleta no ranking publicado em 2026, com base em 2024. A trajetória, contudo, é instável: entre 2022 e 2023 a cobertura de água caiu de 99,98% </w:t>
      </w:r>
      <w:r>
        <w:lastRenderedPageBreak/>
        <w:t>para 97,41%, e o município recuou do 17º para o 37º lugar no ranking dos cem maiores municípios. O Censo 2022 registra domicílios sem água canalizada e com soluções individuais de abastecimento, concentrados em áreas de expansão e na zona rural. O fator articula-se a E2-F23, E2-F06 e E2-F07, e o diagnóstico deve verificar a cobertura nas aldeias urbanas indígenas e em ocupações irregulares, onde a ausência de titulação impede a ligação formal à rede (E3-F19, E5-F22).</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1977E598"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1E95A566" w14:textId="77777777" w:rsidR="00D16019" w:rsidRDefault="00000000">
            <w:pPr>
              <w:keepNext/>
              <w:spacing w:before="10" w:after="10"/>
              <w:jc w:val="center"/>
            </w:pPr>
            <w:r>
              <w:rPr>
                <w:b/>
                <w:bCs/>
                <w:color w:val="FFFFFF"/>
              </w:rPr>
              <w:t>E2-F21</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6DF6F10D" w14:textId="77777777" w:rsidR="00D16019" w:rsidRDefault="00000000">
            <w:pPr>
              <w:keepNext/>
              <w:spacing w:before="10" w:after="10"/>
            </w:pPr>
            <w:r>
              <w:rPr>
                <w:b/>
                <w:bCs/>
                <w:color w:val="1A5C3A"/>
                <w:sz w:val="24"/>
                <w:szCs w:val="24"/>
              </w:rPr>
              <w:t>Contaminação e poluição do ar, da água e do solo</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358A6600" w14:textId="77777777" w:rsidR="00D16019" w:rsidRDefault="00000000">
            <w:pPr>
              <w:keepNext/>
              <w:spacing w:before="10" w:after="10"/>
              <w:jc w:val="center"/>
            </w:pPr>
            <w:r>
              <w:rPr>
                <w:color w:val="1A5C3A"/>
                <w:sz w:val="20"/>
                <w:szCs w:val="20"/>
              </w:rPr>
              <w:t>ODS 6</w:t>
            </w:r>
          </w:p>
        </w:tc>
      </w:tr>
    </w:tbl>
    <w:p w14:paraId="27AFB8A9"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Quando lixo, esgoto ou produtos tóxicos sujam a água, o solo ou o ar.</w:t>
      </w:r>
    </w:p>
    <w:p w14:paraId="1B4BE6F7" w14:textId="77777777" w:rsidR="00D16019" w:rsidRDefault="00000000">
      <w:pPr>
        <w:spacing w:before="60" w:after="220" w:line="276" w:lineRule="auto"/>
        <w:jc w:val="both"/>
      </w:pPr>
      <w:r>
        <w:t>A contaminação ambiental em Campo Grande tem quatro vetores principais: o lançamento de esgoto não tratado nos córregos urbanos, estimado em 18,3 milhões de m³ em 2022 (Instituto Água e Saneamento); o descarte irregular de resíduos em terrenos baldios e fundos de vale; a deriva e a lixiviação de agrotóxicos em áreas rurais e periurbanas; e a poluição atmosférica por fumaça de queimadas regionais. Os córregos Anhanduí, Prosa e Segredo concentram a carga poluidora e atravessam áreas residenciais densas. A vigilância da qualidade da água para consumo humano é feita pelo VIGIAGUA, cujos resultados por ponto de coleta devem ser incorporados ao diagnóstico, enquanto o monitoramento de solo e de agrotóxicos em água é incipiente. O fator é determinante de E2-F06 e expressão de E3-F17, pois a exposição se concentra em territórios de menor renda e maior proporção de população negra e indígena.</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6F2BD79B"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49E854B7" w14:textId="77777777" w:rsidR="00D16019" w:rsidRDefault="00000000">
            <w:pPr>
              <w:keepNext/>
              <w:spacing w:before="10" w:after="10"/>
              <w:jc w:val="center"/>
            </w:pPr>
            <w:r>
              <w:rPr>
                <w:b/>
                <w:bCs/>
                <w:color w:val="FFFFFF"/>
              </w:rPr>
              <w:t>E2-F22</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7106D927" w14:textId="77777777" w:rsidR="00D16019" w:rsidRDefault="00000000">
            <w:pPr>
              <w:keepNext/>
              <w:spacing w:before="10" w:after="10"/>
            </w:pPr>
            <w:r>
              <w:rPr>
                <w:b/>
                <w:bCs/>
                <w:color w:val="1A5C3A"/>
                <w:sz w:val="24"/>
                <w:szCs w:val="24"/>
              </w:rPr>
              <w:t>Participação das comunidades locais na gestão da água e saneamento</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2EC5A3DB" w14:textId="77777777" w:rsidR="00D16019" w:rsidRDefault="00000000">
            <w:pPr>
              <w:keepNext/>
              <w:spacing w:before="10" w:after="10"/>
              <w:jc w:val="center"/>
            </w:pPr>
            <w:r>
              <w:rPr>
                <w:color w:val="1A5C3A"/>
                <w:sz w:val="20"/>
                <w:szCs w:val="20"/>
              </w:rPr>
              <w:t>ODS 6</w:t>
            </w:r>
          </w:p>
        </w:tc>
      </w:tr>
    </w:tbl>
    <w:p w14:paraId="7FFB4759"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Envolver os moradores nas decisões sobre o uso e cuidado da água e do esgoto.</w:t>
      </w:r>
    </w:p>
    <w:p w14:paraId="65ED0CDA" w14:textId="77777777" w:rsidR="00D16019" w:rsidRDefault="00000000">
      <w:pPr>
        <w:spacing w:before="60" w:after="220" w:line="276" w:lineRule="auto"/>
        <w:jc w:val="both"/>
      </w:pPr>
      <w:r>
        <w:t>A participação comunitária na gestão da água e do saneamento em Campo Grande ocorre por meio do Conselho Municipal de Saneamento, das audiências públicas de revisão contratual da concessão à Águas Guariroba e do comitê da bacia hidrográfica, instâncias de baixa visibilidade para a população das regiões periféricas. A regulação da concessão pela agência municipal define metas de cobertura e qualidade, mas o acompanhamento social dessas metas é limitado pela linguagem técnica dos relatórios. A queda do município no Ranking do Saneamento entre 2024 e 2025 não foi objeto de debate público proporcional à sua relevância. A cartografia social pode produzir informação qualificada sobre falhas de abastecimento, vazamentos e pontos de lançamento de esgoto, capaz de alimentar o processo regulatório. O fator articula-se a E6-F07, E6-F09 e E1-F25, e o plano popular deve propor canais permanentes de participação territorial na fiscalização do saneamento.</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6AEEECE7"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5212FA36" w14:textId="77777777" w:rsidR="00D16019" w:rsidRDefault="00000000">
            <w:pPr>
              <w:keepNext/>
              <w:spacing w:before="10" w:after="10"/>
              <w:jc w:val="center"/>
            </w:pPr>
            <w:r>
              <w:rPr>
                <w:b/>
                <w:bCs/>
                <w:color w:val="FFFFFF"/>
              </w:rPr>
              <w:t>E2-F23</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3D15BC7D" w14:textId="77777777" w:rsidR="00D16019" w:rsidRDefault="00000000">
            <w:pPr>
              <w:keepNext/>
              <w:spacing w:before="10" w:after="10"/>
            </w:pPr>
            <w:r>
              <w:rPr>
                <w:b/>
                <w:bCs/>
                <w:color w:val="1A5C3A"/>
                <w:sz w:val="24"/>
                <w:szCs w:val="24"/>
              </w:rPr>
              <w:t>Gestão da água e saneamento</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05ECDD35" w14:textId="77777777" w:rsidR="00D16019" w:rsidRDefault="00000000">
            <w:pPr>
              <w:keepNext/>
              <w:spacing w:before="10" w:after="10"/>
              <w:jc w:val="center"/>
            </w:pPr>
            <w:r>
              <w:rPr>
                <w:color w:val="1A5C3A"/>
                <w:sz w:val="20"/>
                <w:szCs w:val="20"/>
              </w:rPr>
              <w:t>ODS 6</w:t>
            </w:r>
          </w:p>
        </w:tc>
      </w:tr>
    </w:tbl>
    <w:p w14:paraId="6B035207"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Controlar como a água é usada em casas, indústrias, plantações e evitar a falta. Garante água para todos, mesmo em tempos de seca.</w:t>
      </w:r>
    </w:p>
    <w:p w14:paraId="796EB6F9" w14:textId="77777777" w:rsidR="00D16019" w:rsidRDefault="00000000">
      <w:pPr>
        <w:spacing w:before="60" w:after="220" w:line="276" w:lineRule="auto"/>
        <w:jc w:val="both"/>
      </w:pPr>
      <w:r>
        <w:t>A gestão da água em Campo Grande depende de mananciais superficiais, como o Guariroba e o Lageado, e de poços profundos que captam o aquífero, sob operação da concessionária Águas Guariroba. As perdas na distribuição, de 19,7% segundo o SNIS 2021, estão abaixo do parâmetro de referência de 25%, indicador favorável de eficiência. A pressão sobre os mananciais decorre da conversão de vegetação nativa nas bacias de captação (E4-F16), do assoreamento e da intensificação das estiagens prolongadas associadas à variabilidade climática no Cerrado (E2-F30). O Plano Municipal de Saneamento Básico e os planos de segurança da água devem incorporar cenários de escassez, ainda ausentes do planejamento municipal na forma de metas explícitas. O fator articula-se a E4-F04, E4-F17 e E2-F22, e define a necessidade de proteger as áreas de recarga e captação como estratégia de saúde pública.</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72C67F45"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276E65F8" w14:textId="77777777" w:rsidR="00D16019" w:rsidRDefault="00000000">
            <w:pPr>
              <w:keepNext/>
              <w:spacing w:before="10" w:after="10"/>
              <w:jc w:val="center"/>
            </w:pPr>
            <w:r>
              <w:rPr>
                <w:b/>
                <w:bCs/>
                <w:color w:val="FFFFFF"/>
              </w:rPr>
              <w:lastRenderedPageBreak/>
              <w:t>E2-F25</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514AAA24" w14:textId="77777777" w:rsidR="00D16019" w:rsidRDefault="00000000">
            <w:pPr>
              <w:keepNext/>
              <w:spacing w:before="10" w:after="10"/>
            </w:pPr>
            <w:r>
              <w:rPr>
                <w:b/>
                <w:bCs/>
                <w:color w:val="1A5C3A"/>
                <w:sz w:val="24"/>
                <w:szCs w:val="24"/>
              </w:rPr>
              <w:t>Qualidade do ar</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386E191F" w14:textId="77777777" w:rsidR="00D16019" w:rsidRDefault="00000000">
            <w:pPr>
              <w:keepNext/>
              <w:spacing w:before="10" w:after="10"/>
              <w:jc w:val="center"/>
            </w:pPr>
            <w:r>
              <w:rPr>
                <w:color w:val="1A5C3A"/>
                <w:sz w:val="20"/>
                <w:szCs w:val="20"/>
              </w:rPr>
              <w:t>ODS 11</w:t>
            </w:r>
          </w:p>
        </w:tc>
      </w:tr>
    </w:tbl>
    <w:p w14:paraId="440D5F12"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Controle da poluição atmosférica nas cidades. Evita doenças respiratórias e melhora o bem-estar.</w:t>
      </w:r>
    </w:p>
    <w:p w14:paraId="500509AF" w14:textId="77777777" w:rsidR="00D16019" w:rsidRDefault="00000000">
      <w:pPr>
        <w:spacing w:before="60" w:after="220" w:line="276" w:lineRule="auto"/>
        <w:jc w:val="both"/>
      </w:pPr>
      <w:r>
        <w:t xml:space="preserve">A qualidade do ar em Campo Grande é monitorada pelo projeto </w:t>
      </w:r>
      <w:proofErr w:type="spellStart"/>
      <w:r>
        <w:t>QualiAr</w:t>
      </w:r>
      <w:proofErr w:type="spellEnd"/>
      <w:r>
        <w:t>, coordenado pela UFMS, que registrou em 2024 a primeira classificação péssima da série, durante episódios de fumaça de incêndios no Pantanal e na Bolívia transportada por massas de ar frio em agosto, setembro e início de outubro, com apenas cinco dias de qualidade boa em setembro. Os incêndios no Pantanal consumiram cerca de 1,5 milhão de hectares entre janeiro e setembro de 2024, aumento de 2.306% sobre a média de cinco anos (MapBiomas, Monitor do Fogo). Não há rede oficial de monitoramento do órgão ambiental estadual na capital, o que torna o projeto universitário a única fonte sistemática. A exposição agrava doenças respiratórias e cardiovasculares em crianças, idosos e pessoas com doenças crônicas (E2-F09, E2-F19). O fator articula-se a E2-F38 e E2-F37, pois alertas de qualidade do ar permitiriam medidas de proteção.</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3A88D3B8"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6C5157BD" w14:textId="77777777" w:rsidR="00D16019" w:rsidRDefault="00000000">
            <w:pPr>
              <w:keepNext/>
              <w:spacing w:before="10" w:after="10"/>
              <w:jc w:val="center"/>
            </w:pPr>
            <w:r>
              <w:rPr>
                <w:b/>
                <w:bCs/>
                <w:color w:val="FFFFFF"/>
              </w:rPr>
              <w:t>E2-F26</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079FCD59" w14:textId="77777777" w:rsidR="00D16019" w:rsidRDefault="00000000">
            <w:pPr>
              <w:keepNext/>
              <w:spacing w:before="10" w:after="10"/>
            </w:pPr>
            <w:r>
              <w:rPr>
                <w:b/>
                <w:bCs/>
                <w:color w:val="1A5C3A"/>
                <w:sz w:val="24"/>
                <w:szCs w:val="24"/>
              </w:rPr>
              <w:t>Rota de fuga</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18958129" w14:textId="77777777" w:rsidR="00D16019" w:rsidRDefault="00000000">
            <w:pPr>
              <w:keepNext/>
              <w:spacing w:before="10" w:after="10"/>
              <w:jc w:val="center"/>
            </w:pPr>
            <w:r>
              <w:rPr>
                <w:color w:val="1A5C3A"/>
                <w:sz w:val="20"/>
                <w:szCs w:val="20"/>
              </w:rPr>
              <w:t>ODS 13</w:t>
            </w:r>
          </w:p>
        </w:tc>
      </w:tr>
    </w:tbl>
    <w:p w14:paraId="2E2EFACF"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Caminho seguro para as pessoas saírem rápido de um lugar em caso de perigo, como enchente ou deslizamento.</w:t>
      </w:r>
    </w:p>
    <w:p w14:paraId="5B589D2E" w14:textId="77777777" w:rsidR="00D16019" w:rsidRDefault="00000000">
      <w:pPr>
        <w:spacing w:before="60" w:after="220" w:line="276" w:lineRule="auto"/>
        <w:jc w:val="both"/>
      </w:pPr>
      <w:r w:rsidRPr="003552C1">
        <w:t>Rotas de fuga para evacuação em caso de enchente, ventos extremos ou rompimento de barragem não estão definidas nem sinalizadas nos bairros de Campo Grande, segundo a informação pública disponível, o que configura lacuna de preparação a ser confirmada junto à Defesa Civil municipal.</w:t>
      </w:r>
      <w:r>
        <w:t xml:space="preserve"> A relevância do fator é concreta para as populações a jusante de barragens urbanas classificadas como de risco: o barramento do antigo Clube Atlântico possui classificação de risco alto e dano potencial associado alto no Relatório de Segurança de Barragens 2024-2025 da ANA, com cerca de 100 moradores a jusante, e o Lago do Amor e o Lageado constam de relatório do Imasul sobre barragens urbanas. O fator articula-se a E2-F33, E2-F39 e E5-F02, e a cartografia social é o instrumento adequado para traçar rotas com os moradores, considerando idosos, pessoas com deficiência e crianças (E3-F09, E3-F11).</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1CB8ED15"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7192E093" w14:textId="77777777" w:rsidR="00D16019" w:rsidRDefault="00000000">
            <w:pPr>
              <w:keepNext/>
              <w:spacing w:before="10" w:after="10"/>
              <w:jc w:val="center"/>
            </w:pPr>
            <w:r>
              <w:rPr>
                <w:b/>
                <w:bCs/>
                <w:color w:val="FFFFFF"/>
              </w:rPr>
              <w:t>E2-F27</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2ABE52B4" w14:textId="77777777" w:rsidR="00D16019" w:rsidRDefault="00000000">
            <w:pPr>
              <w:keepNext/>
              <w:spacing w:before="10" w:after="10"/>
            </w:pPr>
            <w:r>
              <w:rPr>
                <w:b/>
                <w:bCs/>
                <w:color w:val="1A5C3A"/>
                <w:sz w:val="24"/>
                <w:szCs w:val="24"/>
              </w:rPr>
              <w:t>Segurança</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62777B10" w14:textId="77777777" w:rsidR="00D16019" w:rsidRDefault="00000000">
            <w:pPr>
              <w:keepNext/>
              <w:spacing w:before="10" w:after="10"/>
              <w:jc w:val="center"/>
            </w:pPr>
            <w:r>
              <w:rPr>
                <w:color w:val="1A5C3A"/>
                <w:sz w:val="20"/>
                <w:szCs w:val="20"/>
              </w:rPr>
              <w:t>ODS 11</w:t>
            </w:r>
          </w:p>
        </w:tc>
      </w:tr>
    </w:tbl>
    <w:p w14:paraId="7D6BF10D"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Policiamento e delegacias. Redução da violência e promoção da paz e proteção na comunidade.</w:t>
      </w:r>
    </w:p>
    <w:p w14:paraId="310B894B" w14:textId="77777777" w:rsidR="00D16019" w:rsidRDefault="00000000">
      <w:pPr>
        <w:spacing w:before="60" w:after="220" w:line="276" w:lineRule="auto"/>
        <w:jc w:val="both"/>
      </w:pPr>
      <w:r>
        <w:t>A segurança pública em Campo Grande é percebida de forma desigual entre as regiões urbanas, com maior sensação de insegurança nas áreas periféricas e no centro, onde se concentra a população em situação de rua. A iluminação pública deficiente (E5-F30), a ausência de equipamentos de convivência (E5-F25) e a presença do mercado ilegal de drogas (E6-F06) compõem os determinantes territoriais. A insegurança restringe o uso de espaços públicos, a circulação noturna, a frequência a atividades de saúde e o trabalho das equipes de APS em determinados horários. Os registros de ocorrências da Secretaria de Justiça e Segurança Pública por bairro devem ser incorporados ao diagnóstico, dado não sistematizado nesta versão. O fator articula-se a E2-F28 e E3-F02 e deve ser abordado no plano popular por estratégias de prevenção comunitária e ocupação qualificada dos espaços públicos, e não apenas pelo reforço policial.</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33D94350"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229EC89B" w14:textId="77777777" w:rsidR="00D16019" w:rsidRDefault="00000000">
            <w:pPr>
              <w:keepNext/>
              <w:spacing w:before="10" w:after="10"/>
              <w:jc w:val="center"/>
            </w:pPr>
            <w:r>
              <w:rPr>
                <w:b/>
                <w:bCs/>
                <w:color w:val="FFFFFF"/>
              </w:rPr>
              <w:t>E2-F28</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4082AB4A" w14:textId="77777777" w:rsidR="00D16019" w:rsidRDefault="00000000">
            <w:pPr>
              <w:keepNext/>
              <w:spacing w:before="10" w:after="10"/>
            </w:pPr>
            <w:r>
              <w:rPr>
                <w:b/>
                <w:bCs/>
                <w:color w:val="1A5C3A"/>
                <w:sz w:val="24"/>
                <w:szCs w:val="24"/>
              </w:rPr>
              <w:t>Violência</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6FF20C92" w14:textId="77777777" w:rsidR="00D16019" w:rsidRDefault="00000000">
            <w:pPr>
              <w:keepNext/>
              <w:spacing w:before="10" w:after="10"/>
              <w:jc w:val="center"/>
            </w:pPr>
            <w:r>
              <w:rPr>
                <w:color w:val="1A5C3A"/>
                <w:sz w:val="20"/>
                <w:szCs w:val="20"/>
              </w:rPr>
              <w:t>ODS 11</w:t>
            </w:r>
          </w:p>
        </w:tc>
      </w:tr>
    </w:tbl>
    <w:p w14:paraId="30F81AB9"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Atos que machucam o corpo ou a mente das pessoas e que tiram a paz de toda a comunidade.</w:t>
      </w:r>
    </w:p>
    <w:p w14:paraId="3925E9B3" w14:textId="77777777" w:rsidR="00D16019" w:rsidRDefault="00000000">
      <w:pPr>
        <w:spacing w:before="60" w:after="220" w:line="276" w:lineRule="auto"/>
        <w:jc w:val="both"/>
      </w:pPr>
      <w:r>
        <w:t xml:space="preserve">A violência em Campo Grande tem expressão racial e territorial: jovens negros e indígenas do sexo masculino de 15 a 29 anos morrem mais por homicídio que jovens brancos, padrão documentado para as capitais do Centro-Oeste pelo Instituto Cidades Sustentáveis (Agência Brasil, 2024). A violência contra mulheres, registrada no monitor estadual da </w:t>
      </w:r>
      <w:proofErr w:type="spellStart"/>
      <w:r>
        <w:t>Sejusp</w:t>
      </w:r>
      <w:proofErr w:type="spellEnd"/>
      <w:r>
        <w:t xml:space="preserve">-MS e do Tribunal de Justiça, mantém Mato Grosso do Sul entre os estados com taxas elevadas de feminicídio segundo o Anuário Brasileiro de Segurança Pública </w:t>
      </w:r>
      <w:r>
        <w:lastRenderedPageBreak/>
        <w:t>(E3-F02). As notificações de violência interpessoal e autoprovocada no SINAN, o SIM por causas externas e os registros policiais devem ser cruzados por região de residência, raça e sexo. A violência produz efeitos sobre saúde mental (E2-F18), uso de substâncias (E2-F10) e acesso a serviços. O fator articula-se a E2-F27, E6-F06 e E3-F16 e exige abordagem intersetorial de prevenção.</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68932FCF"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7E833E3B" w14:textId="77777777" w:rsidR="00D16019" w:rsidRDefault="00000000">
            <w:pPr>
              <w:keepNext/>
              <w:spacing w:before="10" w:after="10"/>
              <w:jc w:val="center"/>
            </w:pPr>
            <w:r>
              <w:rPr>
                <w:b/>
                <w:bCs/>
                <w:color w:val="FFFFFF"/>
              </w:rPr>
              <w:t>E2-F29</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0BF76535" w14:textId="77777777" w:rsidR="00D16019" w:rsidRDefault="00000000">
            <w:pPr>
              <w:keepNext/>
              <w:spacing w:before="10" w:after="10"/>
            </w:pPr>
            <w:r>
              <w:rPr>
                <w:b/>
                <w:bCs/>
                <w:color w:val="1A5C3A"/>
                <w:sz w:val="24"/>
                <w:szCs w:val="24"/>
              </w:rPr>
              <w:t>Comunicação e gestão pós-desastre</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2CF25AD4" w14:textId="77777777" w:rsidR="00D16019" w:rsidRDefault="00000000">
            <w:pPr>
              <w:keepNext/>
              <w:spacing w:before="10" w:after="10"/>
              <w:jc w:val="center"/>
            </w:pPr>
            <w:r>
              <w:rPr>
                <w:color w:val="1A5C3A"/>
                <w:sz w:val="20"/>
                <w:szCs w:val="20"/>
              </w:rPr>
              <w:t>ODS 11</w:t>
            </w:r>
          </w:p>
        </w:tc>
      </w:tr>
    </w:tbl>
    <w:p w14:paraId="719E0C43"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Avisar, organizar e ajudar as pessoas depois de um desastre, para que ninguém fique sem informação e socorro.</w:t>
      </w:r>
    </w:p>
    <w:p w14:paraId="57494E0A" w14:textId="77777777" w:rsidR="00D16019" w:rsidRDefault="00000000">
      <w:pPr>
        <w:spacing w:before="60" w:after="220" w:line="276" w:lineRule="auto"/>
        <w:jc w:val="both"/>
      </w:pPr>
      <w:r>
        <w:t xml:space="preserve">A comunicação e a gestão pós-desastre em Campo Grande foram testadas pelo vendaval de setembro de 2026, quando a recomposição da energia para 82% dos clientes afetados ocorreu até a tarde do dia seguinte, segundo a Energisa, e a prefeitura mobilizou equipes para remoção de árvores e desobstrução de vias. A informação aos moradores circulou principalmente por imprensa, redes sociais e grupos de mensagens, sem canal oficial único de orientação sobre abrigos, riscos remanescentes e apoio disponível. O decreto de </w:t>
      </w:r>
      <w:proofErr w:type="gramStart"/>
      <w:r>
        <w:t>situação de emergência</w:t>
      </w:r>
      <w:proofErr w:type="gramEnd"/>
      <w:r>
        <w:t xml:space="preserve"> e o registro no S2iD organizam a dimensão administrativa da resposta, mas não substituem um plano de comunicação de risco com linguagem acessível e alcance nas regiões periféricas. O fator articula-se a E6-F03, E6-F11, E2-F37 e E5-F01, e o plano popular deve definir canais e responsáveis comunitários para informação antes, durante e depois de eventos extremos.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12EFD998"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3243BE75" w14:textId="77777777" w:rsidR="00D16019" w:rsidRDefault="00000000">
            <w:pPr>
              <w:keepNext/>
              <w:spacing w:before="10" w:after="10"/>
              <w:jc w:val="center"/>
            </w:pPr>
            <w:r>
              <w:rPr>
                <w:b/>
                <w:bCs/>
                <w:color w:val="FFFFFF"/>
              </w:rPr>
              <w:t>E2-F30</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6BEE6CC3" w14:textId="77777777" w:rsidR="00D16019" w:rsidRDefault="00000000">
            <w:pPr>
              <w:keepNext/>
              <w:spacing w:before="10" w:after="10"/>
            </w:pPr>
            <w:r>
              <w:rPr>
                <w:b/>
                <w:bCs/>
                <w:color w:val="1A5C3A"/>
                <w:sz w:val="24"/>
                <w:szCs w:val="24"/>
              </w:rPr>
              <w:t>Seca/Estiagem</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34CF6203" w14:textId="77777777" w:rsidR="00D16019" w:rsidRDefault="00000000">
            <w:pPr>
              <w:keepNext/>
              <w:spacing w:before="10" w:after="10"/>
              <w:jc w:val="center"/>
            </w:pPr>
            <w:r>
              <w:rPr>
                <w:color w:val="1A5C3A"/>
                <w:sz w:val="20"/>
                <w:szCs w:val="20"/>
              </w:rPr>
              <w:t>ODS 13</w:t>
            </w:r>
          </w:p>
        </w:tc>
      </w:tr>
    </w:tbl>
    <w:p w14:paraId="167B6128"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Período longo sem chuva, que faz faltar água para beber, cozinhar e plantar.</w:t>
      </w:r>
    </w:p>
    <w:p w14:paraId="164AF335" w14:textId="77777777" w:rsidR="00D16019" w:rsidRDefault="00000000">
      <w:pPr>
        <w:spacing w:before="60" w:after="220" w:line="276" w:lineRule="auto"/>
        <w:jc w:val="both"/>
      </w:pPr>
      <w:r>
        <w:t>As estiagens em Campo Grande concentram-se entre maio e setembro e têm se tornado mais severas no contexto da variabilidade climática regional, como indicado pelo monitoramento mensal de secas do governo estadual, que registrou em abril de 2024 chuva acumulada 87% abaixo da média na capital (</w:t>
      </w:r>
      <w:proofErr w:type="spellStart"/>
      <w:r>
        <w:t>Semadesc</w:t>
      </w:r>
      <w:proofErr w:type="spellEnd"/>
      <w:r>
        <w:t>, Monitor de Secas). Os efeitos incluem pressão sobre os mananciais de abastecimento (E2-F23), aumento de focos de incêndio em vegetação periurbana (E2-F38), baixa umidade relativa do ar com agravamento de doenças respiratórias (E2-F25) e perdas na produção agrícola familiar (E1-F03). A estiagem prolongada também favorece o acúmulo domiciliar de água, com efeito paradoxal sobre a proliferação do Aedes aegypti na retomada das chuvas (E2-F07). O fator articula-se a E4-F12 e E4-F04, e o planejamento hídrico municipal deve incorporar cenários de escassez e protocolos sanitários para períodos de seca.</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7E1A59FE"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5460EA28" w14:textId="77777777" w:rsidR="00D16019" w:rsidRDefault="00000000">
            <w:pPr>
              <w:keepNext/>
              <w:spacing w:before="10" w:after="10"/>
              <w:jc w:val="center"/>
            </w:pPr>
            <w:r>
              <w:rPr>
                <w:b/>
                <w:bCs/>
                <w:color w:val="FFFFFF"/>
              </w:rPr>
              <w:t>E2-F31</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2503D953" w14:textId="77777777" w:rsidR="00D16019" w:rsidRDefault="00000000">
            <w:pPr>
              <w:keepNext/>
              <w:spacing w:before="10" w:after="10"/>
            </w:pPr>
            <w:r>
              <w:rPr>
                <w:b/>
                <w:bCs/>
                <w:color w:val="1A5C3A"/>
                <w:sz w:val="24"/>
                <w:szCs w:val="24"/>
              </w:rPr>
              <w:t>Acesso a serviços essenciais de energia, abastecimento de água, coleta de lixo etc.</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1FB501FF" w14:textId="77777777" w:rsidR="00D16019" w:rsidRDefault="00000000">
            <w:pPr>
              <w:keepNext/>
              <w:spacing w:before="10" w:after="10"/>
              <w:jc w:val="center"/>
            </w:pPr>
            <w:r>
              <w:rPr>
                <w:color w:val="1A5C3A"/>
                <w:sz w:val="20"/>
                <w:szCs w:val="20"/>
              </w:rPr>
              <w:t>ODS 6</w:t>
            </w:r>
          </w:p>
        </w:tc>
      </w:tr>
    </w:tbl>
    <w:p w14:paraId="53FB549E"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Ter em casa os serviços básicos, como luz, água encanada e caminhão que recolhe o lixo.</w:t>
      </w:r>
    </w:p>
    <w:p w14:paraId="6BEA083D" w14:textId="77777777" w:rsidR="00D16019" w:rsidRDefault="00000000">
      <w:pPr>
        <w:spacing w:before="60" w:after="220" w:line="276" w:lineRule="auto"/>
        <w:jc w:val="both"/>
      </w:pPr>
      <w:r>
        <w:t>O acesso a serviços essenciais em Campo Grande é elevado na área urbana consolidada, com cobertura quase universal de coleta de lixo (99,23%) e de energia elétrica, e atendimento de água de 97,41% em 2023. A fragilidade revela-se na continuidade e na resiliência: o vendaval de setembro de 2026 interrompeu a energia de mais de 300 mil pessoas, afetando conservação de alimentos e medicamentos, funcionamento de equipamentos médicos domiciliares e abastecimento de água em imóveis dependentes de bombeamento. Nas aldeias urbanas indígenas, ocupações irregulares e na zona rural, a cobertura é incompleta, e a ausência de titulação dificulta ligações formais. O fator articula-se a E2-F20, E5-F13 e E1-F27, e o diagnóstico deve identificar domicílios com pessoas dependentes de equipamentos elétricos de saúde para priorização em emergências.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76783384"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0C4AFA02" w14:textId="77777777" w:rsidR="00D16019" w:rsidRDefault="00000000">
            <w:pPr>
              <w:keepNext/>
              <w:spacing w:before="10" w:after="10"/>
              <w:jc w:val="center"/>
            </w:pPr>
            <w:r>
              <w:rPr>
                <w:b/>
                <w:bCs/>
                <w:color w:val="FFFFFF"/>
              </w:rPr>
              <w:lastRenderedPageBreak/>
              <w:t>E2-F32</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3365DD4B" w14:textId="77777777" w:rsidR="00D16019" w:rsidRDefault="00000000">
            <w:pPr>
              <w:keepNext/>
              <w:spacing w:before="10" w:after="10"/>
            </w:pPr>
            <w:r>
              <w:rPr>
                <w:b/>
                <w:bCs/>
                <w:color w:val="1A5C3A"/>
                <w:sz w:val="24"/>
                <w:szCs w:val="24"/>
              </w:rPr>
              <w:t>Gestão de riscos e emergências (defesa civil, bombeiros, brigadas e outros coletivos)</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65E7536C" w14:textId="77777777" w:rsidR="00D16019" w:rsidRDefault="00000000">
            <w:pPr>
              <w:keepNext/>
              <w:spacing w:before="10" w:after="10"/>
              <w:jc w:val="center"/>
            </w:pPr>
            <w:r>
              <w:rPr>
                <w:color w:val="1A5C3A"/>
                <w:sz w:val="20"/>
                <w:szCs w:val="20"/>
              </w:rPr>
              <w:t>ODS 13</w:t>
            </w:r>
          </w:p>
        </w:tc>
      </w:tr>
    </w:tbl>
    <w:p w14:paraId="7C5D549F"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Trabalho da defesa civil, bombeiros e grupos da comunidade para evitar desastres e socorrer as pessoas quando algo acontece.</w:t>
      </w:r>
    </w:p>
    <w:p w14:paraId="238459C4" w14:textId="77777777" w:rsidR="00D16019" w:rsidRDefault="00000000">
      <w:pPr>
        <w:spacing w:before="60" w:after="220" w:line="276" w:lineRule="auto"/>
        <w:jc w:val="both"/>
      </w:pPr>
      <w:r>
        <w:t>A gestão de riscos e emergências em Campo Grande é conduzida pela Defesa Civil municipal, pelo Corpo de Bombeiros Militar e pela articulação com a Defesa Civil estadual, com uso do S2iD para registro de ocorrências e decretos. O vendaval de setembro de 2026 e os alagamentos de abril de 2025 evidenciaram capacidade de mobilização de equipes, mas também a ausência de brigadas comunitárias organizadas, de planos de contingência por bairro de conhecimento público e de exercícios simulados com a população. O modelo de Brigadas Populares de Resposta a Desastres desenvolvido pela PICAPS em territórios do Paraná é referência metodológica aplicável às regiões de maior exposição, integrando pesquisadores populares, APS e Defesa Civil. O fator articula-se a E2-F33, E2-F37, E2-F39 e E6-F16 e constitui eixo estruturante do plano popular diante da recorrência de eventos extremos.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23850169"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27746D60" w14:textId="77777777" w:rsidR="00D16019" w:rsidRDefault="00000000">
            <w:pPr>
              <w:keepNext/>
              <w:spacing w:before="10" w:after="10"/>
              <w:jc w:val="center"/>
            </w:pPr>
            <w:r>
              <w:rPr>
                <w:b/>
                <w:bCs/>
                <w:color w:val="FFFFFF"/>
              </w:rPr>
              <w:t>E2-F33</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3894C60E" w14:textId="77777777" w:rsidR="00D16019" w:rsidRDefault="00000000">
            <w:pPr>
              <w:keepNext/>
              <w:spacing w:before="10" w:after="10"/>
            </w:pPr>
            <w:r>
              <w:rPr>
                <w:b/>
                <w:bCs/>
                <w:color w:val="1A5C3A"/>
                <w:sz w:val="24"/>
                <w:szCs w:val="24"/>
              </w:rPr>
              <w:t>Pontos de riscos e desastres no território</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3E7EDA2F" w14:textId="77777777" w:rsidR="00D16019" w:rsidRDefault="00000000">
            <w:pPr>
              <w:keepNext/>
              <w:spacing w:before="10" w:after="10"/>
              <w:jc w:val="center"/>
            </w:pPr>
            <w:r>
              <w:rPr>
                <w:color w:val="1A5C3A"/>
                <w:sz w:val="20"/>
                <w:szCs w:val="20"/>
              </w:rPr>
              <w:t>ODS 13</w:t>
            </w:r>
          </w:p>
        </w:tc>
      </w:tr>
    </w:tbl>
    <w:p w14:paraId="4093E5CC"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Locais onde há mais chance de enchentes, deslizamentos ou outras situações perigosas.</w:t>
      </w:r>
    </w:p>
    <w:p w14:paraId="04E395FC" w14:textId="77777777" w:rsidR="00D16019" w:rsidRDefault="00000000">
      <w:pPr>
        <w:spacing w:before="60" w:after="220" w:line="276" w:lineRule="auto"/>
        <w:jc w:val="both"/>
      </w:pPr>
      <w:r>
        <w:t>Os pontos de risco de desastres em Campo Grande incluem áreas de alagamento nos fundos de vale dos córregos urbanos, barragens urbanas classificadas como de risco, como a do antigo Clube Atlântico, com risco e dano potencial altos no relatório da ANA, e o Lago do Amor, apontado como prioritário na gestão de segurança, áreas com arborização de grande porte sem manejo sujeitas a queda em ventos fortes, e trechos de rodovias com tráfego de produtos perigosos (E5-F03). Não há mapa público consolidado de áreas de risco do município, e o Serviço Geológico do Brasil não registra setorização de risco geológico alto para a capital, dado a ser confirmado. O conhecimento dos moradores sobre pontos de alagamento, quedas recorrentes de árvores e postes é informação insubstituível. O fator articula-se a E2-F01, E2-F34, E2-F26 e E5-F15, e a cartografia social é o instrumento para produzir esse inventário.</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29BEF8C5"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29FD93FA" w14:textId="77777777" w:rsidR="00D16019" w:rsidRDefault="00000000">
            <w:pPr>
              <w:keepNext/>
              <w:spacing w:before="10" w:after="10"/>
              <w:jc w:val="center"/>
            </w:pPr>
            <w:r>
              <w:rPr>
                <w:b/>
                <w:bCs/>
                <w:color w:val="FFFFFF"/>
              </w:rPr>
              <w:t>E2-F34</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0022B6D7" w14:textId="77777777" w:rsidR="00D16019" w:rsidRDefault="00000000">
            <w:pPr>
              <w:keepNext/>
              <w:spacing w:before="10" w:after="10"/>
            </w:pPr>
            <w:r>
              <w:rPr>
                <w:b/>
                <w:bCs/>
                <w:color w:val="1A5C3A"/>
                <w:sz w:val="24"/>
                <w:szCs w:val="24"/>
              </w:rPr>
              <w:t>Enchentes e alagamentos</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4ECD017D" w14:textId="77777777" w:rsidR="00D16019" w:rsidRDefault="00000000">
            <w:pPr>
              <w:keepNext/>
              <w:spacing w:before="10" w:after="10"/>
              <w:jc w:val="center"/>
            </w:pPr>
            <w:r>
              <w:rPr>
                <w:color w:val="1A5C3A"/>
                <w:sz w:val="20"/>
                <w:szCs w:val="20"/>
              </w:rPr>
              <w:t>ODS 13</w:t>
            </w:r>
          </w:p>
        </w:tc>
      </w:tr>
    </w:tbl>
    <w:p w14:paraId="1E5A760F"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Quando a chuva forte ou a cheia do rio faz a água invadir ruas e casas.</w:t>
      </w:r>
    </w:p>
    <w:p w14:paraId="0F6FE4C9" w14:textId="77777777" w:rsidR="00D16019" w:rsidRDefault="00000000">
      <w:pPr>
        <w:spacing w:before="60" w:after="220" w:line="276" w:lineRule="auto"/>
        <w:jc w:val="both"/>
      </w:pPr>
      <w:r>
        <w:t xml:space="preserve">Enchentes e alagamentos em Campo Grande são recorrentes no período chuvoso e decorrem da combinação entre chuvas intensas, impermeabilização do solo e drenagem insuficiente. Em 24 de abril de 2025, 88 mm em 24 horas registrados pelo CEMADEN produziram enxurradas em avenidas de fundo de vale, arrastaram veículos e alagaram bairros como </w:t>
      </w:r>
      <w:proofErr w:type="spellStart"/>
      <w:r>
        <w:t>Coophatrabalho</w:t>
      </w:r>
      <w:proofErr w:type="spellEnd"/>
      <w:r>
        <w:t xml:space="preserve"> e </w:t>
      </w:r>
      <w:proofErr w:type="spellStart"/>
      <w:r>
        <w:t>Aguadinha</w:t>
      </w:r>
      <w:proofErr w:type="spellEnd"/>
      <w:r>
        <w:t>, mobilizando mais de 25 equipes municipais. O vendaval de setembro de 2026 também causou alagamentos associados à chuva intensa e à obstrução de bocas de lobo por galhos. Os efeitos sobre a saúde incluem afogamentos, traumatismos, leptospirose, diarreias e perdas materiais que afetam a saúde mental. O fator articula-se a E2-F01, E2-F06, E5-F24 e E3-F17, pois os alagamentos atingem de forma desproporcional as áreas de menor renda, e o plano popular deve associar drenagem, alerta e limpeza comunitária de bocas de lobo (E6-F05).</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604C2BF8"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52A8A37F" w14:textId="77777777" w:rsidR="00D16019" w:rsidRDefault="00000000">
            <w:pPr>
              <w:keepNext/>
              <w:spacing w:before="10" w:after="10"/>
              <w:jc w:val="center"/>
            </w:pPr>
            <w:r>
              <w:rPr>
                <w:b/>
                <w:bCs/>
                <w:color w:val="FFFFFF"/>
              </w:rPr>
              <w:t>E2-F35</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2A952CFC" w14:textId="77777777" w:rsidR="00D16019" w:rsidRDefault="00000000">
            <w:pPr>
              <w:keepNext/>
              <w:spacing w:before="10" w:after="10"/>
            </w:pPr>
            <w:r>
              <w:rPr>
                <w:b/>
                <w:bCs/>
                <w:color w:val="1A5C3A"/>
                <w:sz w:val="24"/>
                <w:szCs w:val="24"/>
              </w:rPr>
              <w:t>Infestações e pragas (mosquito, carrapato, escorpião, animais peçonhentos etc.)</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37EB7DF7" w14:textId="77777777" w:rsidR="00D16019" w:rsidRDefault="00000000">
            <w:pPr>
              <w:keepNext/>
              <w:spacing w:before="10" w:after="10"/>
              <w:jc w:val="center"/>
            </w:pPr>
            <w:r>
              <w:rPr>
                <w:color w:val="1A5C3A"/>
                <w:sz w:val="20"/>
                <w:szCs w:val="20"/>
              </w:rPr>
              <w:t>ODS 3</w:t>
            </w:r>
          </w:p>
        </w:tc>
      </w:tr>
    </w:tbl>
    <w:p w14:paraId="653FAE9F"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Quando bichos como mosquitos, escorpiões e carrapatos aparecem em grande quantidade e colocam a saúde das pessoas em risco.</w:t>
      </w:r>
    </w:p>
    <w:p w14:paraId="571AE852" w14:textId="77777777" w:rsidR="00D16019" w:rsidRDefault="00000000">
      <w:pPr>
        <w:spacing w:before="60" w:after="220" w:line="276" w:lineRule="auto"/>
        <w:jc w:val="both"/>
      </w:pPr>
      <w:r>
        <w:t xml:space="preserve">As infestações por animais peçonhentos e vetores constituem problema de saúde pública relevante em Campo Grande. Em 2025, a cidade registrou 2.041 acidentes com escorpiões, segundo dados divulgados pela imprensa local com base na Secretaria Municipal de Saúde, e o estado contabilizou 6.101 acidentes </w:t>
      </w:r>
      <w:proofErr w:type="spellStart"/>
      <w:r>
        <w:t>escorpiônicos</w:t>
      </w:r>
      <w:proofErr w:type="spellEnd"/>
      <w:r>
        <w:t xml:space="preserve"> entre janeiro de 2024 e janeiro de 2025, com escorpiões respondendo por três de cada quatro </w:t>
      </w:r>
      <w:r>
        <w:lastRenderedPageBreak/>
        <w:t>acidentes com peçonhentos (SES-MS). O Aedes aegypti mantém transmissão sazonal de dengue e chikungunya (E2-F07), e o vetor da leishmaniose visceral está associado a quintais com matéria orgânica (E2-F08). Os determinantes comuns são o acúmulo de entulho e resíduos (E1-F27), terrenos baldios, redes de esgoto com falhas e imóveis abandonados. O fator articula-se a E6-F05 e E4-F19, e o controle depende de manejo ambiental comunitário associado à ação do Centro de Controle de Zoonoses.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60B015AB"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3E4F7478" w14:textId="77777777" w:rsidR="00D16019" w:rsidRDefault="00000000">
            <w:pPr>
              <w:keepNext/>
              <w:spacing w:before="10" w:after="10"/>
              <w:jc w:val="center"/>
            </w:pPr>
            <w:r>
              <w:rPr>
                <w:b/>
                <w:bCs/>
                <w:color w:val="FFFFFF"/>
              </w:rPr>
              <w:t>E2-F36</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093401E7" w14:textId="77777777" w:rsidR="00D16019" w:rsidRDefault="00000000">
            <w:pPr>
              <w:keepNext/>
              <w:spacing w:before="10" w:after="10"/>
            </w:pPr>
            <w:r>
              <w:rPr>
                <w:b/>
                <w:bCs/>
                <w:color w:val="1A5C3A"/>
                <w:sz w:val="24"/>
                <w:szCs w:val="24"/>
              </w:rPr>
              <w:t>Pontos de deslizamento de terra</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2B39BA62" w14:textId="77777777" w:rsidR="00D16019" w:rsidRDefault="00000000">
            <w:pPr>
              <w:keepNext/>
              <w:spacing w:before="10" w:after="10"/>
              <w:jc w:val="center"/>
            </w:pPr>
            <w:r>
              <w:rPr>
                <w:color w:val="1A5C3A"/>
                <w:sz w:val="20"/>
                <w:szCs w:val="20"/>
              </w:rPr>
              <w:t>ODS 13</w:t>
            </w:r>
          </w:p>
        </w:tc>
      </w:tr>
    </w:tbl>
    <w:p w14:paraId="5E3C39AE"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Lugares onde o barro e as pedras podem escorregar morro abaixo, principalmente quando chove muito.</w:t>
      </w:r>
    </w:p>
    <w:p w14:paraId="477DAC04" w14:textId="77777777" w:rsidR="00D16019" w:rsidRDefault="00000000">
      <w:pPr>
        <w:spacing w:before="60" w:after="220" w:line="276" w:lineRule="auto"/>
        <w:jc w:val="both"/>
      </w:pPr>
      <w:r>
        <w:t>Campo Grande situa-se em relevo de planalto suavemente ondulado, sem encostas íngremes ocupadas que caracterizem risco de deslizamento de terra nos termos considerados pelo Serviço Geológico do Brasil, condição a ser confirmada na consulta à setorização de riscos geológicos do município. A ausência de exposição a deslizamentos é, portanto, achado do diagnóstico, registrado nas notas metodológicas. A interface pertinente do fator no território são os processos erosivos lineares, como ravinas e voçorocas, em solos arenosos de áreas de expansão urbana sem drenagem e nas margens de córregos, que comprometem vias, redes e moradias e assoreiam os cursos d'água (E4-F04, E4-F16). O fator articula-se a E2-F33 e E5-F24, e a vigilância dessas feições erosivas deve integrar o inventário comunitário de riscos.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7BC8BA62"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3B3CED32" w14:textId="77777777" w:rsidR="00D16019" w:rsidRDefault="00000000">
            <w:pPr>
              <w:keepNext/>
              <w:spacing w:before="10" w:after="10"/>
              <w:jc w:val="center"/>
            </w:pPr>
            <w:r>
              <w:rPr>
                <w:b/>
                <w:bCs/>
                <w:color w:val="FFFFFF"/>
              </w:rPr>
              <w:t>E2-F37</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2B64658A" w14:textId="77777777" w:rsidR="00D16019" w:rsidRDefault="00000000">
            <w:pPr>
              <w:keepNext/>
              <w:spacing w:before="10" w:after="10"/>
            </w:pPr>
            <w:r>
              <w:rPr>
                <w:b/>
                <w:bCs/>
                <w:color w:val="1A5C3A"/>
                <w:sz w:val="24"/>
                <w:szCs w:val="24"/>
              </w:rPr>
              <w:t>Sirenes e alertas de emergências</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459838D2" w14:textId="77777777" w:rsidR="00D16019" w:rsidRDefault="00000000">
            <w:pPr>
              <w:keepNext/>
              <w:spacing w:before="10" w:after="10"/>
              <w:jc w:val="center"/>
            </w:pPr>
            <w:r>
              <w:rPr>
                <w:color w:val="1A5C3A"/>
                <w:sz w:val="20"/>
                <w:szCs w:val="20"/>
              </w:rPr>
              <w:t>ODS 13</w:t>
            </w:r>
          </w:p>
        </w:tc>
      </w:tr>
    </w:tbl>
    <w:p w14:paraId="5EA34998"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Sinais sonoros ou visuais para avisar que há um perigo iminente por perto e que você precisa se proteger rápido.</w:t>
      </w:r>
    </w:p>
    <w:p w14:paraId="394B4022" w14:textId="77777777" w:rsidR="00D16019" w:rsidRDefault="00000000">
      <w:pPr>
        <w:spacing w:before="60" w:after="220" w:line="276" w:lineRule="auto"/>
        <w:jc w:val="both"/>
      </w:pPr>
      <w:r>
        <w:t>Campo Grande não dispõe de sistema de sirenes de alerta comunitário, e a comunicação de alertas meteorológicos depende dos avisos do INMET, do envio de mensagens por SMS e aplicativos da Defesa Civil mediante cadastro voluntário e da divulgação pela imprensa. Antes do vendaval de setembro de 2026, havia alerta laranja do INMET para chuva de 30 a 60 mm por hora, informação que não se traduziu em medidas de proteção para a maior parte da população. A eficácia dos alertas depende de alcance, linguagem e confiança, dimensões frágeis entre idosos, pessoas com deficiência, indígenas e migrantes com barreiras linguísticas. A instalação de sirenes é pertinente sobretudo para as populações a jusante de barragens de risco (E2-F33, E5-F15). O fator articula-se a E2-F29, E6-F03 e E6-F11, e o plano popular deve definir uma cadeia comunitária de alerta associada às redes locais.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57032E5A"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16E8321E" w14:textId="77777777" w:rsidR="00D16019" w:rsidRDefault="00000000">
            <w:pPr>
              <w:keepNext/>
              <w:spacing w:before="10" w:after="10"/>
              <w:jc w:val="center"/>
            </w:pPr>
            <w:r>
              <w:rPr>
                <w:b/>
                <w:bCs/>
                <w:color w:val="FFFFFF"/>
              </w:rPr>
              <w:t>E2-F38</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64D7739A" w14:textId="77777777" w:rsidR="00D16019" w:rsidRDefault="00000000">
            <w:pPr>
              <w:keepNext/>
              <w:spacing w:before="10" w:after="10"/>
            </w:pPr>
            <w:r>
              <w:rPr>
                <w:b/>
                <w:bCs/>
                <w:color w:val="1A5C3A"/>
                <w:sz w:val="24"/>
                <w:szCs w:val="24"/>
              </w:rPr>
              <w:t>Queimada/Incêndio</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387AB875" w14:textId="77777777" w:rsidR="00D16019" w:rsidRDefault="00000000">
            <w:pPr>
              <w:keepNext/>
              <w:spacing w:before="10" w:after="10"/>
              <w:jc w:val="center"/>
            </w:pPr>
            <w:r>
              <w:rPr>
                <w:color w:val="1A5C3A"/>
                <w:sz w:val="20"/>
                <w:szCs w:val="20"/>
              </w:rPr>
              <w:t>ODS 13</w:t>
            </w:r>
          </w:p>
        </w:tc>
      </w:tr>
    </w:tbl>
    <w:p w14:paraId="30162856"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Fogo que se espalha no mato, em plantações ou em casas, destruindo a natureza e colocando vidas em perigo.</w:t>
      </w:r>
    </w:p>
    <w:p w14:paraId="5D162576" w14:textId="77777777" w:rsidR="00D16019" w:rsidRDefault="00000000">
      <w:pPr>
        <w:spacing w:before="60" w:after="220" w:line="276" w:lineRule="auto"/>
        <w:jc w:val="both"/>
      </w:pPr>
      <w:r>
        <w:t xml:space="preserve">As queimadas e incêndios afetam Campo Grande diretamente, em focos de vegetação nativa e terrenos baldios no período seco, e indiretamente, pela fumaça dos incêndios no Pantanal e em outras regiões. Em 2024, os incêndios no Pantanal atingiram cerca de 1,5 milhão de hectares entre janeiro e setembro, 2.306% acima da média de cinco anos (MapBiomas), e a fumaça levou a capital à primeira classificação péssima de qualidade do ar da série do projeto </w:t>
      </w:r>
      <w:proofErr w:type="spellStart"/>
      <w:r>
        <w:t>QualiAr</w:t>
      </w:r>
      <w:proofErr w:type="spellEnd"/>
      <w:r>
        <w:t xml:space="preserve"> da UFMS. Os focos de calor no território municipal, registrados pelo Programa Queimadas do INPE, devem ser incorporados ao diagnóstico. Os efeitos sanitários incluem exacerbação de asma, doença pulmonar obstrutiva crônica e doenças cardiovasculares. O fator articula-se a E2-F25, E2-F30, E4-F16 e E4-F11, e a prevenção exige fiscalização, educação ambiental e brigadas para combate inicial.</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4D4B2220"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1A5C3A"/>
            <w:tcMar>
              <w:top w:w="70" w:type="dxa"/>
              <w:left w:w="120" w:type="dxa"/>
              <w:bottom w:w="70" w:type="dxa"/>
              <w:right w:w="120" w:type="dxa"/>
            </w:tcMar>
            <w:vAlign w:val="center"/>
          </w:tcPr>
          <w:p w14:paraId="35A7FEE1" w14:textId="77777777" w:rsidR="00D16019" w:rsidRDefault="00000000">
            <w:pPr>
              <w:keepNext/>
              <w:spacing w:before="10" w:after="10"/>
              <w:jc w:val="center"/>
            </w:pPr>
            <w:r>
              <w:rPr>
                <w:b/>
                <w:bCs/>
                <w:color w:val="FFFFFF"/>
              </w:rPr>
              <w:lastRenderedPageBreak/>
              <w:t>E2-F39</w:t>
            </w:r>
          </w:p>
        </w:tc>
        <w:tc>
          <w:tcPr>
            <w:tcW w:w="7054"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08E9BD82" w14:textId="77777777" w:rsidR="00D16019" w:rsidRDefault="00000000">
            <w:pPr>
              <w:keepNext/>
              <w:spacing w:before="10" w:after="10"/>
            </w:pPr>
            <w:r>
              <w:rPr>
                <w:b/>
                <w:bCs/>
                <w:color w:val="1A5C3A"/>
                <w:sz w:val="24"/>
                <w:szCs w:val="24"/>
              </w:rPr>
              <w:t>Ponto de encontro em emergências</w:t>
            </w:r>
          </w:p>
        </w:tc>
        <w:tc>
          <w:tcPr>
            <w:tcW w:w="1300" w:type="dxa"/>
            <w:tcBorders>
              <w:top w:val="single" w:sz="1" w:space="0" w:color="C8D8E8"/>
              <w:left w:val="single" w:sz="1" w:space="0" w:color="C8D8E8"/>
              <w:bottom w:val="single" w:sz="1" w:space="0" w:color="C8D8E8"/>
              <w:right w:val="single" w:sz="1" w:space="0" w:color="C8D8E8"/>
            </w:tcBorders>
            <w:shd w:val="clear" w:color="auto" w:fill="D5F5E3"/>
            <w:tcMar>
              <w:top w:w="70" w:type="dxa"/>
              <w:left w:w="120" w:type="dxa"/>
              <w:bottom w:w="70" w:type="dxa"/>
              <w:right w:w="120" w:type="dxa"/>
            </w:tcMar>
            <w:vAlign w:val="center"/>
          </w:tcPr>
          <w:p w14:paraId="0A17C772" w14:textId="77777777" w:rsidR="00D16019" w:rsidRDefault="00000000">
            <w:pPr>
              <w:keepNext/>
              <w:spacing w:before="10" w:after="10"/>
              <w:jc w:val="center"/>
            </w:pPr>
            <w:r>
              <w:rPr>
                <w:color w:val="1A5C3A"/>
                <w:sz w:val="20"/>
                <w:szCs w:val="20"/>
              </w:rPr>
              <w:t>ODS 13</w:t>
            </w:r>
          </w:p>
        </w:tc>
      </w:tr>
    </w:tbl>
    <w:p w14:paraId="56690AED"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Lugar combinado onde as pessoas devem se reunir em segurança quando acontece um desastre.</w:t>
      </w:r>
    </w:p>
    <w:p w14:paraId="16D5161E" w14:textId="7B008C90" w:rsidR="00D16019" w:rsidRDefault="00000000">
      <w:pPr>
        <w:spacing w:before="60" w:after="220" w:line="276" w:lineRule="auto"/>
        <w:jc w:val="both"/>
      </w:pPr>
      <w:r>
        <w:t>No vendaval de setembro de 2026, escolas e unidades de saúde, que seriam candidatas naturais a pontos de encontro, foram elas próprias atingidas, com 26 escolas destelhadas, o que demonstra a necessidade de avaliar a segurança estrutural das edificações antes de designá-las. Igrejas, centros comunitários e equipamentos esportivos com estrutura adequada podem compor a rede (E6-F16, E5-F25). O fator articula-se a E5-F01, E2-F26 e E2-F32, e a definição dos pontos deve ser feita com os moradores na cartografia social, considerando acessibilidade para pessoas com deficiência e idosos (E3-F11) e a localização das populações expostas a alagamentos e barragens.</w:t>
      </w:r>
    </w:p>
    <w:p w14:paraId="07BE4595" w14:textId="77777777" w:rsidR="00D16019" w:rsidRDefault="00000000">
      <w:pPr>
        <w:pStyle w:val="Ttulo1"/>
        <w:pageBreakBefore/>
        <w:spacing w:after="120"/>
      </w:pPr>
      <w:r>
        <w:rPr>
          <w:color w:val="7B241C"/>
        </w:rPr>
        <w:lastRenderedPageBreak/>
        <w:t>Eixo 3. Nossos Corpos Silenciados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4"/>
      </w:tblGrid>
      <w:tr w:rsidR="00D16019" w14:paraId="3356774F" w14:textId="77777777">
        <w:tc>
          <w:tcPr>
            <w:tcW w:w="9354" w:type="dxa"/>
            <w:tcBorders>
              <w:top w:val="single" w:sz="1" w:space="0" w:color="C8D8E8"/>
              <w:left w:val="single" w:sz="1" w:space="0" w:color="C8D8E8"/>
              <w:bottom w:val="single" w:sz="1" w:space="0" w:color="C8D8E8"/>
              <w:right w:val="single" w:sz="1" w:space="0" w:color="C8D8E8"/>
            </w:tcBorders>
            <w:shd w:val="clear" w:color="auto" w:fill="7B241C"/>
            <w:tcMar>
              <w:top w:w="70" w:type="dxa"/>
              <w:left w:w="120" w:type="dxa"/>
              <w:bottom w:w="70" w:type="dxa"/>
              <w:right w:w="120" w:type="dxa"/>
            </w:tcMar>
            <w:vAlign w:val="center"/>
          </w:tcPr>
          <w:p w14:paraId="29801FF3" w14:textId="77777777" w:rsidR="00D16019" w:rsidRDefault="00000000">
            <w:pPr>
              <w:spacing w:before="10" w:after="10"/>
            </w:pPr>
            <w:r>
              <w:rPr>
                <w:b/>
                <w:bCs/>
                <w:color w:val="FFFFFF"/>
                <w:sz w:val="26"/>
                <w:szCs w:val="26"/>
              </w:rPr>
              <w:t>EIXO 3  |  Nossos Corpos Silenciados</w:t>
            </w:r>
          </w:p>
        </w:tc>
      </w:tr>
      <w:tr w:rsidR="00D16019" w14:paraId="07DE8281" w14:textId="77777777">
        <w:tc>
          <w:tcPr>
            <w:tcW w:w="9354"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172BD6DC" w14:textId="77777777" w:rsidR="00D16019" w:rsidRDefault="00000000">
            <w:pPr>
              <w:spacing w:before="10" w:after="10"/>
            </w:pPr>
            <w:r>
              <w:rPr>
                <w:i/>
                <w:iCs/>
                <w:color w:val="7B241C"/>
              </w:rPr>
              <w:t>Contradição central: A cor da pele e o gênero determinam quem sofre mais violência, exclusão e invisibilidade.</w:t>
            </w:r>
          </w:p>
        </w:tc>
      </w:tr>
      <w:tr w:rsidR="00D16019" w14:paraId="26842D55" w14:textId="77777777">
        <w:tc>
          <w:tcPr>
            <w:tcW w:w="9354"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7E413466" w14:textId="77777777" w:rsidR="00D16019" w:rsidRDefault="00000000">
            <w:pPr>
              <w:spacing w:before="10" w:after="10"/>
            </w:pPr>
            <w:r>
              <w:rPr>
                <w:color w:val="4A5568"/>
                <w:sz w:val="21"/>
                <w:szCs w:val="21"/>
              </w:rPr>
              <w:t>Foco pedagógico: Gênero, raça, direitos fundamentais e empoderamento</w:t>
            </w:r>
          </w:p>
        </w:tc>
      </w:tr>
      <w:tr w:rsidR="00D16019" w14:paraId="258A3996" w14:textId="77777777">
        <w:tc>
          <w:tcPr>
            <w:tcW w:w="9354"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37CBEE85" w14:textId="77777777" w:rsidR="00D16019" w:rsidRDefault="00000000">
            <w:pPr>
              <w:spacing w:before="10" w:after="10"/>
            </w:pPr>
            <w:r>
              <w:rPr>
                <w:color w:val="4A5568"/>
                <w:sz w:val="21"/>
                <w:szCs w:val="21"/>
              </w:rPr>
              <w:t>ODS mobilizados: 1, 5, 8, 10, 18  |  18 fatores da Matriz v1.0.2</w:t>
            </w:r>
          </w:p>
        </w:tc>
      </w:tr>
    </w:tbl>
    <w:p w14:paraId="42CFFE18" w14:textId="77777777" w:rsidR="00D16019" w:rsidRDefault="00000000">
      <w:pPr>
        <w:spacing w:before="160" w:after="200" w:line="276" w:lineRule="auto"/>
        <w:jc w:val="both"/>
      </w:pPr>
      <w:r>
        <w:t xml:space="preserve">O eixo analisa como raça, etnia, gênero, idade e deficiência organizam a distribuição desigual de violência, pobreza e acesso a direitos em Campo Grande. A capital abriga 18.439 indígenas, o maior contingente municipal do estado (IBGE, Censo 2022), comunidades quilombolas urbanas como Tia Eva, Chácara Buriti e São João Batista, e 1.476 pessoas em situação de rua recenseadas em 2025, das quais mais de 77% se declararam pardas ou pretas e 17,1% eram estrangeiras (GT-PSR). A </w:t>
      </w:r>
      <w:proofErr w:type="spellStart"/>
      <w:r>
        <w:t>sobremortalidade</w:t>
      </w:r>
      <w:proofErr w:type="spellEnd"/>
      <w:r>
        <w:t xml:space="preserve"> de jovens negros e indígenas por homicídio, o perfil racial da mortalidade materna e a concentração das exposições ambientais nos territórios de maior proporção de população negra e indígena configuram o racismo estrutural e ambiental que os 18 fatores do eixo permitem nomear. A rede de proteção existe, mas opera com capacidade inferior à demanda e com fraca integração entre saúde, assistência social e justiça.</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4ACEEEBE"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B241C"/>
            <w:tcMar>
              <w:top w:w="70" w:type="dxa"/>
              <w:left w:w="120" w:type="dxa"/>
              <w:bottom w:w="70" w:type="dxa"/>
              <w:right w:w="120" w:type="dxa"/>
            </w:tcMar>
            <w:vAlign w:val="center"/>
          </w:tcPr>
          <w:p w14:paraId="4053A6F3" w14:textId="77777777" w:rsidR="00D16019" w:rsidRDefault="00000000">
            <w:pPr>
              <w:keepNext/>
              <w:spacing w:before="10" w:after="10"/>
              <w:jc w:val="center"/>
            </w:pPr>
            <w:r>
              <w:rPr>
                <w:b/>
                <w:bCs/>
                <w:color w:val="FFFFFF"/>
              </w:rPr>
              <w:t>E3-F01</w:t>
            </w:r>
          </w:p>
        </w:tc>
        <w:tc>
          <w:tcPr>
            <w:tcW w:w="7054"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64389603" w14:textId="77777777" w:rsidR="00D16019" w:rsidRDefault="00000000">
            <w:pPr>
              <w:keepNext/>
              <w:spacing w:before="10" w:after="10"/>
            </w:pPr>
            <w:r>
              <w:rPr>
                <w:b/>
                <w:bCs/>
                <w:color w:val="7B241C"/>
                <w:sz w:val="24"/>
                <w:szCs w:val="24"/>
              </w:rPr>
              <w:t>Pobreza</w:t>
            </w:r>
          </w:p>
        </w:tc>
        <w:tc>
          <w:tcPr>
            <w:tcW w:w="1300"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69DFD3D8" w14:textId="77777777" w:rsidR="00D16019" w:rsidRDefault="00000000">
            <w:pPr>
              <w:keepNext/>
              <w:spacing w:before="10" w:after="10"/>
              <w:jc w:val="center"/>
            </w:pPr>
            <w:r>
              <w:rPr>
                <w:color w:val="7B241C"/>
                <w:sz w:val="20"/>
                <w:szCs w:val="20"/>
              </w:rPr>
              <w:t>ODS 1</w:t>
            </w:r>
          </w:p>
        </w:tc>
      </w:tr>
    </w:tbl>
    <w:p w14:paraId="7FA9D0BA"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É a falta de dinheiro e de condições básicas de vida, o que impede a pessoa de ter uma vida digna e boas oportunidades.</w:t>
      </w:r>
    </w:p>
    <w:p w14:paraId="30B96A61" w14:textId="77777777" w:rsidR="00D16019" w:rsidRDefault="00000000">
      <w:pPr>
        <w:spacing w:before="60" w:after="220" w:line="276" w:lineRule="auto"/>
        <w:jc w:val="both"/>
      </w:pPr>
      <w:r>
        <w:t>A pobreza em Campo Grande coexiste com indicadores econômicos agregados elevados: o município é a maior economia do estado, mas seu PIB per capita de R$ 47.065,77 em 2023 (IBGE, escala municipal) é inferior à média estadual de R$ 66,8 mil (</w:t>
      </w:r>
      <w:proofErr w:type="spellStart"/>
      <w:r>
        <w:t>Semadesc</w:t>
      </w:r>
      <w:proofErr w:type="spellEnd"/>
      <w:r>
        <w:t>, 2023), e as classes de menor renda detêm 31,4% das remunerações formais contra 33,7% das classes mais altas. O IDHM de 0,784 (Atlas do Desenvolvimento Humano, base Censo 2010) situa a capital em faixa alta, mas não capta a heterogeneidade intraurbana. A pobreza concentra-se nas regiões do Anhanduizinho, da Lagoa, do Bandeira e do Imbirussu, nas aldeias urbanas indígenas e na população em situação de rua, que passou de 503 pessoas em 2018 para 1.611 em 2025 segundo levantamento municipal. O número de famílias no CadÚnico e no Bolsa Família por território, a ser extraído do VIS Data do MDS, é o indicador operacional. O fator é síntese de E1-F13, E1-F28 e E5-F22 e determinante transversal de todo o Eixo 2.</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1580F6FC"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B241C"/>
            <w:tcMar>
              <w:top w:w="70" w:type="dxa"/>
              <w:left w:w="120" w:type="dxa"/>
              <w:bottom w:w="70" w:type="dxa"/>
              <w:right w:w="120" w:type="dxa"/>
            </w:tcMar>
            <w:vAlign w:val="center"/>
          </w:tcPr>
          <w:p w14:paraId="5432D9FD" w14:textId="77777777" w:rsidR="00D16019" w:rsidRDefault="00000000">
            <w:pPr>
              <w:keepNext/>
              <w:spacing w:before="10" w:after="10"/>
              <w:jc w:val="center"/>
            </w:pPr>
            <w:r>
              <w:rPr>
                <w:b/>
                <w:bCs/>
                <w:color w:val="FFFFFF"/>
              </w:rPr>
              <w:t>E3-F02</w:t>
            </w:r>
          </w:p>
        </w:tc>
        <w:tc>
          <w:tcPr>
            <w:tcW w:w="7054"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3DE19514" w14:textId="77777777" w:rsidR="00D16019" w:rsidRDefault="00000000">
            <w:pPr>
              <w:keepNext/>
              <w:spacing w:before="10" w:after="10"/>
            </w:pPr>
            <w:r>
              <w:rPr>
                <w:b/>
                <w:bCs/>
                <w:color w:val="7B241C"/>
                <w:sz w:val="24"/>
                <w:szCs w:val="24"/>
              </w:rPr>
              <w:t>Discriminação e violência contra mulheres e meninas</w:t>
            </w:r>
          </w:p>
        </w:tc>
        <w:tc>
          <w:tcPr>
            <w:tcW w:w="1300"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1220F5C3" w14:textId="77777777" w:rsidR="00D16019" w:rsidRDefault="00000000">
            <w:pPr>
              <w:keepNext/>
              <w:spacing w:before="10" w:after="10"/>
              <w:jc w:val="center"/>
            </w:pPr>
            <w:r>
              <w:rPr>
                <w:color w:val="7B241C"/>
                <w:sz w:val="20"/>
                <w:szCs w:val="20"/>
              </w:rPr>
              <w:t>ODS 5</w:t>
            </w:r>
          </w:p>
        </w:tc>
      </w:tr>
    </w:tbl>
    <w:p w14:paraId="0F8FDD6B"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Tratar alguém mal ou de forma injusta pelo simples fato de ela ser mulher.</w:t>
      </w:r>
    </w:p>
    <w:p w14:paraId="1D2E0A5F" w14:textId="77777777" w:rsidR="00D16019" w:rsidRDefault="00000000">
      <w:pPr>
        <w:spacing w:before="60" w:after="220" w:line="276" w:lineRule="auto"/>
        <w:jc w:val="both"/>
      </w:pPr>
      <w:r>
        <w:t xml:space="preserve">A violência contra mulheres em Campo Grande é monitorada pelo painel estadual da </w:t>
      </w:r>
      <w:proofErr w:type="spellStart"/>
      <w:r>
        <w:t>Sejusp</w:t>
      </w:r>
      <w:proofErr w:type="spellEnd"/>
      <w:r>
        <w:t>-MS e do Tribunal de Justiça, que consolida feminicídios, tentativas e medidas protetivas, e pelas notificações de violência doméstica, sexual e outras violências no SINAN. Mato Grosso do Sul figura entre os estados com taxas elevadas de feminicídio segundo o Anuário Brasileiro de Segurança Pública, e a capital concentra parte relevante dos casos. A rede de atendimento inclui a Casa da Mulher Brasileira, primeira implantada no país, a Delegacia Especializada, a Defensoria Pública e os serviços de saúde, mas a efetividade depende da articulação entre notificação, proteção e acompanhamento. A violência atinge de forma desproporcional mulheres negras e indígenas (E3-F16) e se agrava em contextos de dependência econômica (E1-F07) e uso de álcool (E2-F10). O fator articula-se a E2-F28 e E3-F06, e a APS é porta de entrada para identificação precoce.</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62C5D914"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B241C"/>
            <w:tcMar>
              <w:top w:w="70" w:type="dxa"/>
              <w:left w:w="120" w:type="dxa"/>
              <w:bottom w:w="70" w:type="dxa"/>
              <w:right w:w="120" w:type="dxa"/>
            </w:tcMar>
            <w:vAlign w:val="center"/>
          </w:tcPr>
          <w:p w14:paraId="0A509058" w14:textId="77777777" w:rsidR="00D16019" w:rsidRDefault="00000000">
            <w:pPr>
              <w:keepNext/>
              <w:spacing w:before="10" w:after="10"/>
              <w:jc w:val="center"/>
            </w:pPr>
            <w:r>
              <w:rPr>
                <w:b/>
                <w:bCs/>
                <w:color w:val="FFFFFF"/>
              </w:rPr>
              <w:lastRenderedPageBreak/>
              <w:t>E3-F03</w:t>
            </w:r>
          </w:p>
        </w:tc>
        <w:tc>
          <w:tcPr>
            <w:tcW w:w="7054"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4FBE2B6D" w14:textId="77777777" w:rsidR="00D16019" w:rsidRDefault="00000000">
            <w:pPr>
              <w:keepNext/>
              <w:spacing w:before="10" w:after="10"/>
            </w:pPr>
            <w:r>
              <w:rPr>
                <w:b/>
                <w:bCs/>
                <w:color w:val="7B241C"/>
                <w:sz w:val="24"/>
                <w:szCs w:val="24"/>
              </w:rPr>
              <w:t>Casamentos prematuros, forçados e de crianças</w:t>
            </w:r>
          </w:p>
        </w:tc>
        <w:tc>
          <w:tcPr>
            <w:tcW w:w="1300"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4D94DBEC" w14:textId="77777777" w:rsidR="00D16019" w:rsidRDefault="00000000">
            <w:pPr>
              <w:keepNext/>
              <w:spacing w:before="10" w:after="10"/>
              <w:jc w:val="center"/>
            </w:pPr>
            <w:r>
              <w:rPr>
                <w:color w:val="7B241C"/>
                <w:sz w:val="20"/>
                <w:szCs w:val="20"/>
              </w:rPr>
              <w:t>ODS 5</w:t>
            </w:r>
          </w:p>
        </w:tc>
      </w:tr>
    </w:tbl>
    <w:p w14:paraId="5B25C721"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Quando adolescentes ou crianças são obrigados a casar contra a vontade ou antes de terem idade para decidir.</w:t>
      </w:r>
    </w:p>
    <w:p w14:paraId="53552849" w14:textId="77777777" w:rsidR="00D16019" w:rsidRDefault="00000000">
      <w:pPr>
        <w:spacing w:before="60" w:after="220" w:line="276" w:lineRule="auto"/>
        <w:jc w:val="both"/>
      </w:pPr>
      <w:r>
        <w:t>Casamentos e uniões precoces envolvendo adolescentes têm ocorrência subnotificada em Campo Grande e só podem ser estimados indiretamente, pelo Censo 2022, que registra o estado conjugal por idade, e pelo SINASC, que registra nascidos vivos de mães adolescentes. Em Mato Grosso do Sul, nasceram cerca de 3,9 mil bebês de mães com menos de 14 anos em uma década, segundo dados divulgados pela imprensa com base no SINASC, situação que configura estupro de vulnerável nos termos legais e articula este fator a E3-F02. As uniões precoces associam-se à evasão escolar (E5-F04), à pobreza (E3-F01) e a riscos obstétricos (E2-F03, E2-F04). A abordagem em comunidades indígenas exige mediação intercultural que considere as normas próprias sem relativizar a proteção legal. O fator demanda articulação entre escola, Conselho Tutelar e APS, e a série municipal de gestações na adolescência deve ser extraída do SINASC.</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11DF42C1"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B241C"/>
            <w:tcMar>
              <w:top w:w="70" w:type="dxa"/>
              <w:left w:w="120" w:type="dxa"/>
              <w:bottom w:w="70" w:type="dxa"/>
              <w:right w:w="120" w:type="dxa"/>
            </w:tcMar>
            <w:vAlign w:val="center"/>
          </w:tcPr>
          <w:p w14:paraId="04F7568F" w14:textId="77777777" w:rsidR="00D16019" w:rsidRDefault="00000000">
            <w:pPr>
              <w:keepNext/>
              <w:spacing w:before="10" w:after="10"/>
              <w:jc w:val="center"/>
            </w:pPr>
            <w:r>
              <w:rPr>
                <w:b/>
                <w:bCs/>
                <w:color w:val="FFFFFF"/>
              </w:rPr>
              <w:t>E3-F04</w:t>
            </w:r>
          </w:p>
        </w:tc>
        <w:tc>
          <w:tcPr>
            <w:tcW w:w="7054"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1FC05DDB" w14:textId="77777777" w:rsidR="00D16019" w:rsidRDefault="00000000">
            <w:pPr>
              <w:keepNext/>
              <w:spacing w:before="10" w:after="10"/>
            </w:pPr>
            <w:r>
              <w:rPr>
                <w:b/>
                <w:bCs/>
                <w:color w:val="7B241C"/>
                <w:sz w:val="24"/>
                <w:szCs w:val="24"/>
              </w:rPr>
              <w:t>Igualdade de oportunidades para promover o empoderamento das mulheres</w:t>
            </w:r>
          </w:p>
        </w:tc>
        <w:tc>
          <w:tcPr>
            <w:tcW w:w="1300"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31DD4CFD" w14:textId="77777777" w:rsidR="00D16019" w:rsidRDefault="00000000">
            <w:pPr>
              <w:keepNext/>
              <w:spacing w:before="10" w:after="10"/>
              <w:jc w:val="center"/>
            </w:pPr>
            <w:r>
              <w:rPr>
                <w:color w:val="7B241C"/>
                <w:sz w:val="20"/>
                <w:szCs w:val="20"/>
              </w:rPr>
              <w:t>ODS 5</w:t>
            </w:r>
          </w:p>
        </w:tc>
      </w:tr>
    </w:tbl>
    <w:p w14:paraId="3D10AC79"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Garantir que mulheres e homens tenham as mesmas chances na vida, no trabalho, na comunidade e na política.</w:t>
      </w:r>
    </w:p>
    <w:p w14:paraId="43B566F0" w14:textId="77777777" w:rsidR="00D16019" w:rsidRDefault="00000000">
      <w:pPr>
        <w:spacing w:before="60" w:after="220" w:line="276" w:lineRule="auto"/>
        <w:jc w:val="both"/>
      </w:pPr>
      <w:r>
        <w:t>A igualdade de oportunidades para mulheres em Campo Grande é limitada pela sobrecarga de cuidado (E1-F07), pela insuficiência de creches nas regiões periféricas (E1-F01), pela segmentação ocupacional que concentra mulheres em serviços de menor remuneração (E1-F18) e pela violência de gênero (E3-F02). Os programas de qualificação e geração de renda operados pelos CRAS e pela Fundação Social do Trabalho alcançam parte dessa demanda, sem avaliação pública de resultados por território. A participação feminina em espaços de decisão, como conselhos e a Câmara Municipal, é indicador a ser incorporado ao diagnóstico. A Casa da Mulher Brasileira articula serviços de proteção e autonomia econômica, mas sua localização centralizada limita o acesso das mulheres das regiões periféricas. O fator articula-se a E3-F06, E3-F10 e E5-F05, e o plano popular deve prever metas de vagas em creche e de inserção produtiva desagregadas por território.</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16D0E639"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B241C"/>
            <w:tcMar>
              <w:top w:w="70" w:type="dxa"/>
              <w:left w:w="120" w:type="dxa"/>
              <w:bottom w:w="70" w:type="dxa"/>
              <w:right w:w="120" w:type="dxa"/>
            </w:tcMar>
            <w:vAlign w:val="center"/>
          </w:tcPr>
          <w:p w14:paraId="213ADBE2" w14:textId="77777777" w:rsidR="00D16019" w:rsidRDefault="00000000">
            <w:pPr>
              <w:keepNext/>
              <w:spacing w:before="10" w:after="10"/>
              <w:jc w:val="center"/>
            </w:pPr>
            <w:r>
              <w:rPr>
                <w:b/>
                <w:bCs/>
                <w:color w:val="FFFFFF"/>
              </w:rPr>
              <w:t>E3-F05</w:t>
            </w:r>
          </w:p>
        </w:tc>
        <w:tc>
          <w:tcPr>
            <w:tcW w:w="7054"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6A1226A5" w14:textId="77777777" w:rsidR="00D16019" w:rsidRDefault="00000000">
            <w:pPr>
              <w:keepNext/>
              <w:spacing w:before="10" w:after="10"/>
            </w:pPr>
            <w:r>
              <w:rPr>
                <w:b/>
                <w:bCs/>
                <w:color w:val="7B241C"/>
                <w:sz w:val="24"/>
                <w:szCs w:val="24"/>
              </w:rPr>
              <w:t>Propriedade e controle sobre a terra para as mulheres</w:t>
            </w:r>
          </w:p>
        </w:tc>
        <w:tc>
          <w:tcPr>
            <w:tcW w:w="1300"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556174F6" w14:textId="77777777" w:rsidR="00D16019" w:rsidRDefault="00000000">
            <w:pPr>
              <w:keepNext/>
              <w:spacing w:before="10" w:after="10"/>
              <w:jc w:val="center"/>
            </w:pPr>
            <w:r>
              <w:rPr>
                <w:color w:val="7B241C"/>
                <w:sz w:val="20"/>
                <w:szCs w:val="20"/>
              </w:rPr>
              <w:t>ODS 5</w:t>
            </w:r>
          </w:p>
        </w:tc>
      </w:tr>
    </w:tbl>
    <w:p w14:paraId="671CDEEA"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Direito das mulheres de possuir e administrar terras e bens.</w:t>
      </w:r>
    </w:p>
    <w:p w14:paraId="59A0986A" w14:textId="77777777" w:rsidR="00D16019" w:rsidRDefault="00000000">
      <w:pPr>
        <w:spacing w:before="60" w:after="220" w:line="276" w:lineRule="auto"/>
        <w:jc w:val="both"/>
      </w:pPr>
      <w:r>
        <w:t xml:space="preserve">A propriedade e o controle da terra pelas mulheres em Campo Grande devem ser analisados em duas escalas. Na zona rural e nos assentamentos de reforma agrária, a titulação conjunta ou preferencial às mulheres, prevista na legislação agrária, deve ser verificada nos registros do INCRA. Na zona urbana, a regularização fundiária de núcleos informais e os programas habitacionais podem priorizar a titulação em nome das mulheres, conforme a Lei nº 13.465/2017 e as regras dos programas federais de habitação de interesse </w:t>
      </w:r>
      <w:r w:rsidRPr="004C6DDB">
        <w:t>social. A ausência de dados municipais desagregados por sexo sobre titularidade de imóveis regularizados constitui lacuna. A</w:t>
      </w:r>
      <w:r>
        <w:t xml:space="preserve"> titularidade feminina reduz a vulnerabilidade em situações de violência doméstica (E3-F02) e separação, e amplia o acesso a crédito (E1-F22). O fator articula-se a E5-F22 e E3-F19, e o plano popular deve incluir a perspectiva de gênero nos processos de regularização fundiária.</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63C6E2A0"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B241C"/>
            <w:tcMar>
              <w:top w:w="70" w:type="dxa"/>
              <w:left w:w="120" w:type="dxa"/>
              <w:bottom w:w="70" w:type="dxa"/>
              <w:right w:w="120" w:type="dxa"/>
            </w:tcMar>
            <w:vAlign w:val="center"/>
          </w:tcPr>
          <w:p w14:paraId="0103F972" w14:textId="77777777" w:rsidR="00D16019" w:rsidRDefault="00000000">
            <w:pPr>
              <w:keepNext/>
              <w:spacing w:before="10" w:after="10"/>
              <w:jc w:val="center"/>
            </w:pPr>
            <w:r>
              <w:rPr>
                <w:b/>
                <w:bCs/>
                <w:color w:val="FFFFFF"/>
              </w:rPr>
              <w:t>E3-F06</w:t>
            </w:r>
          </w:p>
        </w:tc>
        <w:tc>
          <w:tcPr>
            <w:tcW w:w="7054"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10854337" w14:textId="77777777" w:rsidR="00D16019" w:rsidRDefault="00000000">
            <w:pPr>
              <w:keepNext/>
              <w:spacing w:before="10" w:after="10"/>
            </w:pPr>
            <w:r>
              <w:rPr>
                <w:b/>
                <w:bCs/>
                <w:color w:val="7B241C"/>
                <w:sz w:val="24"/>
                <w:szCs w:val="24"/>
              </w:rPr>
              <w:t>Ação do Estado na coordenação e coerência de políticas para igualdade de gênero</w:t>
            </w:r>
          </w:p>
        </w:tc>
        <w:tc>
          <w:tcPr>
            <w:tcW w:w="1300"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63703C51" w14:textId="77777777" w:rsidR="00D16019" w:rsidRDefault="00000000">
            <w:pPr>
              <w:keepNext/>
              <w:spacing w:before="10" w:after="10"/>
              <w:jc w:val="center"/>
            </w:pPr>
            <w:r>
              <w:rPr>
                <w:color w:val="7B241C"/>
                <w:sz w:val="20"/>
                <w:szCs w:val="20"/>
              </w:rPr>
              <w:t>ODS 5</w:t>
            </w:r>
          </w:p>
        </w:tc>
      </w:tr>
    </w:tbl>
    <w:p w14:paraId="5FF10B8F"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Quando o governo cria e faz cumprir políticas que fazem com que as mulheres tenham as mesmas chances que os homens têm na vida, no trabalho, na comunidade e na política.</w:t>
      </w:r>
    </w:p>
    <w:p w14:paraId="3D555B52" w14:textId="77777777" w:rsidR="00D16019" w:rsidRDefault="00000000">
      <w:pPr>
        <w:spacing w:before="60" w:after="220" w:line="276" w:lineRule="auto"/>
        <w:jc w:val="both"/>
      </w:pPr>
      <w:r>
        <w:t xml:space="preserve">A coordenação de políticas para igualdade de gênero em Campo Grande envolve a Subsecretaria municipal de Políticas para as Mulheres, as secretarias de Saúde, Assistência Social e Educação, a Casa da Mulher Brasileira e o sistema de justiça. A existência de equipamentos de referência não garante, por si, coerência </w:t>
      </w:r>
      <w:r>
        <w:lastRenderedPageBreak/>
        <w:t>entre políticas: a notificação de violência na APS nem sempre resulta em acompanhamento pela assistência social, e programas de geração de renda nem sempre se articulam à oferta de creche. O plano municipal de políticas para mulheres e o Conselho Municipal dos Direitos da Mulher são os instrumentos de coordenação, e sua vigência, metas e execução orçamentária devem ser verificadas para o diagnóstico. O fator articula-se a E3-F02, E3-F04 e E6-F07, e a avaliação deve se basear em fluxos efetivos de atendimento e não apenas na existência formal de serviços.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48D4E2B7"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B241C"/>
            <w:tcMar>
              <w:top w:w="70" w:type="dxa"/>
              <w:left w:w="120" w:type="dxa"/>
              <w:bottom w:w="70" w:type="dxa"/>
              <w:right w:w="120" w:type="dxa"/>
            </w:tcMar>
            <w:vAlign w:val="center"/>
          </w:tcPr>
          <w:p w14:paraId="0E9D219F" w14:textId="77777777" w:rsidR="00D16019" w:rsidRDefault="00000000">
            <w:pPr>
              <w:keepNext/>
              <w:spacing w:before="10" w:after="10"/>
              <w:jc w:val="center"/>
            </w:pPr>
            <w:r>
              <w:rPr>
                <w:b/>
                <w:bCs/>
                <w:color w:val="FFFFFF"/>
              </w:rPr>
              <w:t>E3-F07</w:t>
            </w:r>
          </w:p>
        </w:tc>
        <w:tc>
          <w:tcPr>
            <w:tcW w:w="7054"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3D1F9985" w14:textId="77777777" w:rsidR="00D16019" w:rsidRDefault="00000000">
            <w:pPr>
              <w:keepNext/>
              <w:spacing w:before="10" w:after="10"/>
            </w:pPr>
            <w:r>
              <w:rPr>
                <w:b/>
                <w:bCs/>
                <w:color w:val="7B241C"/>
                <w:sz w:val="24"/>
                <w:szCs w:val="24"/>
              </w:rPr>
              <w:t>Tráfico de pessoas</w:t>
            </w:r>
          </w:p>
        </w:tc>
        <w:tc>
          <w:tcPr>
            <w:tcW w:w="1300"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0051451C" w14:textId="77777777" w:rsidR="00D16019" w:rsidRDefault="00000000">
            <w:pPr>
              <w:keepNext/>
              <w:spacing w:before="10" w:after="10"/>
              <w:jc w:val="center"/>
            </w:pPr>
            <w:r>
              <w:rPr>
                <w:color w:val="7B241C"/>
                <w:sz w:val="20"/>
                <w:szCs w:val="20"/>
              </w:rPr>
              <w:t>ODS 8</w:t>
            </w:r>
          </w:p>
        </w:tc>
      </w:tr>
    </w:tbl>
    <w:p w14:paraId="2A0A7261"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O crime de enganar ou levar pessoas para longe de casa para usá-las em trabalhos forçados ou exploração.</w:t>
      </w:r>
    </w:p>
    <w:p w14:paraId="6DD2CAAD" w14:textId="77777777" w:rsidR="00D16019" w:rsidRDefault="00000000">
      <w:pPr>
        <w:spacing w:before="60" w:after="220" w:line="276" w:lineRule="auto"/>
        <w:jc w:val="both"/>
      </w:pPr>
      <w:r>
        <w:t>O tráfico de pessoas tem relevância regional para Campo Grande em razão da posição do estado na fronteira com Paraguai e Bolívia e da circulação de migrantes, trabalhadores sazonais e populações indígenas. As modalidades de maior risco são a exploração sexual, o trabalho em condições análogas às de escravidão (E1-F15) e o aliciamento de adolescentes. O Núcleo de Enfrentamento ao Tráfico de Pessoas do estado e a Polícia Federal concentram as investigações, mas a subnotificação é estrutural. A presença de 17,1% de estrangeiros entre as pessoas em situação de rua recenseadas em 2025 (GT-PSR) indica grupo exposto a redes de exploração</w:t>
      </w:r>
      <w:r w:rsidRPr="004C6DDB">
        <w:t>. Na ausência de dados municipais sistematizados, o fator é tratado como lacuna de informação e risco provável. Articula</w:t>
      </w:r>
      <w:r>
        <w:t>-se a E3-F13 e E3-F14, e as equipes de APS, Consultório na Rua e assistência social devem ser capacitadas para reconhecer sinais de tráfico e acionar a rede de proteção.</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2EE2B000"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B241C"/>
            <w:tcMar>
              <w:top w:w="70" w:type="dxa"/>
              <w:left w:w="120" w:type="dxa"/>
              <w:bottom w:w="70" w:type="dxa"/>
              <w:right w:w="120" w:type="dxa"/>
            </w:tcMar>
            <w:vAlign w:val="center"/>
          </w:tcPr>
          <w:p w14:paraId="4AB64E13" w14:textId="77777777" w:rsidR="00D16019" w:rsidRDefault="00000000">
            <w:pPr>
              <w:keepNext/>
              <w:spacing w:before="10" w:after="10"/>
              <w:jc w:val="center"/>
            </w:pPr>
            <w:r>
              <w:rPr>
                <w:b/>
                <w:bCs/>
                <w:color w:val="FFFFFF"/>
              </w:rPr>
              <w:t>E3-F08</w:t>
            </w:r>
          </w:p>
        </w:tc>
        <w:tc>
          <w:tcPr>
            <w:tcW w:w="7054"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4EDE193A" w14:textId="77777777" w:rsidR="00D16019" w:rsidRDefault="00000000">
            <w:pPr>
              <w:keepNext/>
              <w:spacing w:before="10" w:after="10"/>
            </w:pPr>
            <w:r>
              <w:rPr>
                <w:b/>
                <w:bCs/>
                <w:color w:val="7B241C"/>
                <w:sz w:val="24"/>
                <w:szCs w:val="24"/>
              </w:rPr>
              <w:t>Direitos fundamentais</w:t>
            </w:r>
          </w:p>
        </w:tc>
        <w:tc>
          <w:tcPr>
            <w:tcW w:w="1300"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397A963F" w14:textId="77777777" w:rsidR="00D16019" w:rsidRDefault="00000000">
            <w:pPr>
              <w:keepNext/>
              <w:spacing w:before="10" w:after="10"/>
              <w:jc w:val="center"/>
            </w:pPr>
            <w:r>
              <w:rPr>
                <w:color w:val="7B241C"/>
                <w:sz w:val="20"/>
                <w:szCs w:val="20"/>
              </w:rPr>
              <w:t>ODS 8</w:t>
            </w:r>
          </w:p>
        </w:tc>
      </w:tr>
    </w:tbl>
    <w:p w14:paraId="4986C3EB"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Garantir que todos tenham o básico previsto em lei, como saúde, educação, moradia e documentos.</w:t>
      </w:r>
    </w:p>
    <w:p w14:paraId="5216F8FE" w14:textId="77777777" w:rsidR="00D16019" w:rsidRDefault="00000000">
      <w:pPr>
        <w:spacing w:before="60" w:after="220" w:line="276" w:lineRule="auto"/>
        <w:jc w:val="both"/>
      </w:pPr>
      <w:r>
        <w:t>O acesso a direitos fundamentais em Campo Grande é desigual entre grupos populacionais. Entre os 18.439 indígenas residentes na capital segundo o Censo 2022, apenas 6% possuíam o Registro Administrativo de Nascimento de Indígena, documento complementar que facilita o acesso a políticas específicas, e a falta de documentação civil também afeta pessoas em situação de rua e migrantes. Sem documentos, o acesso ao CadÚnico, a benefícios previdenciários e ao cartão do SUS fica comprometido. A garantia de saúde, educação e moradia, conteúdo do fator, é desigual entre as regiões urbanas, como mostram os demais fatores deste diagnóstico. O fator articula-se a E3-F12, E3-F14, E1-F20 e E3-F19, e o plano popular pode prever mutirões de documentação nas aldeias urbanas, nos pontos de concentração da população em situação de rua e nos territórios de maior vulnerabilidade, articulando cartórios, Defensoria Pública e assistência social.</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5AF20F70"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B241C"/>
            <w:tcMar>
              <w:top w:w="70" w:type="dxa"/>
              <w:left w:w="120" w:type="dxa"/>
              <w:bottom w:w="70" w:type="dxa"/>
              <w:right w:w="120" w:type="dxa"/>
            </w:tcMar>
            <w:vAlign w:val="center"/>
          </w:tcPr>
          <w:p w14:paraId="565B1452" w14:textId="77777777" w:rsidR="00D16019" w:rsidRDefault="00000000">
            <w:pPr>
              <w:keepNext/>
              <w:spacing w:before="10" w:after="10"/>
              <w:jc w:val="center"/>
            </w:pPr>
            <w:r>
              <w:rPr>
                <w:b/>
                <w:bCs/>
                <w:color w:val="FFFFFF"/>
              </w:rPr>
              <w:t>E3-F09</w:t>
            </w:r>
          </w:p>
        </w:tc>
        <w:tc>
          <w:tcPr>
            <w:tcW w:w="7054"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7F2764C7" w14:textId="77777777" w:rsidR="00D16019" w:rsidRDefault="00000000">
            <w:pPr>
              <w:keepNext/>
              <w:spacing w:before="10" w:after="10"/>
            </w:pPr>
            <w:r>
              <w:rPr>
                <w:b/>
                <w:bCs/>
                <w:color w:val="7B241C"/>
                <w:sz w:val="24"/>
                <w:szCs w:val="24"/>
              </w:rPr>
              <w:t>Monitoramento dos vulneráveis (idosos, PCDs e crianças)</w:t>
            </w:r>
          </w:p>
        </w:tc>
        <w:tc>
          <w:tcPr>
            <w:tcW w:w="1300"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25522214" w14:textId="77777777" w:rsidR="00D16019" w:rsidRDefault="00000000">
            <w:pPr>
              <w:keepNext/>
              <w:spacing w:before="10" w:after="10"/>
              <w:jc w:val="center"/>
            </w:pPr>
            <w:r>
              <w:rPr>
                <w:color w:val="7B241C"/>
                <w:sz w:val="20"/>
                <w:szCs w:val="20"/>
              </w:rPr>
              <w:t>ODS 10</w:t>
            </w:r>
          </w:p>
        </w:tc>
      </w:tr>
    </w:tbl>
    <w:p w14:paraId="1347220B"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Acompanhar de perto idosos, crianças e pessoas com deficiência para garantir que estejam bem e protegidos.</w:t>
      </w:r>
    </w:p>
    <w:p w14:paraId="2AF1B81E" w14:textId="77777777" w:rsidR="00D16019" w:rsidRDefault="00000000">
      <w:pPr>
        <w:spacing w:before="60" w:after="220" w:line="276" w:lineRule="auto"/>
        <w:jc w:val="both"/>
      </w:pPr>
      <w:r>
        <w:t>O monitoramento de idosos, pessoas com deficiência e crianças em situação de vulnerabilidade em Campo Grande depende do cadastro territorial das equipes de Saúde da Família e dos agentes comunitários de saúde, do Cadastro Único e do acompanhamento dos CRAS, sistemas que não se integram em base nominal compartilhada. A cobertura de Saúde da Família de 76,28% em 2023 deixa sem acompanhamento domiciliar regular parcela relevante da população. Em emergências, como o vendaval de setembro de 2026, a ausência de listagem de pessoas dependentes de equipamentos elétricos, acamadas ou com mobilidade reduzida impede priorização no restabelecimento de energia e no resgate. O fator articula-se a E2-F19, E3-F11, E1-F01 e E2-F32, e o plano popular deve propor a construção de um registro territorial de vulnerabilidades, alimentado pelos agentes comunitários e pelos pesquisadores populares, com proteção de dados pessoais conforme a LGPD.</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0D71AC84"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B241C"/>
            <w:tcMar>
              <w:top w:w="70" w:type="dxa"/>
              <w:left w:w="120" w:type="dxa"/>
              <w:bottom w:w="70" w:type="dxa"/>
              <w:right w:w="120" w:type="dxa"/>
            </w:tcMar>
            <w:vAlign w:val="center"/>
          </w:tcPr>
          <w:p w14:paraId="1631329D" w14:textId="77777777" w:rsidR="00D16019" w:rsidRDefault="00000000">
            <w:pPr>
              <w:keepNext/>
              <w:spacing w:before="10" w:after="10"/>
              <w:jc w:val="center"/>
            </w:pPr>
            <w:r>
              <w:rPr>
                <w:b/>
                <w:bCs/>
                <w:color w:val="FFFFFF"/>
              </w:rPr>
              <w:lastRenderedPageBreak/>
              <w:t>E3-F10</w:t>
            </w:r>
          </w:p>
        </w:tc>
        <w:tc>
          <w:tcPr>
            <w:tcW w:w="7054"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786F7119" w14:textId="77777777" w:rsidR="00D16019" w:rsidRDefault="00000000">
            <w:pPr>
              <w:keepNext/>
              <w:spacing w:before="10" w:after="10"/>
            </w:pPr>
            <w:r>
              <w:rPr>
                <w:b/>
                <w:bCs/>
                <w:color w:val="7B241C"/>
                <w:sz w:val="24"/>
                <w:szCs w:val="24"/>
              </w:rPr>
              <w:t>Empoderamento e inclusão social, econômica e política</w:t>
            </w:r>
          </w:p>
        </w:tc>
        <w:tc>
          <w:tcPr>
            <w:tcW w:w="1300"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6652B188" w14:textId="77777777" w:rsidR="00D16019" w:rsidRDefault="00000000">
            <w:pPr>
              <w:keepNext/>
              <w:spacing w:before="10" w:after="10"/>
              <w:jc w:val="center"/>
            </w:pPr>
            <w:r>
              <w:rPr>
                <w:color w:val="7B241C"/>
                <w:sz w:val="20"/>
                <w:szCs w:val="20"/>
              </w:rPr>
              <w:t>ODS 10</w:t>
            </w:r>
          </w:p>
        </w:tc>
      </w:tr>
    </w:tbl>
    <w:p w14:paraId="5CF3EBF7"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Garantia de que todas as pessoas tenham voz, acesso a recursos e participação nas decisões.</w:t>
      </w:r>
    </w:p>
    <w:p w14:paraId="14B03C6C" w14:textId="77777777" w:rsidR="00D16019" w:rsidRDefault="00000000">
      <w:pPr>
        <w:spacing w:before="60" w:after="220" w:line="276" w:lineRule="auto"/>
        <w:jc w:val="both"/>
      </w:pPr>
      <w:r>
        <w:t>O empoderamento e a inclusão social, econômica e política das populações vulnerabilizadas em Campo Grande expressam-se na existência de organizações indígenas urbanas, movimentos de moradia, associações de catadores e coletivos de juventude, e na reestruturação do Conselho Municipal dos Direitos e Defesa dos Povos Indígenas pela Lei nº 7.227/2024. A inclusão política efetiva, contudo, permanece restrita: a representação de pessoas negras, indígenas e de moradores das periferias nos espaços de decisão municipal é baixa, e os conselhos têm capacidade limitada de influenciar o orçamento. A formação de pesquisadores populares pela PICAPS é estratégia direta de empoderamento, ao reconhecer a comunidade como produtora de conhecimento sobre o próprio território. O fator articula-se a E6-F07, E6-F01, E6-F02 e E3-F04, e seus indicadores incluem composição dos conselhos, participação em audiências públicas e lideranças comunitárias formadas.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6A92D127"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B241C"/>
            <w:tcMar>
              <w:top w:w="70" w:type="dxa"/>
              <w:left w:w="120" w:type="dxa"/>
              <w:bottom w:w="70" w:type="dxa"/>
              <w:right w:w="120" w:type="dxa"/>
            </w:tcMar>
            <w:vAlign w:val="center"/>
          </w:tcPr>
          <w:p w14:paraId="480ABEF8" w14:textId="77777777" w:rsidR="00D16019" w:rsidRDefault="00000000">
            <w:pPr>
              <w:keepNext/>
              <w:spacing w:before="10" w:after="10"/>
              <w:jc w:val="center"/>
            </w:pPr>
            <w:r>
              <w:rPr>
                <w:b/>
                <w:bCs/>
                <w:color w:val="FFFFFF"/>
              </w:rPr>
              <w:t>E3-F11</w:t>
            </w:r>
          </w:p>
        </w:tc>
        <w:tc>
          <w:tcPr>
            <w:tcW w:w="7054"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5F4D11B9" w14:textId="77777777" w:rsidR="00D16019" w:rsidRDefault="00000000">
            <w:pPr>
              <w:keepNext/>
              <w:spacing w:before="10" w:after="10"/>
            </w:pPr>
            <w:r>
              <w:rPr>
                <w:b/>
                <w:bCs/>
                <w:color w:val="7B241C"/>
                <w:sz w:val="24"/>
                <w:szCs w:val="24"/>
              </w:rPr>
              <w:t>Acessibilidade e inclusão</w:t>
            </w:r>
          </w:p>
        </w:tc>
        <w:tc>
          <w:tcPr>
            <w:tcW w:w="1300"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2AADDA0C" w14:textId="77777777" w:rsidR="00D16019" w:rsidRDefault="00000000">
            <w:pPr>
              <w:keepNext/>
              <w:spacing w:before="10" w:after="10"/>
              <w:jc w:val="center"/>
            </w:pPr>
            <w:r>
              <w:rPr>
                <w:color w:val="7B241C"/>
                <w:sz w:val="20"/>
                <w:szCs w:val="20"/>
              </w:rPr>
              <w:t>ODS 10</w:t>
            </w:r>
          </w:p>
        </w:tc>
      </w:tr>
    </w:tbl>
    <w:p w14:paraId="1D6EBA5C"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Garantir que pessoas com deficiência possam entrar, circular e participar de tudo, sem barreiras.</w:t>
      </w:r>
    </w:p>
    <w:p w14:paraId="3BF01232" w14:textId="77777777" w:rsidR="00D16019" w:rsidRDefault="00000000">
      <w:pPr>
        <w:spacing w:before="60" w:after="220" w:line="276" w:lineRule="auto"/>
        <w:jc w:val="both"/>
      </w:pPr>
      <w:r>
        <w:t>A acessibilidade urbana em Campo Grande é limitada fora das áreas centrais, com calçadas irregulares ou inexistentes, transporte coletivo com frota acessível incompleta e equipamentos públicos sem adequação plena às normas técnicas. O Censo 2022 estimou 14,4 milhões de pessoas com deficiência no Brasil, e o recorte municipal deve ser extraído para dimensionar a demanda local. As barreiras de acessibilidade afetam o acesso a serviços de saúde (E2-F15), educação (E5-F04) e trabalho (E1-F12) e tornam-se críticas em emergências, quando rotas de fuga e pontos de encontro não consideram cadeirantes, pessoas cegas ou surdas (E2-F26, E2-F39). Os alertas de emergência raramente incluem formatos acessíveis (E2-F37). O fator articula-se a E3-F09 e E5-F24, e o plano popular deve incorporar auditorias comunitárias de acessibilidade nos trajetos entre moradias e serviços essenciais.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28B406B5"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B241C"/>
            <w:tcMar>
              <w:top w:w="70" w:type="dxa"/>
              <w:left w:w="120" w:type="dxa"/>
              <w:bottom w:w="70" w:type="dxa"/>
              <w:right w:w="120" w:type="dxa"/>
            </w:tcMar>
            <w:vAlign w:val="center"/>
          </w:tcPr>
          <w:p w14:paraId="03F6D98A" w14:textId="77777777" w:rsidR="00D16019" w:rsidRDefault="00000000">
            <w:pPr>
              <w:keepNext/>
              <w:spacing w:before="10" w:after="10"/>
              <w:jc w:val="center"/>
            </w:pPr>
            <w:r>
              <w:rPr>
                <w:b/>
                <w:bCs/>
                <w:color w:val="FFFFFF"/>
              </w:rPr>
              <w:t>E3-F12</w:t>
            </w:r>
          </w:p>
        </w:tc>
        <w:tc>
          <w:tcPr>
            <w:tcW w:w="7054"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300440A6" w14:textId="77777777" w:rsidR="00D16019" w:rsidRDefault="00000000">
            <w:pPr>
              <w:keepNext/>
              <w:spacing w:before="10" w:after="10"/>
            </w:pPr>
            <w:r>
              <w:rPr>
                <w:b/>
                <w:bCs/>
                <w:color w:val="7B241C"/>
                <w:sz w:val="24"/>
                <w:szCs w:val="24"/>
              </w:rPr>
              <w:t>Serviços públicos e políticas de proteção social</w:t>
            </w:r>
          </w:p>
        </w:tc>
        <w:tc>
          <w:tcPr>
            <w:tcW w:w="1300"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2E30FF04" w14:textId="77777777" w:rsidR="00D16019" w:rsidRDefault="00000000">
            <w:pPr>
              <w:keepNext/>
              <w:spacing w:before="10" w:after="10"/>
              <w:jc w:val="center"/>
            </w:pPr>
            <w:r>
              <w:rPr>
                <w:color w:val="7B241C"/>
                <w:sz w:val="20"/>
                <w:szCs w:val="20"/>
              </w:rPr>
              <w:t>ODS 10</w:t>
            </w:r>
          </w:p>
        </w:tc>
      </w:tr>
    </w:tbl>
    <w:p w14:paraId="1D7227D2"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É a ajuda que o governo dá, como postos de saúde e assistência social, para diminuir a situação de risco ou fragilidade das pessoas.</w:t>
      </w:r>
    </w:p>
    <w:p w14:paraId="3F6E6381" w14:textId="77777777" w:rsidR="00D16019" w:rsidRDefault="00000000">
      <w:pPr>
        <w:spacing w:before="60" w:after="220" w:line="276" w:lineRule="auto"/>
        <w:jc w:val="both"/>
      </w:pPr>
      <w:r>
        <w:t>A rede de proteção social de Campo Grande compreende os CRAS e CREAS, os serviços de acolhimento, o Centro POP, os benefícios socioassistenciais e o Cadastro Único, articulados à APS e à rede de educação. A demanda cresce mais rápido que a capacidade instalada, como indica a triplicação da população em situação de rua entre 2018 e 2025. A gestão do Bolsa Família e das condicionalidades de saúde e educação conecta a proteção social à APS, e o acompanhamento das condicionalidades de saúde por equipe deve ser verificado no sistema do programa. A distribuição territorial dos CRAS em relação à concentração de famílias no CadÚnico e os dados do Censo SUAS sobre equipes e infraestrutura são indicadores a incorporar. O fator articula-se a E3-F01, E3-F14, E3-F09 e E1-F01, e o plano popular deve priorizar a integração de cadastros e fluxos entre assistência social e saúde nos territórios.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4FA10571"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B241C"/>
            <w:tcMar>
              <w:top w:w="70" w:type="dxa"/>
              <w:left w:w="120" w:type="dxa"/>
              <w:bottom w:w="70" w:type="dxa"/>
              <w:right w:w="120" w:type="dxa"/>
            </w:tcMar>
            <w:vAlign w:val="center"/>
          </w:tcPr>
          <w:p w14:paraId="08EC18E5" w14:textId="77777777" w:rsidR="00D16019" w:rsidRDefault="00000000">
            <w:pPr>
              <w:keepNext/>
              <w:spacing w:before="10" w:after="10"/>
              <w:jc w:val="center"/>
            </w:pPr>
            <w:r>
              <w:rPr>
                <w:b/>
                <w:bCs/>
                <w:color w:val="FFFFFF"/>
              </w:rPr>
              <w:t>E3-F13</w:t>
            </w:r>
          </w:p>
        </w:tc>
        <w:tc>
          <w:tcPr>
            <w:tcW w:w="7054"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6483B22D" w14:textId="77777777" w:rsidR="00D16019" w:rsidRDefault="00000000">
            <w:pPr>
              <w:keepNext/>
              <w:spacing w:before="10" w:after="10"/>
            </w:pPr>
            <w:r>
              <w:rPr>
                <w:b/>
                <w:bCs/>
                <w:color w:val="7B241C"/>
                <w:sz w:val="24"/>
                <w:szCs w:val="24"/>
              </w:rPr>
              <w:t>Migração</w:t>
            </w:r>
          </w:p>
        </w:tc>
        <w:tc>
          <w:tcPr>
            <w:tcW w:w="1300"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2B574FE6" w14:textId="77777777" w:rsidR="00D16019" w:rsidRDefault="00000000">
            <w:pPr>
              <w:keepNext/>
              <w:spacing w:before="10" w:after="10"/>
              <w:jc w:val="center"/>
            </w:pPr>
            <w:r>
              <w:rPr>
                <w:color w:val="7B241C"/>
                <w:sz w:val="20"/>
                <w:szCs w:val="20"/>
              </w:rPr>
              <w:t>ODS 10</w:t>
            </w:r>
          </w:p>
        </w:tc>
      </w:tr>
    </w:tbl>
    <w:p w14:paraId="6F5AA68D"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Deslocamento de pessoas entre regiões ou países por trabalho, refúgio ou oportunidades.</w:t>
      </w:r>
    </w:p>
    <w:p w14:paraId="03B45BA6" w14:textId="77777777" w:rsidR="00D16019" w:rsidRDefault="00000000">
      <w:pPr>
        <w:spacing w:before="60" w:after="220" w:line="276" w:lineRule="auto"/>
        <w:jc w:val="both"/>
      </w:pPr>
      <w:r>
        <w:t xml:space="preserve">Campo Grande é destino de fluxos migratórios internos e internacionais: indígenas Terena e Guarani-Kaiowá oriundos de aldeias do interior, processo estudado no período de 2003 a 2023 (Fernandes e Oliveira, Interações, 2024), migrantes nordestinos atraídos pela construção civil e pelo agronegócio, e imigrantes paraguaios, bolivianos, venezuelanos e haitianos. O Censo do GT-PSR de 2025 identificou 17,1% de </w:t>
      </w:r>
      <w:r>
        <w:lastRenderedPageBreak/>
        <w:t>estrangeiros entre as pessoas em situação de rua, indicador de falhas na acolhida e inserção laboral de imigrantes. A população indígena da capital cresceu mais de 212% entre 2010 e 2022, passando de 5,8 mil para 18,4 mil pessoas, em parte por migração e em parte por mudança na autodeclaração. As barreiras linguísticas e documentais afetam o acesso à saúde (E2-F15) e à proteção social (E3-F12). O fator articula-se a E3-F07, E3-F19 e E1-F15, e o plano popular deve prever mediação intercultural nos serviços.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4906588C"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B241C"/>
            <w:tcMar>
              <w:top w:w="70" w:type="dxa"/>
              <w:left w:w="120" w:type="dxa"/>
              <w:bottom w:w="70" w:type="dxa"/>
              <w:right w:w="120" w:type="dxa"/>
            </w:tcMar>
            <w:vAlign w:val="center"/>
          </w:tcPr>
          <w:p w14:paraId="392C9C7D" w14:textId="77777777" w:rsidR="00D16019" w:rsidRDefault="00000000">
            <w:pPr>
              <w:keepNext/>
              <w:spacing w:before="10" w:after="10"/>
              <w:jc w:val="center"/>
            </w:pPr>
            <w:r>
              <w:rPr>
                <w:b/>
                <w:bCs/>
                <w:color w:val="FFFFFF"/>
              </w:rPr>
              <w:t>E3-F14</w:t>
            </w:r>
          </w:p>
        </w:tc>
        <w:tc>
          <w:tcPr>
            <w:tcW w:w="7054"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7F7C2F30" w14:textId="77777777" w:rsidR="00D16019" w:rsidRDefault="00000000">
            <w:pPr>
              <w:keepNext/>
              <w:spacing w:before="10" w:after="10"/>
            </w:pPr>
            <w:r>
              <w:rPr>
                <w:b/>
                <w:bCs/>
                <w:color w:val="7B241C"/>
                <w:sz w:val="24"/>
                <w:szCs w:val="24"/>
              </w:rPr>
              <w:t>Acolhimento de vulneráveis e população em situação de rua</w:t>
            </w:r>
          </w:p>
        </w:tc>
        <w:tc>
          <w:tcPr>
            <w:tcW w:w="1300"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5A2B4517" w14:textId="77777777" w:rsidR="00D16019" w:rsidRDefault="00000000">
            <w:pPr>
              <w:keepNext/>
              <w:spacing w:before="10" w:after="10"/>
              <w:jc w:val="center"/>
            </w:pPr>
            <w:r>
              <w:rPr>
                <w:color w:val="7B241C"/>
                <w:sz w:val="20"/>
                <w:szCs w:val="20"/>
              </w:rPr>
              <w:t>ODS 10</w:t>
            </w:r>
          </w:p>
        </w:tc>
      </w:tr>
    </w:tbl>
    <w:p w14:paraId="137FE0DB"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Oferecer abrigo, comida e cuidado para quem vive na rua ou está em situação de fragilidade.</w:t>
      </w:r>
    </w:p>
    <w:p w14:paraId="2BE1FDE9" w14:textId="77777777" w:rsidR="00D16019" w:rsidRDefault="00000000">
      <w:pPr>
        <w:spacing w:before="60" w:after="220" w:line="276" w:lineRule="auto"/>
        <w:jc w:val="both"/>
      </w:pPr>
      <w:r>
        <w:t>O Censo da População em Situação de Rua conduzido pelo Grupo de Trabalho Intersetorial em setembro de 2025 e divulgado em agosto de 2026 contou 1.476 pessoas, das quais 80,6% homens, 15,9% mulheres e 52 crianças, com 40% concentradas no centro, 25,6% na região do Anhanduizinho e 60 pessoas em comunidade terapêutica na zona rural; 17,1% eram estrangeiras, e mais de 77% dos entrevistados se declararam pardos ou pretos. Levantamento municipal anterior registrou crescimento de 503 pessoas em 2018 para 1.611 em outubro de 2025. As necessidades declaradas mais frequentes incluíram saúde e tratamento para uso de substâncias (E2-F10). A rede de acolhimento, com Centro POP, casas de passagem, Consultório na Rua e unidades de acolhimento da RAPS, é insuficiente para a demanda. O fator articula-se a E3-F08, E2-F08, E2-F18 e E5-F22, e a resposta estrutural exige moradia primeiro, renda e cuidado integrado.</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6D1E388D"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B241C"/>
            <w:tcMar>
              <w:top w:w="70" w:type="dxa"/>
              <w:left w:w="120" w:type="dxa"/>
              <w:bottom w:w="70" w:type="dxa"/>
              <w:right w:w="120" w:type="dxa"/>
            </w:tcMar>
            <w:vAlign w:val="center"/>
          </w:tcPr>
          <w:p w14:paraId="17D6B102" w14:textId="77777777" w:rsidR="00D16019" w:rsidRDefault="00000000">
            <w:pPr>
              <w:keepNext/>
              <w:spacing w:before="10" w:after="10"/>
              <w:jc w:val="center"/>
            </w:pPr>
            <w:r>
              <w:rPr>
                <w:b/>
                <w:bCs/>
                <w:color w:val="FFFFFF"/>
              </w:rPr>
              <w:t>E3-F16</w:t>
            </w:r>
          </w:p>
        </w:tc>
        <w:tc>
          <w:tcPr>
            <w:tcW w:w="7054"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225159A4" w14:textId="77777777" w:rsidR="00D16019" w:rsidRDefault="00000000">
            <w:pPr>
              <w:keepNext/>
              <w:spacing w:before="10" w:after="10"/>
            </w:pPr>
            <w:r>
              <w:rPr>
                <w:b/>
                <w:bCs/>
                <w:color w:val="7B241C"/>
                <w:sz w:val="24"/>
                <w:szCs w:val="24"/>
              </w:rPr>
              <w:t>Discriminação racial</w:t>
            </w:r>
          </w:p>
        </w:tc>
        <w:tc>
          <w:tcPr>
            <w:tcW w:w="1300"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25E8C019" w14:textId="77777777" w:rsidR="00D16019" w:rsidRDefault="00000000">
            <w:pPr>
              <w:keepNext/>
              <w:spacing w:before="10" w:after="10"/>
              <w:jc w:val="center"/>
            </w:pPr>
            <w:r>
              <w:rPr>
                <w:color w:val="7B241C"/>
                <w:sz w:val="20"/>
                <w:szCs w:val="20"/>
              </w:rPr>
              <w:t>ODS 18</w:t>
            </w:r>
          </w:p>
        </w:tc>
      </w:tr>
    </w:tbl>
    <w:p w14:paraId="3B6C5F47"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Tratar alguém mal ou de forma injusta por causa da cor da pele ou da sua origem.</w:t>
      </w:r>
    </w:p>
    <w:p w14:paraId="478FE98E" w14:textId="77777777" w:rsidR="00D16019" w:rsidRDefault="00000000">
      <w:pPr>
        <w:spacing w:before="60" w:after="220" w:line="276" w:lineRule="auto"/>
        <w:jc w:val="both"/>
      </w:pPr>
      <w:r>
        <w:t xml:space="preserve">A discriminação racial em Campo Grande manifesta-se na distribuição desigual de renda, emprego, moradia e violência entre brancos, negros e indígenas. A </w:t>
      </w:r>
      <w:proofErr w:type="spellStart"/>
      <w:r>
        <w:t>sobremortalidade</w:t>
      </w:r>
      <w:proofErr w:type="spellEnd"/>
      <w:r>
        <w:t xml:space="preserve"> de jovens negros e indígenas por homicídio (Agência Brasil, 2024), a predominância de pessoas pardas e pretas entre a população em situação de rua (mais de 77% dos entrevistados no censo de 2025) e o perfil racial da mortalidade materna estadual, com 66% de mulheres pardas (SES-MS, 2023), são indicadores convergentes. A discriminação nos serviços de saúde, embora pouco registrada, afeta a adesão e a qualidade do cuidado, e a Política Nacional de Saúde Integral da População Negra estabelece diretrizes cuja implementação municipal deve ser verificada. O preenchimento do quesito raça e cor nos sistemas de informação é condição para análise. O fator articula-se a E3-F17, E3-F18 e E2-F28 e exige desagregação racial de todos os indicadores do diagnóstico.</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18E5C32E"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B241C"/>
            <w:tcMar>
              <w:top w:w="70" w:type="dxa"/>
              <w:left w:w="120" w:type="dxa"/>
              <w:bottom w:w="70" w:type="dxa"/>
              <w:right w:w="120" w:type="dxa"/>
            </w:tcMar>
            <w:vAlign w:val="center"/>
          </w:tcPr>
          <w:p w14:paraId="76FFC05A" w14:textId="77777777" w:rsidR="00D16019" w:rsidRDefault="00000000">
            <w:pPr>
              <w:keepNext/>
              <w:spacing w:before="10" w:after="10"/>
              <w:jc w:val="center"/>
            </w:pPr>
            <w:r>
              <w:rPr>
                <w:b/>
                <w:bCs/>
                <w:color w:val="FFFFFF"/>
              </w:rPr>
              <w:t>E3-F17</w:t>
            </w:r>
          </w:p>
        </w:tc>
        <w:tc>
          <w:tcPr>
            <w:tcW w:w="7054"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4C833FBF" w14:textId="77777777" w:rsidR="00D16019" w:rsidRDefault="00000000">
            <w:pPr>
              <w:keepNext/>
              <w:spacing w:before="10" w:after="10"/>
            </w:pPr>
            <w:r>
              <w:rPr>
                <w:b/>
                <w:bCs/>
                <w:color w:val="7B241C"/>
                <w:sz w:val="24"/>
                <w:szCs w:val="24"/>
              </w:rPr>
              <w:t>Racismo ambiental</w:t>
            </w:r>
          </w:p>
        </w:tc>
        <w:tc>
          <w:tcPr>
            <w:tcW w:w="1300"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62315063" w14:textId="77777777" w:rsidR="00D16019" w:rsidRDefault="00000000">
            <w:pPr>
              <w:keepNext/>
              <w:spacing w:before="10" w:after="10"/>
              <w:jc w:val="center"/>
            </w:pPr>
            <w:r>
              <w:rPr>
                <w:color w:val="7B241C"/>
                <w:sz w:val="20"/>
                <w:szCs w:val="20"/>
              </w:rPr>
              <w:t>ODS 18</w:t>
            </w:r>
          </w:p>
        </w:tc>
      </w:tr>
    </w:tbl>
    <w:p w14:paraId="417D6DB0"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Quando os problemas do meio ambiente, como lixo e enchentes, atingem mais os bairros onde vivem pessoas negras, indígenas e pobres.</w:t>
      </w:r>
    </w:p>
    <w:p w14:paraId="03E5D8B3" w14:textId="45FFECCA" w:rsidR="00D16019" w:rsidRDefault="00000000">
      <w:pPr>
        <w:spacing w:before="60" w:after="220" w:line="276" w:lineRule="auto"/>
        <w:jc w:val="both"/>
      </w:pPr>
      <w:r>
        <w:t>O racismo ambiental expressa-se em Campo Grande na concentração das exposições ambientais adversas em territórios de maior proporção de população negra, indígena e de baixa renda: fundos de vale sujeitos a alagamento (E2-F34), margens de córregos receptores de esgoto não tratado (E2-F21), áreas periféricas com menor arborização e drenagem, e aldeias urbanas indígenas instaladas em áreas de infraestrutura precária. O fator, incorporado à matriz com o ODS 18 de Igualdade Étnico-Racial, permite nomear como injustiça estrutural o que frequentemente é tratado como acaso geográfico. Articula-se a E3-F16, E3-F19, E2-F01 e E5-F24, e orienta a priorização de investimentos em saneamento e drenagem pelos territórios mais expostos.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36C5EA50"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B241C"/>
            <w:tcMar>
              <w:top w:w="70" w:type="dxa"/>
              <w:left w:w="120" w:type="dxa"/>
              <w:bottom w:w="70" w:type="dxa"/>
              <w:right w:w="120" w:type="dxa"/>
            </w:tcMar>
            <w:vAlign w:val="center"/>
          </w:tcPr>
          <w:p w14:paraId="23B703C0" w14:textId="77777777" w:rsidR="00D16019" w:rsidRDefault="00000000">
            <w:pPr>
              <w:keepNext/>
              <w:spacing w:before="10" w:after="10"/>
              <w:jc w:val="center"/>
            </w:pPr>
            <w:r>
              <w:rPr>
                <w:b/>
                <w:bCs/>
                <w:color w:val="FFFFFF"/>
              </w:rPr>
              <w:lastRenderedPageBreak/>
              <w:t>E3-F18</w:t>
            </w:r>
          </w:p>
        </w:tc>
        <w:tc>
          <w:tcPr>
            <w:tcW w:w="7054"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3F17A37C" w14:textId="77777777" w:rsidR="00D16019" w:rsidRDefault="00000000">
            <w:pPr>
              <w:keepNext/>
              <w:spacing w:before="10" w:after="10"/>
            </w:pPr>
            <w:r>
              <w:rPr>
                <w:b/>
                <w:bCs/>
                <w:color w:val="7B241C"/>
                <w:sz w:val="24"/>
                <w:szCs w:val="24"/>
              </w:rPr>
              <w:t>Igualdade racial</w:t>
            </w:r>
          </w:p>
        </w:tc>
        <w:tc>
          <w:tcPr>
            <w:tcW w:w="1300"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08E79182" w14:textId="77777777" w:rsidR="00D16019" w:rsidRDefault="00000000">
            <w:pPr>
              <w:keepNext/>
              <w:spacing w:before="10" w:after="10"/>
              <w:jc w:val="center"/>
            </w:pPr>
            <w:r>
              <w:rPr>
                <w:color w:val="7B241C"/>
                <w:sz w:val="20"/>
                <w:szCs w:val="20"/>
              </w:rPr>
              <w:t>ODS 18</w:t>
            </w:r>
          </w:p>
        </w:tc>
      </w:tr>
    </w:tbl>
    <w:p w14:paraId="61BAE0D8"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Garantir que negros, brancos e indígenas tenham as mesmas chances e sejam respeitados da mesma forma.</w:t>
      </w:r>
    </w:p>
    <w:p w14:paraId="595099E1" w14:textId="77777777" w:rsidR="00D16019" w:rsidRDefault="00000000">
      <w:pPr>
        <w:spacing w:before="60" w:after="220" w:line="276" w:lineRule="auto"/>
        <w:jc w:val="both"/>
      </w:pPr>
      <w:r>
        <w:t>A promoção da igualdade racial em Campo Grande conta com marcos institucionais como o Estatuto da Igualdade Racial, a Política Nacional de Saúde Integral da População Negra e a política de saúde indígena, além de conselhos municipais de direitos, mas a tradução desses marcos em metas mensuráveis no planejamento municipal é limitada. A educação para as relações étnico-raciais, prevista nas Leis nº 10.639/2003 e nº 11.645/2008, deve ser verificada na Rede Municipal de Ensino. As comunidades quilombolas urbanas de Campo Grande, como Tia Eva, Chácara Buriti e São João Batista, e as aldeias urbanas indígenas são sujeitos centrais dessas políticas. O fator articula-se a E3-F16, E3-F19 e E5-F29 e tem como indicadores a redução das desigualdades raciais em mortalidade, renda e escolaridade, a qualidade do quesito raça e cor nos registros e a presença de pessoas negras e indígenas em cargos de decisão.</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1CFA1AF2"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B241C"/>
            <w:tcMar>
              <w:top w:w="70" w:type="dxa"/>
              <w:left w:w="120" w:type="dxa"/>
              <w:bottom w:w="70" w:type="dxa"/>
              <w:right w:w="120" w:type="dxa"/>
            </w:tcMar>
            <w:vAlign w:val="center"/>
          </w:tcPr>
          <w:p w14:paraId="042C3DA9" w14:textId="77777777" w:rsidR="00D16019" w:rsidRDefault="00000000">
            <w:pPr>
              <w:keepNext/>
              <w:spacing w:before="10" w:after="10"/>
              <w:jc w:val="center"/>
            </w:pPr>
            <w:r>
              <w:rPr>
                <w:b/>
                <w:bCs/>
                <w:color w:val="FFFFFF"/>
              </w:rPr>
              <w:t>E3-F19</w:t>
            </w:r>
          </w:p>
        </w:tc>
        <w:tc>
          <w:tcPr>
            <w:tcW w:w="7054"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3046259B" w14:textId="77777777" w:rsidR="00D16019" w:rsidRDefault="00000000">
            <w:pPr>
              <w:keepNext/>
              <w:spacing w:before="10" w:after="10"/>
            </w:pPr>
            <w:r>
              <w:rPr>
                <w:b/>
                <w:bCs/>
                <w:color w:val="7B241C"/>
                <w:sz w:val="24"/>
                <w:szCs w:val="24"/>
              </w:rPr>
              <w:t>Igualdade de direitos à propriedade e controle da terra (comunidades tradicionais e quilombolas)</w:t>
            </w:r>
          </w:p>
        </w:tc>
        <w:tc>
          <w:tcPr>
            <w:tcW w:w="1300" w:type="dxa"/>
            <w:tcBorders>
              <w:top w:val="single" w:sz="1" w:space="0" w:color="C8D8E8"/>
              <w:left w:val="single" w:sz="1" w:space="0" w:color="C8D8E8"/>
              <w:bottom w:val="single" w:sz="1" w:space="0" w:color="C8D8E8"/>
              <w:right w:val="single" w:sz="1" w:space="0" w:color="C8D8E8"/>
            </w:tcBorders>
            <w:shd w:val="clear" w:color="auto" w:fill="FADBD8"/>
            <w:tcMar>
              <w:top w:w="70" w:type="dxa"/>
              <w:left w:w="120" w:type="dxa"/>
              <w:bottom w:w="70" w:type="dxa"/>
              <w:right w:w="120" w:type="dxa"/>
            </w:tcMar>
            <w:vAlign w:val="center"/>
          </w:tcPr>
          <w:p w14:paraId="0E1D8168" w14:textId="77777777" w:rsidR="00D16019" w:rsidRDefault="00000000">
            <w:pPr>
              <w:keepNext/>
              <w:spacing w:before="10" w:after="10"/>
              <w:jc w:val="center"/>
            </w:pPr>
            <w:r>
              <w:rPr>
                <w:color w:val="7B241C"/>
                <w:sz w:val="20"/>
                <w:szCs w:val="20"/>
              </w:rPr>
              <w:t>ODS 18</w:t>
            </w:r>
          </w:p>
        </w:tc>
      </w:tr>
    </w:tbl>
    <w:p w14:paraId="41E8772D"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Garantir que quilombolas, indígenas e outras comunidades tradicionais tenham o direito de possuir e cuidar das suas terras.</w:t>
      </w:r>
    </w:p>
    <w:p w14:paraId="0E30DB35" w14:textId="77777777" w:rsidR="00D16019" w:rsidRDefault="00000000">
      <w:pPr>
        <w:spacing w:before="60" w:after="220" w:line="276" w:lineRule="auto"/>
        <w:jc w:val="both"/>
      </w:pPr>
      <w:r>
        <w:t xml:space="preserve">Campo Grande abriga 18.439 indígenas segundo o Censo 2022, o maior contingente entre os municípios do estado, majoritariamente Terena e residentes em aldeias urbanas como Marçal de Souza e Água Bonita e em bairros periféricos, além de comunidades </w:t>
      </w:r>
      <w:proofErr w:type="gramStart"/>
      <w:r>
        <w:t>quilombolas urbanas</w:t>
      </w:r>
      <w:proofErr w:type="gramEnd"/>
      <w:r>
        <w:t>: a comunidade Tia Eva, a maior do estado entre as recenseadas, com 428 moradores dos quais 326 se autodeclararam quilombolas, Chácara Buriti e São João Batista. A segurança da posse dessas comunidades é frágil, com processos de regularização incompletos e pressão imobiliária sobre áreas urbanizadas. A reestruturação do Conselho Municipal dos Direitos e Defesa dos Povos Indígenas (Lei nº 7.227/2024) cria instância de interlocução, mas a regularização depende de INCRA, FUNAI e do Ministério dos Povos Indígenas. O fator articula-se a E3-F17, E5-F22, E4-F18 e E2-F20, e o plano popular deve tratar a segurança territorial dessas comunidades como determinante de saúde.</w:t>
      </w:r>
    </w:p>
    <w:p w14:paraId="03563C47" w14:textId="77777777" w:rsidR="00D16019" w:rsidRDefault="00000000">
      <w:pPr>
        <w:pStyle w:val="Ttulo1"/>
        <w:pageBreakBefore/>
        <w:spacing w:after="120"/>
      </w:pPr>
      <w:r>
        <w:rPr>
          <w:color w:val="7D5A00"/>
        </w:rPr>
        <w:lastRenderedPageBreak/>
        <w:t>Eixo 4. A Terra de Quem?</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4"/>
      </w:tblGrid>
      <w:tr w:rsidR="00D16019" w14:paraId="7394613B" w14:textId="77777777">
        <w:tc>
          <w:tcPr>
            <w:tcW w:w="9354" w:type="dxa"/>
            <w:tcBorders>
              <w:top w:val="single" w:sz="1" w:space="0" w:color="C8D8E8"/>
              <w:left w:val="single" w:sz="1" w:space="0" w:color="C8D8E8"/>
              <w:bottom w:val="single" w:sz="1" w:space="0" w:color="C8D8E8"/>
              <w:right w:val="single" w:sz="1" w:space="0" w:color="C8D8E8"/>
            </w:tcBorders>
            <w:shd w:val="clear" w:color="auto" w:fill="7D5A00"/>
            <w:tcMar>
              <w:top w:w="70" w:type="dxa"/>
              <w:left w:w="120" w:type="dxa"/>
              <w:bottom w:w="70" w:type="dxa"/>
              <w:right w:w="120" w:type="dxa"/>
            </w:tcMar>
            <w:vAlign w:val="center"/>
          </w:tcPr>
          <w:p w14:paraId="1E530FDD" w14:textId="77777777" w:rsidR="00D16019" w:rsidRDefault="00000000">
            <w:pPr>
              <w:spacing w:before="10" w:after="10"/>
            </w:pPr>
            <w:r>
              <w:rPr>
                <w:b/>
                <w:bCs/>
                <w:color w:val="FFFFFF"/>
                <w:sz w:val="26"/>
                <w:szCs w:val="26"/>
              </w:rPr>
              <w:t>EIXO 4  |  A Terra de Quem?</w:t>
            </w:r>
          </w:p>
        </w:tc>
      </w:tr>
      <w:tr w:rsidR="00D16019" w14:paraId="5904AF94" w14:textId="77777777">
        <w:tc>
          <w:tcPr>
            <w:tcW w:w="9354"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1E630D5F" w14:textId="77777777" w:rsidR="00D16019" w:rsidRDefault="00000000">
            <w:pPr>
              <w:spacing w:before="10" w:after="10"/>
            </w:pPr>
            <w:r>
              <w:rPr>
                <w:i/>
                <w:iCs/>
                <w:color w:val="7D5A00"/>
              </w:rPr>
              <w:t>Contradição central: A natureza é tratada como mercadoria, expropriando comunidades tradicionais e destruindo ecossistemas.</w:t>
            </w:r>
          </w:p>
        </w:tc>
      </w:tr>
      <w:tr w:rsidR="00D16019" w14:paraId="19376AE6" w14:textId="77777777">
        <w:tc>
          <w:tcPr>
            <w:tcW w:w="9354"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23D0B834" w14:textId="77777777" w:rsidR="00D16019" w:rsidRDefault="00000000">
            <w:pPr>
              <w:spacing w:before="10" w:after="10"/>
            </w:pPr>
            <w:r>
              <w:rPr>
                <w:color w:val="4A5568"/>
                <w:sz w:val="21"/>
                <w:szCs w:val="21"/>
              </w:rPr>
              <w:t>Foco pedagógico: Soberania territorial, meio ambiente, biodiversidade e clima</w:t>
            </w:r>
          </w:p>
        </w:tc>
      </w:tr>
      <w:tr w:rsidR="00D16019" w14:paraId="4A8A18B8" w14:textId="77777777">
        <w:tc>
          <w:tcPr>
            <w:tcW w:w="9354"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7E0CC262" w14:textId="77777777" w:rsidR="00D16019" w:rsidRDefault="00000000">
            <w:pPr>
              <w:spacing w:before="10" w:after="10"/>
            </w:pPr>
            <w:r>
              <w:rPr>
                <w:color w:val="4A5568"/>
                <w:sz w:val="21"/>
                <w:szCs w:val="21"/>
              </w:rPr>
              <w:t>ODS mobilizados: 1, 2, 3, 6, 9, 11, 12, 13, 14, 15, 17  |  24 fatores da Matriz v1.0.2</w:t>
            </w:r>
          </w:p>
        </w:tc>
      </w:tr>
    </w:tbl>
    <w:p w14:paraId="2EE33312" w14:textId="77777777" w:rsidR="00D16019" w:rsidRDefault="00000000">
      <w:pPr>
        <w:spacing w:before="160" w:after="200" w:line="276" w:lineRule="auto"/>
        <w:jc w:val="both"/>
      </w:pPr>
      <w:r>
        <w:t>O eixo trata da relação entre o modelo de ocupação do território e a degradação dos ecossistemas do Cerrado e dos córregos urbanos de Campo Grande, em contexto regional de conversão acelerada de vegetação nativa e de incêndios de grande escala, como os que consumiram cerca de 1,5 milhão de hectares do Pantanal entre janeiro e setembro de 2024 (MapBiomas, escala do bioma). Os 24 fatores abrangem financiamento ambiental, restauração de ecossistemas hídricos, saberes tradicionais, pesquisa, tecnologias sociais e planejamento climático. O município dispõe de capacidade científica expressiva, com universidades, Embrapa e Fiocruz, e de instrumentos urbanísticos no Plano Diretor de Desenvolvimento Urbano Ambiental, mas carece de plano de adaptação climática, de metas de restauração por microbacia e de programa de reconstrução resiliente após o vendaval de 2026. Dois fatores marinhos são tratados pela interface da bacia hidrográfica, conforme as notas metodológicas.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1989316B"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D5A00"/>
            <w:tcMar>
              <w:top w:w="70" w:type="dxa"/>
              <w:left w:w="120" w:type="dxa"/>
              <w:bottom w:w="70" w:type="dxa"/>
              <w:right w:w="120" w:type="dxa"/>
            </w:tcMar>
            <w:vAlign w:val="center"/>
          </w:tcPr>
          <w:p w14:paraId="5D2B066A" w14:textId="77777777" w:rsidR="00D16019" w:rsidRDefault="00000000">
            <w:pPr>
              <w:keepNext/>
              <w:spacing w:before="10" w:after="10"/>
              <w:jc w:val="center"/>
            </w:pPr>
            <w:r>
              <w:rPr>
                <w:b/>
                <w:bCs/>
                <w:color w:val="FFFFFF"/>
              </w:rPr>
              <w:t>E4-F01</w:t>
            </w:r>
          </w:p>
        </w:tc>
        <w:tc>
          <w:tcPr>
            <w:tcW w:w="7054"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56A1F848" w14:textId="77777777" w:rsidR="00D16019" w:rsidRDefault="00000000">
            <w:pPr>
              <w:keepNext/>
              <w:spacing w:before="10" w:after="10"/>
            </w:pPr>
            <w:r>
              <w:rPr>
                <w:b/>
                <w:bCs/>
                <w:color w:val="7D5A00"/>
                <w:sz w:val="24"/>
                <w:szCs w:val="24"/>
              </w:rPr>
              <w:t>Acesso a recursos financeiros para gestão, conservação sustentável da biodiversidade (investimentos públicos e privados)</w:t>
            </w:r>
          </w:p>
        </w:tc>
        <w:tc>
          <w:tcPr>
            <w:tcW w:w="1300"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1EBED1F4" w14:textId="77777777" w:rsidR="00D16019" w:rsidRDefault="00000000">
            <w:pPr>
              <w:keepNext/>
              <w:spacing w:before="10" w:after="10"/>
              <w:jc w:val="center"/>
            </w:pPr>
            <w:r>
              <w:rPr>
                <w:color w:val="7D5A00"/>
                <w:sz w:val="20"/>
                <w:szCs w:val="20"/>
              </w:rPr>
              <w:t>ODS 1</w:t>
            </w:r>
          </w:p>
        </w:tc>
      </w:tr>
    </w:tbl>
    <w:p w14:paraId="3F399D0E"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Dinheiro de governos e empresas para ajudar a cuidar da natureza e da variedade de vida que existe nela e protegê-las.</w:t>
      </w:r>
    </w:p>
    <w:p w14:paraId="204AEAFE" w14:textId="77777777" w:rsidR="00D16019" w:rsidRDefault="00000000">
      <w:pPr>
        <w:spacing w:before="60" w:after="220" w:line="276" w:lineRule="auto"/>
        <w:jc w:val="both"/>
      </w:pPr>
      <w:r>
        <w:t xml:space="preserve">O financiamento da conservação da biodiversidade em Campo Grande provém do orçamento da secretaria municipal de meio ambiente, do Fundo Municipal de Meio Ambiente, de compensações ambientais de empreendimentos licenciados e de programas estaduais e federais. O decreto de </w:t>
      </w:r>
      <w:proofErr w:type="gramStart"/>
      <w:r>
        <w:t>situação de emergência</w:t>
      </w:r>
      <w:proofErr w:type="gramEnd"/>
      <w:r>
        <w:t xml:space="preserve"> de setembro de 2026 autorizou o uso do Fundo Municipal de Meio Ambiente para recuperação de danos ambientais causados pelo vendaval, sinalizando o papel do fundo também na resposta a desastres. A execução orçamentária da função gestão ambiental, consultável no SIOPS e no portal de transparência municipal, deve ser incorporada ao diagnóstico, assim como o saldo e a aplicação do fundo, dados não sistematizados nesta versão. O fator articula-se a E4-F22, E4-F25 e E6-F09, e o plano popular deve propor critérios públicos de aplicação dos recursos ambientais, priorizando a recuperação de matas ciliares em córregos urbanos e a arborização das regiões periféricas.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7B0D14A9"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D5A00"/>
            <w:tcMar>
              <w:top w:w="70" w:type="dxa"/>
              <w:left w:w="120" w:type="dxa"/>
              <w:bottom w:w="70" w:type="dxa"/>
              <w:right w:w="120" w:type="dxa"/>
            </w:tcMar>
            <w:vAlign w:val="center"/>
          </w:tcPr>
          <w:p w14:paraId="7525E1FF" w14:textId="77777777" w:rsidR="00D16019" w:rsidRDefault="00000000">
            <w:pPr>
              <w:keepNext/>
              <w:spacing w:before="10" w:after="10"/>
              <w:jc w:val="center"/>
            </w:pPr>
            <w:r>
              <w:rPr>
                <w:b/>
                <w:bCs/>
                <w:color w:val="FFFFFF"/>
              </w:rPr>
              <w:t>E4-F02</w:t>
            </w:r>
          </w:p>
        </w:tc>
        <w:tc>
          <w:tcPr>
            <w:tcW w:w="7054"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495BD7AA" w14:textId="77777777" w:rsidR="00D16019" w:rsidRDefault="00000000">
            <w:pPr>
              <w:keepNext/>
              <w:spacing w:before="10" w:after="10"/>
            </w:pPr>
            <w:r>
              <w:rPr>
                <w:b/>
                <w:bCs/>
                <w:color w:val="7D5A00"/>
                <w:sz w:val="24"/>
                <w:szCs w:val="24"/>
              </w:rPr>
              <w:t>Gestão de bancos de sementes</w:t>
            </w:r>
          </w:p>
        </w:tc>
        <w:tc>
          <w:tcPr>
            <w:tcW w:w="1300"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636D817A" w14:textId="77777777" w:rsidR="00D16019" w:rsidRDefault="00000000">
            <w:pPr>
              <w:keepNext/>
              <w:spacing w:before="10" w:after="10"/>
              <w:jc w:val="center"/>
            </w:pPr>
            <w:r>
              <w:rPr>
                <w:color w:val="7D5A00"/>
                <w:sz w:val="20"/>
                <w:szCs w:val="20"/>
              </w:rPr>
              <w:t>ODS 2</w:t>
            </w:r>
          </w:p>
        </w:tc>
      </w:tr>
    </w:tbl>
    <w:p w14:paraId="3FDE9473"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É a prática de guardar e cuidar de sementes e mudas para manter a diversidade de alimentos e proteger espécies importantes.</w:t>
      </w:r>
    </w:p>
    <w:p w14:paraId="58F1DFC2" w14:textId="062BCF89" w:rsidR="00D16019" w:rsidRDefault="00000000">
      <w:pPr>
        <w:spacing w:before="60" w:after="220" w:line="276" w:lineRule="auto"/>
        <w:jc w:val="both"/>
      </w:pPr>
      <w:r>
        <w:t>A gestão de bancos de sementes em Campo Grande tem expressão limitada a iniciativas de agricultores familiares, assentamentos e comunidades indígenas que conservam sementes crioulas e variedades tradicionais, sem registro municipal ou apoio institucional sistemático. A Embrapa Gado de Corte, sediada na capital, e as universidades locais detêm acervos e competência técnica em recursos genéticos que poderiam apoiar iniciativas comunitárias. A manutenção de sementes adaptadas ao Cerrado tem valor estratégico diante da intensificação de estiagens e calor (E2-F30), pois amplia a resiliência da produção familiar. Nas aldeias urbanas Terena, a guarda de sementes associa-se a práticas alimentares e culturais (E4-F18). O fator articula-se a E1-F03, E1-F04 e E1-F26, e experiências como a de bancos comunitários de sementes acompanhados pela PICAPS em outros territórios podem orientar a ação local.</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7E9A8718"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D5A00"/>
            <w:tcMar>
              <w:top w:w="70" w:type="dxa"/>
              <w:left w:w="120" w:type="dxa"/>
              <w:bottom w:w="70" w:type="dxa"/>
              <w:right w:w="120" w:type="dxa"/>
            </w:tcMar>
            <w:vAlign w:val="center"/>
          </w:tcPr>
          <w:p w14:paraId="52220977" w14:textId="77777777" w:rsidR="00D16019" w:rsidRDefault="00000000">
            <w:pPr>
              <w:keepNext/>
              <w:spacing w:before="10" w:after="10"/>
              <w:jc w:val="center"/>
            </w:pPr>
            <w:r>
              <w:rPr>
                <w:b/>
                <w:bCs/>
                <w:color w:val="FFFFFF"/>
              </w:rPr>
              <w:lastRenderedPageBreak/>
              <w:t>E4-F03</w:t>
            </w:r>
          </w:p>
        </w:tc>
        <w:tc>
          <w:tcPr>
            <w:tcW w:w="7054"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7ED1FAF6" w14:textId="77777777" w:rsidR="00D16019" w:rsidRDefault="00000000">
            <w:pPr>
              <w:keepNext/>
              <w:spacing w:before="10" w:after="10"/>
            </w:pPr>
            <w:r>
              <w:rPr>
                <w:b/>
                <w:bCs/>
                <w:color w:val="7D5A00"/>
                <w:sz w:val="24"/>
                <w:szCs w:val="24"/>
              </w:rPr>
              <w:t>Plantas medicinais (uso e plantio)</w:t>
            </w:r>
          </w:p>
        </w:tc>
        <w:tc>
          <w:tcPr>
            <w:tcW w:w="1300"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58959C50" w14:textId="77777777" w:rsidR="00D16019" w:rsidRDefault="00000000">
            <w:pPr>
              <w:keepNext/>
              <w:spacing w:before="10" w:after="10"/>
              <w:jc w:val="center"/>
            </w:pPr>
            <w:r>
              <w:rPr>
                <w:color w:val="7D5A00"/>
                <w:sz w:val="20"/>
                <w:szCs w:val="20"/>
              </w:rPr>
              <w:t>ODS 3</w:t>
            </w:r>
          </w:p>
        </w:tc>
      </w:tr>
    </w:tbl>
    <w:p w14:paraId="093DA25A"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Uso de ervas e plantas para tratar doenças ou aliviar sintomas. Valoriza saberes tradicionais e amplia formas de cuidado à saúde.</w:t>
      </w:r>
    </w:p>
    <w:p w14:paraId="1C8A0946" w14:textId="77777777" w:rsidR="00D16019" w:rsidRDefault="00000000">
      <w:pPr>
        <w:spacing w:before="60" w:after="220" w:line="276" w:lineRule="auto"/>
        <w:jc w:val="both"/>
      </w:pPr>
      <w:r>
        <w:t>O uso e o plantio de plantas medicinais em Campo Grande estão presentes em quintais domésticos, nas aldeias urbanas indígenas e em comunidades quilombolas, e mobilizam espécies do Cerrado e de origem exótica transmitidas por saberes tradicionais. A Política Nacional de Práticas Integrativas e Complementares e a Política Nacional de Plantas Medicinais e Fitoterápicos orientam a incorporação da fitoterapia ao SUS, e a oferta municipal de fitoterápicos e de práticas integrativas nas unidades de saúde deve ser verificada para o diagnóstico. O conhecimento Terena sobre plantas medicinais é ativo cultural e sanitário pouco reconhecido pelos serviços. A integração entre saberes tradicionais e protocolos da APS exige diálogo intercultural, segurança no uso e proteção contra a apropriação indevida de conhecimento. O fator articula-se a E4-F18, E1-F04 e E5-F29, e hortos comunitários de plantas medicinais junto às unidades de saúde constituem estratégia viável.</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23171824"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D5A00"/>
            <w:tcMar>
              <w:top w:w="70" w:type="dxa"/>
              <w:left w:w="120" w:type="dxa"/>
              <w:bottom w:w="70" w:type="dxa"/>
              <w:right w:w="120" w:type="dxa"/>
            </w:tcMar>
            <w:vAlign w:val="center"/>
          </w:tcPr>
          <w:p w14:paraId="76928D35" w14:textId="77777777" w:rsidR="00D16019" w:rsidRDefault="00000000">
            <w:pPr>
              <w:keepNext/>
              <w:spacing w:before="10" w:after="10"/>
              <w:jc w:val="center"/>
            </w:pPr>
            <w:r>
              <w:rPr>
                <w:b/>
                <w:bCs/>
                <w:color w:val="FFFFFF"/>
              </w:rPr>
              <w:t>E4-F04</w:t>
            </w:r>
          </w:p>
        </w:tc>
        <w:tc>
          <w:tcPr>
            <w:tcW w:w="7054"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6F400EBB" w14:textId="77777777" w:rsidR="00D16019" w:rsidRDefault="00000000">
            <w:pPr>
              <w:keepNext/>
              <w:spacing w:before="10" w:after="10"/>
            </w:pPr>
            <w:r>
              <w:rPr>
                <w:b/>
                <w:bCs/>
                <w:color w:val="7D5A00"/>
                <w:sz w:val="24"/>
                <w:szCs w:val="24"/>
              </w:rPr>
              <w:t>Proteção e restauração de ecossistemas hídricos</w:t>
            </w:r>
          </w:p>
        </w:tc>
        <w:tc>
          <w:tcPr>
            <w:tcW w:w="1300"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07820C1B" w14:textId="77777777" w:rsidR="00D16019" w:rsidRDefault="00000000">
            <w:pPr>
              <w:keepNext/>
              <w:spacing w:before="10" w:after="10"/>
              <w:jc w:val="center"/>
            </w:pPr>
            <w:r>
              <w:rPr>
                <w:color w:val="7D5A00"/>
                <w:sz w:val="20"/>
                <w:szCs w:val="20"/>
              </w:rPr>
              <w:t>ODS 6</w:t>
            </w:r>
          </w:p>
        </w:tc>
      </w:tr>
    </w:tbl>
    <w:p w14:paraId="4805D69F"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Cuidar de rios, lagos e nascentes, que são fontes naturais de água.</w:t>
      </w:r>
    </w:p>
    <w:p w14:paraId="23077EC9" w14:textId="77777777" w:rsidR="00D16019" w:rsidRDefault="00000000">
      <w:pPr>
        <w:spacing w:before="60" w:after="220" w:line="276" w:lineRule="auto"/>
        <w:jc w:val="both"/>
      </w:pPr>
      <w:r>
        <w:t>Os ecossistemas hídricos de Campo Grande, formados pelos córregos Anhanduí, Prosa, Segredo, Bandeira, Lagoa, Imbirussu e seus afluentes, integrantes da bacia do rio Paraná, foram intensamente alterados por canalização, ocupação de áreas de preservação permanente e lançamento de esgoto não tratado, estimado em 18,3 milhões de m³ em 2022 (Instituto Água e Saneamento). Os mananciais de abastecimento, como o Guariroba, dependem da proteção de suas bacias de contribuição na zona rural. Os parques lineares e o Parque das Nações Indígenas preservam trechos de função ecológica, mas a restauração de matas ciliares é pontual. Barragens urbanas como a do antigo Clube Atlântico apresentam problemas estruturais documentados desde 2024. O fator articula-se a E2-F21, E2-F23, E4-F25 e E4-F14, e a recuperação dos córregos é simultaneamente medida de saúde, de drenagem urbana e de qualidade de vida.</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06C85BC3"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D5A00"/>
            <w:tcMar>
              <w:top w:w="70" w:type="dxa"/>
              <w:left w:w="120" w:type="dxa"/>
              <w:bottom w:w="70" w:type="dxa"/>
              <w:right w:w="120" w:type="dxa"/>
            </w:tcMar>
            <w:vAlign w:val="center"/>
          </w:tcPr>
          <w:p w14:paraId="7197A382" w14:textId="77777777" w:rsidR="00D16019" w:rsidRDefault="00000000">
            <w:pPr>
              <w:keepNext/>
              <w:spacing w:before="10" w:after="10"/>
              <w:jc w:val="center"/>
            </w:pPr>
            <w:r>
              <w:rPr>
                <w:b/>
                <w:bCs/>
                <w:color w:val="FFFFFF"/>
              </w:rPr>
              <w:t>E4-F05</w:t>
            </w:r>
          </w:p>
        </w:tc>
        <w:tc>
          <w:tcPr>
            <w:tcW w:w="7054"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61689ECC" w14:textId="77777777" w:rsidR="00D16019" w:rsidRDefault="00000000">
            <w:pPr>
              <w:keepNext/>
              <w:spacing w:before="10" w:after="10"/>
            </w:pPr>
            <w:r>
              <w:rPr>
                <w:b/>
                <w:bCs/>
                <w:color w:val="7D5A00"/>
                <w:sz w:val="24"/>
                <w:szCs w:val="24"/>
              </w:rPr>
              <w:t>Tecnologias sociais</w:t>
            </w:r>
          </w:p>
        </w:tc>
        <w:tc>
          <w:tcPr>
            <w:tcW w:w="1300"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05A0D998" w14:textId="77777777" w:rsidR="00D16019" w:rsidRDefault="00000000">
            <w:pPr>
              <w:keepNext/>
              <w:spacing w:before="10" w:after="10"/>
              <w:jc w:val="center"/>
            </w:pPr>
            <w:r>
              <w:rPr>
                <w:color w:val="7D5A00"/>
                <w:sz w:val="20"/>
                <w:szCs w:val="20"/>
              </w:rPr>
              <w:t>ODS 11</w:t>
            </w:r>
          </w:p>
        </w:tc>
      </w:tr>
    </w:tbl>
    <w:p w14:paraId="4F74FC84"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Soluções simples e baratas, criadas junto com a comunidade, para resolver problemas do dia a dia, como cisternas para guardar água da chuva.</w:t>
      </w:r>
    </w:p>
    <w:p w14:paraId="56082207" w14:textId="0B451343" w:rsidR="00D16019" w:rsidRDefault="00000000">
      <w:pPr>
        <w:spacing w:before="60" w:after="220" w:line="276" w:lineRule="auto"/>
        <w:jc w:val="both"/>
      </w:pPr>
      <w:r>
        <w:t xml:space="preserve">As tecnologias sociais em Campo Grande incluem cisternas e sistemas de captação de água de chuva, biodigestores, fossas ecológicas, hortas verticais e soluções de construção de baixo custo, aplicadas em iniciativas de extensão universitária, organizações da sociedade civil e </w:t>
      </w:r>
      <w:r w:rsidRPr="004C6DDB">
        <w:t>assentamentos rurais, sem programa municipal que as difunda de forma sistemática. A relevância dessas tecnologias aumenta com a recorrência de eventos extremos: captação de chuva reduz a dependência do abastecimento em estiagens (E2-F30), e técnicas simples de reforço de coberturas reduzem danos em vendavais (E2-F17). A ausência de inventário municipal de tecnologias sociais em uso constitui lacuna</w:t>
      </w:r>
      <w:r w:rsidR="004C6DDB" w:rsidRPr="004C6DDB">
        <w:t xml:space="preserve"> relevante</w:t>
      </w:r>
      <w:r w:rsidRPr="004C6DDB">
        <w:t>. O fator articula-se a E5-F10, que trata da formação para criar e usar essas soluções, a E4-F24 e a E1-F23, e o plano popular pode prever a seleção, com a comunidade, de tecnologias sociais prioritárias para cada território.</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3DAA4992"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D5A00"/>
            <w:tcMar>
              <w:top w:w="70" w:type="dxa"/>
              <w:left w:w="120" w:type="dxa"/>
              <w:bottom w:w="70" w:type="dxa"/>
              <w:right w:w="120" w:type="dxa"/>
            </w:tcMar>
            <w:vAlign w:val="center"/>
          </w:tcPr>
          <w:p w14:paraId="110E4ABA" w14:textId="77777777" w:rsidR="00D16019" w:rsidRDefault="00000000">
            <w:pPr>
              <w:keepNext/>
              <w:spacing w:before="10" w:after="10"/>
              <w:jc w:val="center"/>
            </w:pPr>
            <w:r>
              <w:rPr>
                <w:b/>
                <w:bCs/>
                <w:color w:val="FFFFFF"/>
              </w:rPr>
              <w:t>E4-F06</w:t>
            </w:r>
          </w:p>
        </w:tc>
        <w:tc>
          <w:tcPr>
            <w:tcW w:w="7054"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6C556F6D" w14:textId="77777777" w:rsidR="00D16019" w:rsidRDefault="00000000">
            <w:pPr>
              <w:keepNext/>
              <w:spacing w:before="10" w:after="10"/>
            </w:pPr>
            <w:r>
              <w:rPr>
                <w:b/>
                <w:bCs/>
                <w:color w:val="7D5A00"/>
                <w:sz w:val="24"/>
                <w:szCs w:val="24"/>
              </w:rPr>
              <w:t>Pesquisa científica e inovação</w:t>
            </w:r>
          </w:p>
        </w:tc>
        <w:tc>
          <w:tcPr>
            <w:tcW w:w="1300"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24A088BC" w14:textId="77777777" w:rsidR="00D16019" w:rsidRDefault="00000000">
            <w:pPr>
              <w:keepNext/>
              <w:spacing w:before="10" w:after="10"/>
              <w:jc w:val="center"/>
            </w:pPr>
            <w:r>
              <w:rPr>
                <w:color w:val="7D5A00"/>
                <w:sz w:val="20"/>
                <w:szCs w:val="20"/>
              </w:rPr>
              <w:t>ODS 9</w:t>
            </w:r>
          </w:p>
        </w:tc>
      </w:tr>
    </w:tbl>
    <w:p w14:paraId="48D5457F"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Desenvolvimento de novos conhecimentos e tecnologias.</w:t>
      </w:r>
    </w:p>
    <w:p w14:paraId="38D802B6" w14:textId="77777777" w:rsidR="00D16019" w:rsidRDefault="00000000">
      <w:pPr>
        <w:spacing w:before="60" w:after="220" w:line="276" w:lineRule="auto"/>
        <w:jc w:val="both"/>
      </w:pPr>
      <w:r>
        <w:t xml:space="preserve">Campo Grande concentra a maior capacidade de pesquisa científica de Mato Grosso do Sul, com a UFMS, a UEMS, a UCDB, a Embrapa Gado de Corte e a Fiocruz Mato Grosso do Sul, além da articulação com a Fiocruz Brasília por meio da PICAPS. A produção científica sobre o próprio município em temas como saúde indígena urbana, leishmaniose, arboviroses, qualidade do ar e mudanças climáticas é significativa, como demonstra o projeto </w:t>
      </w:r>
      <w:proofErr w:type="spellStart"/>
      <w:r>
        <w:t>QualiAr</w:t>
      </w:r>
      <w:proofErr w:type="spellEnd"/>
      <w:r>
        <w:t xml:space="preserve"> da UFMS, que fornece o único monitoramento sistemático da qualidade do ar na capital. A tradução desse conhecimento em políticas públicas, contudo, é irregular. O fator articula-</w:t>
      </w:r>
      <w:r>
        <w:lastRenderedPageBreak/>
        <w:t>se a E4-F14, E6-F04 e E5-F06, e o plano popular deve propor uma agenda de pesquisa compartilhada entre instituições e comunidades, orientada pelos nós críticos deste diagnóstico e pela participação dos pesquisadores populares.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2794EE4A"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D5A00"/>
            <w:tcMar>
              <w:top w:w="70" w:type="dxa"/>
              <w:left w:w="120" w:type="dxa"/>
              <w:bottom w:w="70" w:type="dxa"/>
              <w:right w:w="120" w:type="dxa"/>
            </w:tcMar>
            <w:vAlign w:val="center"/>
          </w:tcPr>
          <w:p w14:paraId="51ECD755" w14:textId="77777777" w:rsidR="00D16019" w:rsidRDefault="00000000">
            <w:pPr>
              <w:keepNext/>
              <w:spacing w:before="10" w:after="10"/>
              <w:jc w:val="center"/>
            </w:pPr>
            <w:r>
              <w:rPr>
                <w:b/>
                <w:bCs/>
                <w:color w:val="FFFFFF"/>
              </w:rPr>
              <w:t>E4-F07</w:t>
            </w:r>
          </w:p>
        </w:tc>
        <w:tc>
          <w:tcPr>
            <w:tcW w:w="7054"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060DC235" w14:textId="77777777" w:rsidR="00D16019" w:rsidRDefault="00000000">
            <w:pPr>
              <w:keepNext/>
              <w:spacing w:before="10" w:after="10"/>
            </w:pPr>
            <w:r>
              <w:rPr>
                <w:b/>
                <w:bCs/>
                <w:color w:val="7D5A00"/>
                <w:sz w:val="24"/>
                <w:szCs w:val="24"/>
              </w:rPr>
              <w:t>Construções sustentáveis e resilientes</w:t>
            </w:r>
          </w:p>
        </w:tc>
        <w:tc>
          <w:tcPr>
            <w:tcW w:w="1300"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58E01510" w14:textId="77777777" w:rsidR="00D16019" w:rsidRDefault="00000000">
            <w:pPr>
              <w:keepNext/>
              <w:spacing w:before="10" w:after="10"/>
              <w:jc w:val="center"/>
            </w:pPr>
            <w:r>
              <w:rPr>
                <w:color w:val="7D5A00"/>
                <w:sz w:val="20"/>
                <w:szCs w:val="20"/>
              </w:rPr>
              <w:t>ODS 11</w:t>
            </w:r>
          </w:p>
        </w:tc>
      </w:tr>
    </w:tbl>
    <w:p w14:paraId="178660CE"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Edificações com menor impacto ambiental e mais resistência. Reduz emissões, consumo de energia e aumenta a segurança.</w:t>
      </w:r>
    </w:p>
    <w:p w14:paraId="193C8319" w14:textId="77777777" w:rsidR="00D16019" w:rsidRDefault="00000000">
      <w:pPr>
        <w:spacing w:before="60" w:after="220" w:line="276" w:lineRule="auto"/>
        <w:jc w:val="both"/>
      </w:pPr>
      <w:r>
        <w:t>As edificações de Campo Grande, sobretudo as habitações populares e os prédios públicos, apresentam baixa adaptação a eventos climáticos extremos e ao calor. O vendaval de setembro de 2026 destelhou 26 escolas municipais e danificou a cobertura de vidro de uma UPA, expondo padrões construtivos e de manutenção inadequados para ventos de 80 km/h, intensidade que tende a se repetir. Nas regiões periféricas, coberturas leves, ausência de ventilação cruzada e impermeabilização integral dos lotes agravam o desconforto térmico e os alagamentos. O Plano Diretor de Desenvolvimento Urbano Ambiental (Lei Complementar nº 341/2018) estabelece parâmetros urbanísticos, mas a incorporação de critérios de resiliência climática ao código de obras e aos programas habitacionais deve ser verificada. O fator articula-se a E4-F10, E5-F20, E5-F22 e E2-F17, e o plano popular deve tratar a adequação das escolas e unidades de saúde como prioridade.</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4B6844AA"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D5A00"/>
            <w:tcMar>
              <w:top w:w="70" w:type="dxa"/>
              <w:left w:w="120" w:type="dxa"/>
              <w:bottom w:w="70" w:type="dxa"/>
              <w:right w:w="120" w:type="dxa"/>
            </w:tcMar>
            <w:vAlign w:val="center"/>
          </w:tcPr>
          <w:p w14:paraId="417E1BC4" w14:textId="77777777" w:rsidR="00D16019" w:rsidRDefault="00000000">
            <w:pPr>
              <w:keepNext/>
              <w:spacing w:before="10" w:after="10"/>
              <w:jc w:val="center"/>
            </w:pPr>
            <w:r>
              <w:rPr>
                <w:b/>
                <w:bCs/>
                <w:color w:val="FFFFFF"/>
              </w:rPr>
              <w:t>E4-F08</w:t>
            </w:r>
          </w:p>
        </w:tc>
        <w:tc>
          <w:tcPr>
            <w:tcW w:w="7054"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1DFC0533" w14:textId="77777777" w:rsidR="00D16019" w:rsidRDefault="00000000">
            <w:pPr>
              <w:keepNext/>
              <w:spacing w:before="10" w:after="10"/>
            </w:pPr>
            <w:r>
              <w:rPr>
                <w:b/>
                <w:bCs/>
                <w:color w:val="7D5A00"/>
                <w:sz w:val="24"/>
                <w:szCs w:val="24"/>
              </w:rPr>
              <w:t>Tecnologias ambientalmente corretas</w:t>
            </w:r>
          </w:p>
        </w:tc>
        <w:tc>
          <w:tcPr>
            <w:tcW w:w="1300"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68602495" w14:textId="77777777" w:rsidR="00D16019" w:rsidRDefault="00000000">
            <w:pPr>
              <w:keepNext/>
              <w:spacing w:before="10" w:after="10"/>
              <w:jc w:val="center"/>
            </w:pPr>
            <w:r>
              <w:rPr>
                <w:color w:val="7D5A00"/>
                <w:sz w:val="20"/>
                <w:szCs w:val="20"/>
              </w:rPr>
              <w:t>ODS 12</w:t>
            </w:r>
          </w:p>
        </w:tc>
      </w:tr>
    </w:tbl>
    <w:p w14:paraId="7A1F141B"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Soluções tecnológicas que reduzem impactos ambientais e sociais.</w:t>
      </w:r>
    </w:p>
    <w:p w14:paraId="155354A9" w14:textId="31A8E4EC" w:rsidR="00D16019" w:rsidRDefault="00000000">
      <w:pPr>
        <w:spacing w:before="60" w:after="220" w:line="276" w:lineRule="auto"/>
        <w:jc w:val="both"/>
      </w:pPr>
      <w:r>
        <w:t xml:space="preserve">As tecnologias ambientalmente corretas em uso em Campo Grande concentram-se no setor privado e em domicílios de renda média e alta, com expansão da geração solar distribuída favorecida pela alta irradiação regional. Nos </w:t>
      </w:r>
      <w:r w:rsidRPr="004C6DDB">
        <w:t xml:space="preserve">serviços públicos, a adoção é pontual: a instalação de geração solar em unidades de saúde e escolas, que reduziria custos e garantiria funcionamento em interrupções de energia como a de setembro de 2026, não está organizada em programa municipal, segundo a informação pública disponível. Tecnologias de tratamento de esgoto descentralizado, </w:t>
      </w:r>
      <w:proofErr w:type="spellStart"/>
      <w:r w:rsidRPr="004C6DDB">
        <w:t>reúso</w:t>
      </w:r>
      <w:proofErr w:type="spellEnd"/>
      <w:r w:rsidRPr="004C6DDB">
        <w:t xml:space="preserve"> de água e iluminação pública eficiente têm aplicação potencial nas áreas de expansão. O fator articula-se a E4-F24, que trata do acesso a essas tecnologias pelas populações que delas mais necessitam, a E5-F14 e a E1-F23.</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76AA4F39"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D5A00"/>
            <w:tcMar>
              <w:top w:w="70" w:type="dxa"/>
              <w:left w:w="120" w:type="dxa"/>
              <w:bottom w:w="70" w:type="dxa"/>
              <w:right w:w="120" w:type="dxa"/>
            </w:tcMar>
            <w:vAlign w:val="center"/>
          </w:tcPr>
          <w:p w14:paraId="38E38CD2" w14:textId="77777777" w:rsidR="00D16019" w:rsidRDefault="00000000">
            <w:pPr>
              <w:keepNext/>
              <w:spacing w:before="10" w:after="10"/>
              <w:jc w:val="center"/>
            </w:pPr>
            <w:r>
              <w:rPr>
                <w:b/>
                <w:bCs/>
                <w:color w:val="FFFFFF"/>
              </w:rPr>
              <w:t>E4-F09</w:t>
            </w:r>
          </w:p>
        </w:tc>
        <w:tc>
          <w:tcPr>
            <w:tcW w:w="7054"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0C9E1B53" w14:textId="77777777" w:rsidR="00D16019" w:rsidRDefault="00000000">
            <w:pPr>
              <w:keepNext/>
              <w:spacing w:before="10" w:after="10"/>
            </w:pPr>
            <w:r>
              <w:rPr>
                <w:b/>
                <w:bCs/>
                <w:color w:val="7D5A00"/>
                <w:sz w:val="24"/>
                <w:szCs w:val="24"/>
              </w:rPr>
              <w:t>Acesso à informação de qualidade</w:t>
            </w:r>
          </w:p>
        </w:tc>
        <w:tc>
          <w:tcPr>
            <w:tcW w:w="1300"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288AFA1F" w14:textId="77777777" w:rsidR="00D16019" w:rsidRDefault="00000000">
            <w:pPr>
              <w:keepNext/>
              <w:spacing w:before="10" w:after="10"/>
              <w:jc w:val="center"/>
            </w:pPr>
            <w:r>
              <w:rPr>
                <w:color w:val="7D5A00"/>
                <w:sz w:val="20"/>
                <w:szCs w:val="20"/>
              </w:rPr>
              <w:t>ODS 12</w:t>
            </w:r>
          </w:p>
        </w:tc>
      </w:tr>
    </w:tbl>
    <w:p w14:paraId="7EAE4759"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Poder receber informações verdadeiras e fáceis de entender para tomar boas decisões e não ser enganado.</w:t>
      </w:r>
    </w:p>
    <w:p w14:paraId="7EF41518" w14:textId="77777777" w:rsidR="00D16019" w:rsidRDefault="00000000">
      <w:pPr>
        <w:spacing w:before="60" w:after="220" w:line="276" w:lineRule="auto"/>
        <w:jc w:val="both"/>
      </w:pPr>
      <w:r>
        <w:t>O acesso à informação de qualidade sobre ambiente, saúde e riscos em Campo Grande é fragmentado entre portais municipais, estaduais e federais, com dados técnicos de difícil leitura para a população. A informação sobre qualidade do ar depende de projeto universitário (</w:t>
      </w:r>
      <w:proofErr w:type="spellStart"/>
      <w:r>
        <w:t>QualiAr</w:t>
      </w:r>
      <w:proofErr w:type="spellEnd"/>
      <w:r>
        <w:t xml:space="preserve">/UFMS), a de barragens de risco circula sobretudo pela imprensa, e a de alertas meteorológicos chega de forma desigual entre grupos sociais. Em contrapartida, circulam desinformação sobre vacinas, que contribui para a cobertura </w:t>
      </w:r>
      <w:proofErr w:type="gramStart"/>
      <w:r>
        <w:t>da tríplice viral</w:t>
      </w:r>
      <w:proofErr w:type="gramEnd"/>
      <w:r>
        <w:t xml:space="preserve"> de 78,53% em 2026 (</w:t>
      </w:r>
      <w:proofErr w:type="spellStart"/>
      <w:r>
        <w:t>Sesau</w:t>
      </w:r>
      <w:proofErr w:type="spellEnd"/>
      <w:r>
        <w:t xml:space="preserve">), e boatos em </w:t>
      </w:r>
      <w:proofErr w:type="gramStart"/>
      <w:r>
        <w:t>situações de emergência</w:t>
      </w:r>
      <w:proofErr w:type="gramEnd"/>
      <w:r>
        <w:t>. O fator articula-se a E6-F09, E6-F03, E6-F11 e E2-F37, e o plano popular pode atribuir aos pesquisadores populares a função de mediação entre dados técnicos e conhecimento comunitário, com produção de boletins territoriais em linguagem acessível e verificação de informações em circulação.</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720BC154"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D5A00"/>
            <w:tcMar>
              <w:top w:w="70" w:type="dxa"/>
              <w:left w:w="120" w:type="dxa"/>
              <w:bottom w:w="70" w:type="dxa"/>
              <w:right w:w="120" w:type="dxa"/>
            </w:tcMar>
            <w:vAlign w:val="center"/>
          </w:tcPr>
          <w:p w14:paraId="74DA2BFB" w14:textId="77777777" w:rsidR="00D16019" w:rsidRDefault="00000000">
            <w:pPr>
              <w:keepNext/>
              <w:spacing w:before="10" w:after="10"/>
              <w:jc w:val="center"/>
            </w:pPr>
            <w:r>
              <w:rPr>
                <w:b/>
                <w:bCs/>
                <w:color w:val="FFFFFF"/>
              </w:rPr>
              <w:t>E4-F10</w:t>
            </w:r>
          </w:p>
        </w:tc>
        <w:tc>
          <w:tcPr>
            <w:tcW w:w="7054"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70D63C88" w14:textId="77777777" w:rsidR="00D16019" w:rsidRDefault="00000000">
            <w:pPr>
              <w:keepNext/>
              <w:spacing w:before="10" w:after="10"/>
            </w:pPr>
            <w:r>
              <w:rPr>
                <w:b/>
                <w:bCs/>
                <w:color w:val="7D5A00"/>
                <w:sz w:val="24"/>
                <w:szCs w:val="24"/>
              </w:rPr>
              <w:t>Reconstruções sustentáveis e resilientes</w:t>
            </w:r>
          </w:p>
        </w:tc>
        <w:tc>
          <w:tcPr>
            <w:tcW w:w="1300"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65DD3373" w14:textId="77777777" w:rsidR="00D16019" w:rsidRDefault="00000000">
            <w:pPr>
              <w:keepNext/>
              <w:spacing w:before="10" w:after="10"/>
              <w:jc w:val="center"/>
            </w:pPr>
            <w:r>
              <w:rPr>
                <w:color w:val="7D5A00"/>
                <w:sz w:val="20"/>
                <w:szCs w:val="20"/>
              </w:rPr>
              <w:t>ODS 12</w:t>
            </w:r>
          </w:p>
        </w:tc>
      </w:tr>
    </w:tbl>
    <w:p w14:paraId="4804ABB3"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Reconstruir o que foi destruído em desastres de um jeito mais forte e que respeite a natureza, para aguentar melhor os próximos eventos.</w:t>
      </w:r>
    </w:p>
    <w:p w14:paraId="763BD95A" w14:textId="77777777" w:rsidR="00D16019" w:rsidRDefault="00000000">
      <w:pPr>
        <w:spacing w:before="60" w:after="220" w:line="276" w:lineRule="auto"/>
        <w:jc w:val="both"/>
      </w:pPr>
      <w:r>
        <w:t xml:space="preserve">A reconstrução sustentável e resiliente tornou-se agenda concreta em Campo Grande após o vendaval de setembro de 2026, cujo decreto de </w:t>
      </w:r>
      <w:proofErr w:type="gramStart"/>
      <w:r>
        <w:t>situação de emergência</w:t>
      </w:r>
      <w:proofErr w:type="gramEnd"/>
      <w:r>
        <w:t xml:space="preserve"> autoriza obras emergenciais com dispensa de </w:t>
      </w:r>
      <w:r>
        <w:lastRenderedPageBreak/>
        <w:t xml:space="preserve">licitação por até um ano. A forma como escolas, unidades de saúde, rede elétrica e arborização forem reconstruídas determinará a vulnerabilidade da cidade aos próximos eventos: reconstruir com os mesmos padrões reproduz o risco. A substituição de árvores caídas por espécies adequadas ao espaço urbano, o reforço de coberturas, o enterramento seletivo de redes elétricas em trechos críticos e a revisão da drenagem são componentes de uma reconstrução resiliente. O fator articula-se a E4-F07, E1-F29, E5-F20 e E4-F25, e o plano popular deve propor que as obras financiadas pela </w:t>
      </w:r>
      <w:proofErr w:type="gramStart"/>
      <w:r>
        <w:t>situação de emergência</w:t>
      </w:r>
      <w:proofErr w:type="gramEnd"/>
      <w:r>
        <w:t xml:space="preserve"> incorporem critérios de resiliência verificáveis e acompanhamento social.</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76933302"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D5A00"/>
            <w:tcMar>
              <w:top w:w="70" w:type="dxa"/>
              <w:left w:w="120" w:type="dxa"/>
              <w:bottom w:w="70" w:type="dxa"/>
              <w:right w:w="120" w:type="dxa"/>
            </w:tcMar>
            <w:vAlign w:val="center"/>
          </w:tcPr>
          <w:p w14:paraId="710E3E0A" w14:textId="77777777" w:rsidR="00D16019" w:rsidRDefault="00000000">
            <w:pPr>
              <w:keepNext/>
              <w:spacing w:before="10" w:after="10"/>
              <w:jc w:val="center"/>
            </w:pPr>
            <w:r>
              <w:rPr>
                <w:b/>
                <w:bCs/>
                <w:color w:val="FFFFFF"/>
              </w:rPr>
              <w:t>E4-F11</w:t>
            </w:r>
          </w:p>
        </w:tc>
        <w:tc>
          <w:tcPr>
            <w:tcW w:w="7054"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4A6EF8A6" w14:textId="77777777" w:rsidR="00D16019" w:rsidRDefault="00000000">
            <w:pPr>
              <w:keepNext/>
              <w:spacing w:before="10" w:after="10"/>
            </w:pPr>
            <w:r>
              <w:rPr>
                <w:b/>
                <w:bCs/>
                <w:color w:val="7D5A00"/>
                <w:sz w:val="24"/>
                <w:szCs w:val="24"/>
              </w:rPr>
              <w:t>Educação ambiental e para adaptação climática</w:t>
            </w:r>
          </w:p>
        </w:tc>
        <w:tc>
          <w:tcPr>
            <w:tcW w:w="1300"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1E45CB41" w14:textId="77777777" w:rsidR="00D16019" w:rsidRDefault="00000000">
            <w:pPr>
              <w:keepNext/>
              <w:spacing w:before="10" w:after="10"/>
              <w:jc w:val="center"/>
            </w:pPr>
            <w:r>
              <w:rPr>
                <w:color w:val="7D5A00"/>
                <w:sz w:val="20"/>
                <w:szCs w:val="20"/>
              </w:rPr>
              <w:t>ODS 13</w:t>
            </w:r>
          </w:p>
        </w:tc>
      </w:tr>
    </w:tbl>
    <w:p w14:paraId="0818CEFD"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Ensino e conscientização sobre os efeitos das mudanças climáticas e como enfrentá-las. Prepara comunidades para se adaptarem e evitarem riscos.</w:t>
      </w:r>
    </w:p>
    <w:p w14:paraId="3AC96BBE" w14:textId="77777777" w:rsidR="00D16019" w:rsidRDefault="00000000">
      <w:pPr>
        <w:spacing w:before="60" w:after="220" w:line="276" w:lineRule="auto"/>
        <w:jc w:val="both"/>
      </w:pPr>
      <w:r>
        <w:t>A educação ambiental e para adaptação climática em Campo Grande ocorre de forma dispersa em projetos escolares, ações da secretaria de meio ambiente e iniciativas de universidades e organizações da sociedade civil, sem programa municipal articulado que trate riscos locais concretos, como alagamentos, vendavais, fumaça e estiagem. A Política Nacional de Educação Ambiental e as diretrizes de educação para a redução de riscos de desastres fornecem o marco normativo. A experiência recente de eventos extremos, com 26 escolas destelhadas em 2026, oferece oportunidade pedagógica de tratar o risco a partir da vivência dos estudantes e das famílias. O fator articula-se a E4-F12, E2-F32, E5-F04 e E6-F07, e os Círculos de Cultura da PICAPS constituem espaço metodológico para a educação ambiental crítica, que relaciona riscos a desigualdades territoriais e não apenas a comportamentos individuais.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6E0287E2"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D5A00"/>
            <w:tcMar>
              <w:top w:w="70" w:type="dxa"/>
              <w:left w:w="120" w:type="dxa"/>
              <w:bottom w:w="70" w:type="dxa"/>
              <w:right w:w="120" w:type="dxa"/>
            </w:tcMar>
            <w:vAlign w:val="center"/>
          </w:tcPr>
          <w:p w14:paraId="5C373BD4" w14:textId="77777777" w:rsidR="00D16019" w:rsidRDefault="00000000">
            <w:pPr>
              <w:keepNext/>
              <w:spacing w:before="10" w:after="10"/>
              <w:jc w:val="center"/>
            </w:pPr>
            <w:r>
              <w:rPr>
                <w:b/>
                <w:bCs/>
                <w:color w:val="FFFFFF"/>
              </w:rPr>
              <w:t>E4-F12</w:t>
            </w:r>
          </w:p>
        </w:tc>
        <w:tc>
          <w:tcPr>
            <w:tcW w:w="7054"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4DFF0BC2" w14:textId="77777777" w:rsidR="00D16019" w:rsidRDefault="00000000">
            <w:pPr>
              <w:keepNext/>
              <w:spacing w:before="10" w:after="10"/>
            </w:pPr>
            <w:r>
              <w:rPr>
                <w:b/>
                <w:bCs/>
                <w:color w:val="7D5A00"/>
                <w:sz w:val="24"/>
                <w:szCs w:val="24"/>
              </w:rPr>
              <w:t>Planejamento relacionado à mudança do clima e à gestão eficaz</w:t>
            </w:r>
          </w:p>
        </w:tc>
        <w:tc>
          <w:tcPr>
            <w:tcW w:w="1300"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4C72DFDA" w14:textId="77777777" w:rsidR="00D16019" w:rsidRDefault="00000000">
            <w:pPr>
              <w:keepNext/>
              <w:spacing w:before="10" w:after="10"/>
              <w:jc w:val="center"/>
            </w:pPr>
            <w:r>
              <w:rPr>
                <w:color w:val="7D5A00"/>
                <w:sz w:val="20"/>
                <w:szCs w:val="20"/>
              </w:rPr>
              <w:t>ODS 13</w:t>
            </w:r>
          </w:p>
        </w:tc>
      </w:tr>
    </w:tbl>
    <w:p w14:paraId="7223D333"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Estratégias e políticas públicas voltadas para a resiliência climática. Garante respostas organizadas e sustentáveis aos desafios climáticos.</w:t>
      </w:r>
    </w:p>
    <w:p w14:paraId="636A2D28" w14:textId="77777777" w:rsidR="00D16019" w:rsidRDefault="00000000">
      <w:pPr>
        <w:spacing w:before="60" w:after="220" w:line="276" w:lineRule="auto"/>
        <w:jc w:val="both"/>
      </w:pPr>
      <w:r>
        <w:t>O planejamento relacionado à mudança do clima em Campo Grande carece de plano municipal de adaptação climática com metas, responsáveis e orçamento, segundo a informação pública disponível. O Plano Diretor de Desenvolvimento Urbano Ambiental (Lei Complementar nº 341/2018) contém instrumentos de zoneamento ambiental e proteção de áreas verdes, mas não incorpora cenários climáticos explícitos. A sequência de eventos recentes, com fumaça e qualidade do ar péssima em 2024, alagamentos com 88 mm em um dia em abril de 2025 e vendaval com decreto de emergência em setembro de 2026, demonstra que os riscos climáticos já operam no território. O fator articula-se a E4-F11, E2-F32, E2-F23 e E5-F20, e o plano popular deve propor a elaboração participativa de um plano de adaptação que integre saúde, drenagem, arborização, energia e proteção das populações mais vulneráveis.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5E6F30C2"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D5A00"/>
            <w:tcMar>
              <w:top w:w="70" w:type="dxa"/>
              <w:left w:w="120" w:type="dxa"/>
              <w:bottom w:w="70" w:type="dxa"/>
              <w:right w:w="120" w:type="dxa"/>
            </w:tcMar>
            <w:vAlign w:val="center"/>
          </w:tcPr>
          <w:p w14:paraId="7B534B71" w14:textId="77777777" w:rsidR="00D16019" w:rsidRDefault="00000000">
            <w:pPr>
              <w:keepNext/>
              <w:spacing w:before="10" w:after="10"/>
              <w:jc w:val="center"/>
            </w:pPr>
            <w:r>
              <w:rPr>
                <w:b/>
                <w:bCs/>
                <w:color w:val="FFFFFF"/>
              </w:rPr>
              <w:t>E4-F13</w:t>
            </w:r>
          </w:p>
        </w:tc>
        <w:tc>
          <w:tcPr>
            <w:tcW w:w="7054"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45822E2E" w14:textId="77777777" w:rsidR="00D16019" w:rsidRDefault="00000000">
            <w:pPr>
              <w:keepNext/>
              <w:spacing w:before="10" w:after="10"/>
            </w:pPr>
            <w:r>
              <w:rPr>
                <w:b/>
                <w:bCs/>
                <w:color w:val="7D5A00"/>
                <w:sz w:val="24"/>
                <w:szCs w:val="24"/>
              </w:rPr>
              <w:t>Gerenciar e proteger os oceanos, mares e recursos marinhos de forma sustentável</w:t>
            </w:r>
          </w:p>
        </w:tc>
        <w:tc>
          <w:tcPr>
            <w:tcW w:w="1300"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2E326591" w14:textId="77777777" w:rsidR="00D16019" w:rsidRDefault="00000000">
            <w:pPr>
              <w:keepNext/>
              <w:spacing w:before="10" w:after="10"/>
              <w:jc w:val="center"/>
            </w:pPr>
            <w:r>
              <w:rPr>
                <w:color w:val="7D5A00"/>
                <w:sz w:val="20"/>
                <w:szCs w:val="20"/>
              </w:rPr>
              <w:t>ODS 14</w:t>
            </w:r>
          </w:p>
        </w:tc>
      </w:tr>
    </w:tbl>
    <w:p w14:paraId="6AAE6E72"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Cuidar do mar e do que vive nele, usando seus recursos sem destruir, para que não faltem no futuro.</w:t>
      </w:r>
    </w:p>
    <w:p w14:paraId="40D001CD" w14:textId="77777777" w:rsidR="00D16019" w:rsidRDefault="00000000">
      <w:pPr>
        <w:spacing w:before="60" w:after="220" w:line="276" w:lineRule="auto"/>
        <w:jc w:val="both"/>
      </w:pPr>
      <w:r>
        <w:t>Campo Grande não possui costa marítima e não tem relação direta com a gestão de oceanos e recursos marinhos, razão pela qual o fator é tratado pela via da interface indireta, conforme as notas metodológicas. O município integra a bacia do rio Paraná por meio do córrego Anhanduí e do rio Pardo, e a qualidade das águas que deixa o território, afetada pelo lançamento de esgoto não tratado e pela carga de sedimentos e agroquímicos, contribui para a condição dos sistemas hídricos a jusante e, em última instância, dos ambientes estuarinos e costeiros. O consumo urbano de pescado de origem marinha e o descarte de plásticos e resíduos que alcançam a rede de drenagem são as outras interfaces. O fator articula-se a E4-F04 e E2-F21, e sua relevância para o planejamento local reside na responsabilidade do município pela qualidade da água que exporta para a bacia.</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6D4C2759"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D5A00"/>
            <w:tcMar>
              <w:top w:w="70" w:type="dxa"/>
              <w:left w:w="120" w:type="dxa"/>
              <w:bottom w:w="70" w:type="dxa"/>
              <w:right w:w="120" w:type="dxa"/>
            </w:tcMar>
            <w:vAlign w:val="center"/>
          </w:tcPr>
          <w:p w14:paraId="06E1EF04" w14:textId="77777777" w:rsidR="00D16019" w:rsidRDefault="00000000">
            <w:pPr>
              <w:keepNext/>
              <w:spacing w:before="10" w:after="10"/>
              <w:jc w:val="center"/>
            </w:pPr>
            <w:r>
              <w:rPr>
                <w:b/>
                <w:bCs/>
                <w:color w:val="FFFFFF"/>
              </w:rPr>
              <w:lastRenderedPageBreak/>
              <w:t>E4-F14</w:t>
            </w:r>
          </w:p>
        </w:tc>
        <w:tc>
          <w:tcPr>
            <w:tcW w:w="7054"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249B2241" w14:textId="77777777" w:rsidR="00D16019" w:rsidRDefault="00000000">
            <w:pPr>
              <w:keepNext/>
              <w:spacing w:before="10" w:after="10"/>
            </w:pPr>
            <w:r>
              <w:rPr>
                <w:b/>
                <w:bCs/>
                <w:color w:val="7D5A00"/>
                <w:sz w:val="24"/>
                <w:szCs w:val="24"/>
              </w:rPr>
              <w:t>Pesquisa científica e inovação para recuperação de ambientes</w:t>
            </w:r>
          </w:p>
        </w:tc>
        <w:tc>
          <w:tcPr>
            <w:tcW w:w="1300"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6E7DDB1F" w14:textId="77777777" w:rsidR="00D16019" w:rsidRDefault="00000000">
            <w:pPr>
              <w:keepNext/>
              <w:spacing w:before="10" w:after="10"/>
              <w:jc w:val="center"/>
            </w:pPr>
            <w:r>
              <w:rPr>
                <w:color w:val="7D5A00"/>
                <w:sz w:val="20"/>
                <w:szCs w:val="20"/>
              </w:rPr>
              <w:t>ODS 14</w:t>
            </w:r>
          </w:p>
        </w:tc>
      </w:tr>
    </w:tbl>
    <w:p w14:paraId="1D8E8189"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Estudos e novas ideias para ajudar a recuperar rios, matas e mares que foram destruídos.</w:t>
      </w:r>
    </w:p>
    <w:p w14:paraId="7F0C3683" w14:textId="71D1446E" w:rsidR="00D16019" w:rsidRDefault="00000000">
      <w:pPr>
        <w:spacing w:before="60" w:after="220" w:line="276" w:lineRule="auto"/>
        <w:jc w:val="both"/>
      </w:pPr>
      <w:r>
        <w:t xml:space="preserve">A pesquisa científica voltada à recuperação de ambientes degradados em Campo Grande é conduzida pela UFMS, pela UCDB e pela Embrapa em temas como recuperação de áreas degradadas do Cerrado, monitoramento de córregos urbanos e manejo de pastagens. A aplicação desse conhecimento à restauração dos córregos urbanos, à recuperação de voçorocas em áreas de expansão e à recomposição da arborização após o vendaval de 2026 é oportunidade concreta de cooperação entre universidades e poder público. A participação comunitária no monitoramento, por meio de ciência cidadã e da cartografia social, amplia a capacidade de acompanhamento. </w:t>
      </w:r>
      <w:r w:rsidRPr="004C6DDB">
        <w:t>O fator articula-se a E4-F06, E4-F04, E4-F25 e E6-F04</w:t>
      </w:r>
      <w:r w:rsidR="004C6DDB">
        <w:t>.</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18B627FD"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D5A00"/>
            <w:tcMar>
              <w:top w:w="70" w:type="dxa"/>
              <w:left w:w="120" w:type="dxa"/>
              <w:bottom w:w="70" w:type="dxa"/>
              <w:right w:w="120" w:type="dxa"/>
            </w:tcMar>
            <w:vAlign w:val="center"/>
          </w:tcPr>
          <w:p w14:paraId="12944650" w14:textId="77777777" w:rsidR="00D16019" w:rsidRDefault="00000000">
            <w:pPr>
              <w:keepNext/>
              <w:spacing w:before="10" w:after="10"/>
              <w:jc w:val="center"/>
            </w:pPr>
            <w:r>
              <w:rPr>
                <w:b/>
                <w:bCs/>
                <w:color w:val="FFFFFF"/>
              </w:rPr>
              <w:t>E4-F15</w:t>
            </w:r>
          </w:p>
        </w:tc>
        <w:tc>
          <w:tcPr>
            <w:tcW w:w="7054"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5D5A3551" w14:textId="77777777" w:rsidR="00D16019" w:rsidRDefault="00000000">
            <w:pPr>
              <w:keepNext/>
              <w:spacing w:before="10" w:after="10"/>
            </w:pPr>
            <w:r>
              <w:rPr>
                <w:b/>
                <w:bCs/>
                <w:color w:val="7D5A00"/>
                <w:sz w:val="24"/>
                <w:szCs w:val="24"/>
              </w:rPr>
              <w:t>Pescadores artesanais</w:t>
            </w:r>
          </w:p>
        </w:tc>
        <w:tc>
          <w:tcPr>
            <w:tcW w:w="1300"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68BC3E7D" w14:textId="77777777" w:rsidR="00D16019" w:rsidRDefault="00000000">
            <w:pPr>
              <w:keepNext/>
              <w:spacing w:before="10" w:after="10"/>
              <w:jc w:val="center"/>
            </w:pPr>
            <w:r>
              <w:rPr>
                <w:color w:val="7D5A00"/>
                <w:sz w:val="20"/>
                <w:szCs w:val="20"/>
              </w:rPr>
              <w:t>ODS 14</w:t>
            </w:r>
          </w:p>
        </w:tc>
      </w:tr>
    </w:tbl>
    <w:p w14:paraId="1F28E1F0"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Trabalhadores que dependem da pesca tradicional e de pequena escala. Contribuem para a economia local e cultura costeira.</w:t>
      </w:r>
    </w:p>
    <w:p w14:paraId="7E708388" w14:textId="77777777" w:rsidR="00D16019" w:rsidRDefault="00000000">
      <w:pPr>
        <w:spacing w:before="60" w:after="220" w:line="276" w:lineRule="auto"/>
        <w:jc w:val="both"/>
      </w:pPr>
      <w:r>
        <w:t>A pesca artesanal em Campo Grande é atividade de pequena escala, praticada em rios e represas do território e do entorno, sem a relevância econômica e cultural que possui nos municípios pantaneiros e ribeirinhos do estado. Pescadores artesanais residentes na capital podem atuar em outros municípios, especialmente no Pantanal, onde a pesca é regulada por normas estaduais e afetada pelos incêndios e pela redução das cheias. O registro de pescadores artesanais residentes no município no Registro Geral da Atividade Pesqueira deve ser consultado para dimensionar o grupo, dado não sistematizado nesta versão. O fator é tratado como de baixa aplicabilidade direta, com análise pela interface regional, e articula-se a E4-F20, que trata da pesca ilegal, e a E4-F04, pois a qualidade dos ambientes aquáticos determina a viabilidade da atividade e a segurança do pescado consumido.</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4C541F89"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D5A00"/>
            <w:tcMar>
              <w:top w:w="70" w:type="dxa"/>
              <w:left w:w="120" w:type="dxa"/>
              <w:bottom w:w="70" w:type="dxa"/>
              <w:right w:w="120" w:type="dxa"/>
            </w:tcMar>
            <w:vAlign w:val="center"/>
          </w:tcPr>
          <w:p w14:paraId="3D730652" w14:textId="77777777" w:rsidR="00D16019" w:rsidRDefault="00000000">
            <w:pPr>
              <w:keepNext/>
              <w:spacing w:before="10" w:after="10"/>
              <w:jc w:val="center"/>
            </w:pPr>
            <w:r>
              <w:rPr>
                <w:b/>
                <w:bCs/>
                <w:color w:val="FFFFFF"/>
              </w:rPr>
              <w:t>E4-F16</w:t>
            </w:r>
          </w:p>
        </w:tc>
        <w:tc>
          <w:tcPr>
            <w:tcW w:w="7054"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00C652D5" w14:textId="77777777" w:rsidR="00D16019" w:rsidRDefault="00000000">
            <w:pPr>
              <w:keepNext/>
              <w:spacing w:before="10" w:after="10"/>
            </w:pPr>
            <w:r>
              <w:rPr>
                <w:b/>
                <w:bCs/>
                <w:color w:val="7D5A00"/>
                <w:sz w:val="24"/>
                <w:szCs w:val="24"/>
              </w:rPr>
              <w:t>Desmatamento e solos degradados</w:t>
            </w:r>
          </w:p>
        </w:tc>
        <w:tc>
          <w:tcPr>
            <w:tcW w:w="1300"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53645D17" w14:textId="77777777" w:rsidR="00D16019" w:rsidRDefault="00000000">
            <w:pPr>
              <w:keepNext/>
              <w:spacing w:before="10" w:after="10"/>
              <w:jc w:val="center"/>
            </w:pPr>
            <w:r>
              <w:rPr>
                <w:color w:val="7D5A00"/>
                <w:sz w:val="20"/>
                <w:szCs w:val="20"/>
              </w:rPr>
              <w:t>ODS 15</w:t>
            </w:r>
          </w:p>
        </w:tc>
      </w:tr>
    </w:tbl>
    <w:p w14:paraId="524AAA74"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É a remoção da vegetação nativa e a perda de qualidade dos solos. Compromete a produção agrícola, a biodiversidade e os recursos hídricos.</w:t>
      </w:r>
    </w:p>
    <w:p w14:paraId="1579FC42" w14:textId="77777777" w:rsidR="00D16019" w:rsidRDefault="00000000">
      <w:pPr>
        <w:spacing w:before="60" w:after="220" w:line="276" w:lineRule="auto"/>
        <w:jc w:val="both"/>
      </w:pPr>
      <w:r>
        <w:t>O município está inserido no bioma Cerrado, o mais pressionado pela conversão para agropecuária no Brasil, e sua zona rural é dominada por pastagens e lavouras, com remanescentes de vegetação nativa concentrados em áreas de preservação permanente, reservas legais e unidades de conservação. A série de cobertura e uso do solo do MapBiomas para o município, que permite quantificar a perda de vegetação nativa e a expansão da área urbanizada desde 1985, e os dados anuais do PRODES Cerrado devem ser extraídos para o diagnóstico, não sistematizados nesta versão. Na área urbana, a expansão sobre fundos de vale e a impermeabilização degradam solos e favorecem erosão e assoreamento (E2-F36). O desmatamento regional relaciona-se à intensificação das estiagens e dos incêndios (E2-F30, E2-F38) e à pressão sobre os mananciais (E2-F23). O fator articula-se a E4-F17 e E4-F25.</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6A894C20"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D5A00"/>
            <w:tcMar>
              <w:top w:w="70" w:type="dxa"/>
              <w:left w:w="120" w:type="dxa"/>
              <w:bottom w:w="70" w:type="dxa"/>
              <w:right w:w="120" w:type="dxa"/>
            </w:tcMar>
            <w:vAlign w:val="center"/>
          </w:tcPr>
          <w:p w14:paraId="03CF3AD5" w14:textId="77777777" w:rsidR="00D16019" w:rsidRDefault="00000000">
            <w:pPr>
              <w:keepNext/>
              <w:spacing w:before="10" w:after="10"/>
              <w:jc w:val="center"/>
            </w:pPr>
            <w:r>
              <w:rPr>
                <w:b/>
                <w:bCs/>
                <w:color w:val="FFFFFF"/>
              </w:rPr>
              <w:t>E4-F17</w:t>
            </w:r>
          </w:p>
        </w:tc>
        <w:tc>
          <w:tcPr>
            <w:tcW w:w="7054"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4010C277" w14:textId="77777777" w:rsidR="00D16019" w:rsidRDefault="00000000">
            <w:pPr>
              <w:keepNext/>
              <w:spacing w:before="10" w:after="10"/>
            </w:pPr>
            <w:r>
              <w:rPr>
                <w:b/>
                <w:bCs/>
                <w:color w:val="7D5A00"/>
                <w:sz w:val="24"/>
                <w:szCs w:val="24"/>
              </w:rPr>
              <w:t>Gestão sustentável dos recursos naturais</w:t>
            </w:r>
          </w:p>
        </w:tc>
        <w:tc>
          <w:tcPr>
            <w:tcW w:w="1300"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5E0114D6" w14:textId="77777777" w:rsidR="00D16019" w:rsidRDefault="00000000">
            <w:pPr>
              <w:keepNext/>
              <w:spacing w:before="10" w:after="10"/>
              <w:jc w:val="center"/>
            </w:pPr>
            <w:r>
              <w:rPr>
                <w:color w:val="7D5A00"/>
                <w:sz w:val="20"/>
                <w:szCs w:val="20"/>
              </w:rPr>
              <w:t>ODS 15</w:t>
            </w:r>
          </w:p>
        </w:tc>
      </w:tr>
    </w:tbl>
    <w:p w14:paraId="303A6787"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É o uso racional dos recursos naturais, garantindo a conservação da biodiversidade.</w:t>
      </w:r>
    </w:p>
    <w:p w14:paraId="4BA28234" w14:textId="77777777" w:rsidR="00D16019" w:rsidRDefault="00000000">
      <w:pPr>
        <w:spacing w:before="60" w:after="220" w:line="276" w:lineRule="auto"/>
        <w:jc w:val="both"/>
      </w:pPr>
      <w:r>
        <w:t xml:space="preserve">A gestão dos recursos naturais em Campo Grande envolve a secretaria municipal de meio ambiente, o Imasul e o IBAMA, com instrumentos como o licenciamento ambiental, o Cadastro Ambiental Rural, as unidades de conservação municipais e o zoneamento do Plano Diretor. A capacidade de fiscalização é insuficiente frente à expansão urbana sobre áreas sensíveis e às pressões sobre os mananciais. A gestão de barragens urbanas é exemplo das fragilidades: laudos técnicos apontam desde 2024 problemas estruturais na barragem do antigo Clube Atlântico, de responsabilidade privada, objeto de inquérito civil do Ministério Público estadual. O fator, que na Matriz v1.0.2 reúne a gestão de ecossistemas terrestres e aquáticos, fauna </w:t>
      </w:r>
      <w:r>
        <w:lastRenderedPageBreak/>
        <w:t>e produtos químicos, articula-se a E4-F04, E4-F16, E4-F22 e E5-F15, e o plano popular deve fortalecer a participação social nos conselhos ambientais e no acompanhamento do licenciamento.</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2C2CB8A5"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D5A00"/>
            <w:tcMar>
              <w:top w:w="70" w:type="dxa"/>
              <w:left w:w="120" w:type="dxa"/>
              <w:bottom w:w="70" w:type="dxa"/>
              <w:right w:w="120" w:type="dxa"/>
            </w:tcMar>
            <w:vAlign w:val="center"/>
          </w:tcPr>
          <w:p w14:paraId="3469EEC4" w14:textId="77777777" w:rsidR="00D16019" w:rsidRDefault="00000000">
            <w:pPr>
              <w:keepNext/>
              <w:spacing w:before="10" w:after="10"/>
              <w:jc w:val="center"/>
            </w:pPr>
            <w:r>
              <w:rPr>
                <w:b/>
                <w:bCs/>
                <w:color w:val="FFFFFF"/>
              </w:rPr>
              <w:t>E4-F18</w:t>
            </w:r>
          </w:p>
        </w:tc>
        <w:tc>
          <w:tcPr>
            <w:tcW w:w="7054"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5EF9A1EE" w14:textId="77777777" w:rsidR="00D16019" w:rsidRDefault="00000000">
            <w:pPr>
              <w:keepNext/>
              <w:spacing w:before="10" w:after="10"/>
            </w:pPr>
            <w:r>
              <w:rPr>
                <w:b/>
                <w:bCs/>
                <w:color w:val="7D5A00"/>
                <w:sz w:val="24"/>
                <w:szCs w:val="24"/>
              </w:rPr>
              <w:t>Conhecimentos e práticas tradicionais de conservação e uso sustentável</w:t>
            </w:r>
          </w:p>
        </w:tc>
        <w:tc>
          <w:tcPr>
            <w:tcW w:w="1300"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29C6014D" w14:textId="77777777" w:rsidR="00D16019" w:rsidRDefault="00000000">
            <w:pPr>
              <w:keepNext/>
              <w:spacing w:before="10" w:after="10"/>
              <w:jc w:val="center"/>
            </w:pPr>
            <w:r>
              <w:rPr>
                <w:color w:val="7D5A00"/>
                <w:sz w:val="20"/>
                <w:szCs w:val="20"/>
              </w:rPr>
              <w:t>ODS 15</w:t>
            </w:r>
          </w:p>
        </w:tc>
      </w:tr>
    </w:tbl>
    <w:p w14:paraId="4AB46B55"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Valoriza saberes indígenas e comunitários sobre o uso sustentável dos recursos naturais.</w:t>
      </w:r>
    </w:p>
    <w:p w14:paraId="06866A1C" w14:textId="77777777" w:rsidR="00D16019" w:rsidRDefault="00000000">
      <w:pPr>
        <w:spacing w:before="60" w:after="220" w:line="276" w:lineRule="auto"/>
        <w:jc w:val="both"/>
      </w:pPr>
      <w:r>
        <w:t xml:space="preserve">Os conhecimentos e práticas tradicionais de conservação em Campo Grande estão presentes nas comunidades indígenas urbanas, majoritariamente Terena, nas comunidades </w:t>
      </w:r>
      <w:proofErr w:type="gramStart"/>
      <w:r>
        <w:t>quilombolas urbanas</w:t>
      </w:r>
      <w:proofErr w:type="gramEnd"/>
      <w:r>
        <w:t xml:space="preserve"> e entre agricultores familiares. Esses saberes incluem o manejo de plantas medicinais (E4-F03), a guarda de sementes (E4-F02), práticas alimentares e formas de relação com o território que contrastam com o modelo de ocupação urbana e agropecuária dominante. A urbanização restringe o espaço para essas práticas: as aldeias urbanas ocupam áreas reduzidas, sem acesso a vegetação nativa e cursos d'água. O reconhecimento desses saberes é condição para uma gestão ambiental culturalmente adequada e para a valorização de identidades historicamente invisibilizadas. O fator articula-se a E5-F29, E3-F19 e E4-F22, e o plano popular pode prever espaços de cultivo e transmissão de conhecimentos tradicionais em áreas verdes públicas próximas às comunidades.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5D1ACB76"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D5A00"/>
            <w:tcMar>
              <w:top w:w="70" w:type="dxa"/>
              <w:left w:w="120" w:type="dxa"/>
              <w:bottom w:w="70" w:type="dxa"/>
              <w:right w:w="120" w:type="dxa"/>
            </w:tcMar>
            <w:vAlign w:val="center"/>
          </w:tcPr>
          <w:p w14:paraId="6DA1598F" w14:textId="77777777" w:rsidR="00D16019" w:rsidRDefault="00000000">
            <w:pPr>
              <w:keepNext/>
              <w:spacing w:before="10" w:after="10"/>
              <w:jc w:val="center"/>
            </w:pPr>
            <w:r>
              <w:rPr>
                <w:b/>
                <w:bCs/>
                <w:color w:val="FFFFFF"/>
              </w:rPr>
              <w:t>E4-F19</w:t>
            </w:r>
          </w:p>
        </w:tc>
        <w:tc>
          <w:tcPr>
            <w:tcW w:w="7054"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61F5B54A" w14:textId="77777777" w:rsidR="00D16019" w:rsidRDefault="00000000">
            <w:pPr>
              <w:keepNext/>
              <w:spacing w:before="10" w:after="10"/>
            </w:pPr>
            <w:r>
              <w:rPr>
                <w:b/>
                <w:bCs/>
                <w:color w:val="7D5A00"/>
                <w:sz w:val="24"/>
                <w:szCs w:val="24"/>
              </w:rPr>
              <w:t>Hospital veterinário e resgate de animais</w:t>
            </w:r>
          </w:p>
        </w:tc>
        <w:tc>
          <w:tcPr>
            <w:tcW w:w="1300"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2A38B8EB" w14:textId="77777777" w:rsidR="00D16019" w:rsidRDefault="00000000">
            <w:pPr>
              <w:keepNext/>
              <w:spacing w:before="10" w:after="10"/>
              <w:jc w:val="center"/>
            </w:pPr>
            <w:r>
              <w:rPr>
                <w:color w:val="7D5A00"/>
                <w:sz w:val="20"/>
                <w:szCs w:val="20"/>
              </w:rPr>
              <w:t>ODS 15</w:t>
            </w:r>
          </w:p>
        </w:tc>
      </w:tr>
    </w:tbl>
    <w:p w14:paraId="67FC61A1"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Locais e serviços que cuidam da saúde dos animais e os socorrem quando estão feridos ou abandonados.</w:t>
      </w:r>
    </w:p>
    <w:p w14:paraId="583A4FAE" w14:textId="77777777" w:rsidR="00D16019" w:rsidRDefault="00000000">
      <w:pPr>
        <w:spacing w:before="60" w:after="220" w:line="276" w:lineRule="auto"/>
        <w:jc w:val="both"/>
      </w:pPr>
      <w:r>
        <w:t>O atendimento veterinário e o resgate de animais em Campo Grande envolvem o Centro de Controle de Zoonoses municipal, clínicas veterinárias universitárias, a Polícia Militar Ambiental, o Centro de Reabilitação de Animais Silvestres estadual e organizações de proteção animal. O fator tem relevância sanitária direta pela leishmaniose visceral, endêmica no município, cuja transmissão envolve cães infectados (E2-F08), pela raiva e pelos acidentes com animais. A ausência de hospital veterinário público com atendimento gratuito para animais de famílias de baixa renda limita o diagnóstico e o tratamento de cães, com implicações para o controle da leishmaniose em bairros periféricos. Os incêndios no Pantanal em 2024 e eventos como o vendaval de 2026 ampliaram a demanda por resgate de fauna. O fator articula-se a E2-F35, E4-F20 e à abordagem de Saúde Única preconizada pelo Informe Técnico da SES-MS (2025).</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72CFB133"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D5A00"/>
            <w:tcMar>
              <w:top w:w="70" w:type="dxa"/>
              <w:left w:w="120" w:type="dxa"/>
              <w:bottom w:w="70" w:type="dxa"/>
              <w:right w:w="120" w:type="dxa"/>
            </w:tcMar>
            <w:vAlign w:val="center"/>
          </w:tcPr>
          <w:p w14:paraId="500F9928" w14:textId="77777777" w:rsidR="00D16019" w:rsidRDefault="00000000">
            <w:pPr>
              <w:keepNext/>
              <w:spacing w:before="10" w:after="10"/>
              <w:jc w:val="center"/>
            </w:pPr>
            <w:r>
              <w:rPr>
                <w:b/>
                <w:bCs/>
                <w:color w:val="FFFFFF"/>
              </w:rPr>
              <w:t>E4-F20</w:t>
            </w:r>
          </w:p>
        </w:tc>
        <w:tc>
          <w:tcPr>
            <w:tcW w:w="7054"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0173704C" w14:textId="77777777" w:rsidR="00D16019" w:rsidRDefault="00000000">
            <w:pPr>
              <w:keepNext/>
              <w:spacing w:before="10" w:after="10"/>
            </w:pPr>
            <w:r>
              <w:rPr>
                <w:b/>
                <w:bCs/>
                <w:color w:val="7D5A00"/>
                <w:sz w:val="24"/>
                <w:szCs w:val="24"/>
              </w:rPr>
              <w:t>Tráfico de espécies da flora e fauna (caça e pesca ilegal)</w:t>
            </w:r>
          </w:p>
        </w:tc>
        <w:tc>
          <w:tcPr>
            <w:tcW w:w="1300"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44A7C224" w14:textId="77777777" w:rsidR="00D16019" w:rsidRDefault="00000000">
            <w:pPr>
              <w:keepNext/>
              <w:spacing w:before="10" w:after="10"/>
              <w:jc w:val="center"/>
            </w:pPr>
            <w:r>
              <w:rPr>
                <w:color w:val="7D5A00"/>
                <w:sz w:val="20"/>
                <w:szCs w:val="20"/>
              </w:rPr>
              <w:t>ODS 15</w:t>
            </w:r>
          </w:p>
        </w:tc>
      </w:tr>
    </w:tbl>
    <w:p w14:paraId="24CDD9D4"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Comércio ilegal de plantas e animais, muitas vezes ameaçados de extinção. Enfraquece os ecossistemas e ameaça a biodiversidade global.</w:t>
      </w:r>
    </w:p>
    <w:p w14:paraId="082A6DDD" w14:textId="77777777" w:rsidR="00D16019" w:rsidRDefault="00000000">
      <w:pPr>
        <w:spacing w:before="60" w:after="220" w:line="276" w:lineRule="auto"/>
        <w:jc w:val="both"/>
      </w:pPr>
      <w:r>
        <w:t>O tráfico de fauna e flora silvestres afeta Mato Grosso do Sul em razão da biodiversidade do Pantanal e do Cerrado e da posição de fronteira, e Campo Grande funciona como ponto de trânsito e destino de animais capturados ilegalmente, como aves, répteis e peixes ornamentais, segundo registros de apreensões da Polícia Militar Ambiental e do IBAMA. A pesca ilegal nos rios do estado é componente do mesmo fenômeno. Os dados de autos de infração e apreensões por município, disponíveis nos órgãos de fiscalização, devem ser consultados para dimensionar a ocorrência local, não sistematizados nesta versão. O tráfico ameaça espécies, introduz riscos sanitários associados a zoonoses e alimenta redes criminosas que podem se sobrepor a outras atividades ilícitas (E6-F06). O fator articula-se a E4-F19 e E4-F15, e a educação ambiental (E4-F11) e os canais de denúncia comunitária são componentes da prevenção.</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3E36B3F9"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D5A00"/>
            <w:tcMar>
              <w:top w:w="70" w:type="dxa"/>
              <w:left w:w="120" w:type="dxa"/>
              <w:bottom w:w="70" w:type="dxa"/>
              <w:right w:w="120" w:type="dxa"/>
            </w:tcMar>
            <w:vAlign w:val="center"/>
          </w:tcPr>
          <w:p w14:paraId="5EC57493" w14:textId="77777777" w:rsidR="00D16019" w:rsidRDefault="00000000">
            <w:pPr>
              <w:keepNext/>
              <w:spacing w:before="10" w:after="10"/>
              <w:jc w:val="center"/>
            </w:pPr>
            <w:r>
              <w:rPr>
                <w:b/>
                <w:bCs/>
                <w:color w:val="FFFFFF"/>
              </w:rPr>
              <w:lastRenderedPageBreak/>
              <w:t>E4-F21</w:t>
            </w:r>
          </w:p>
        </w:tc>
        <w:tc>
          <w:tcPr>
            <w:tcW w:w="7054"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58161B92" w14:textId="77777777" w:rsidR="00D16019" w:rsidRDefault="00000000">
            <w:pPr>
              <w:keepNext/>
              <w:spacing w:before="10" w:after="10"/>
            </w:pPr>
            <w:r>
              <w:rPr>
                <w:b/>
                <w:bCs/>
                <w:color w:val="7D5A00"/>
                <w:sz w:val="24"/>
                <w:szCs w:val="24"/>
              </w:rPr>
              <w:t>Espécies exóticas invasoras</w:t>
            </w:r>
          </w:p>
        </w:tc>
        <w:tc>
          <w:tcPr>
            <w:tcW w:w="1300"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632C86A8" w14:textId="77777777" w:rsidR="00D16019" w:rsidRDefault="00000000">
            <w:pPr>
              <w:keepNext/>
              <w:spacing w:before="10" w:after="10"/>
              <w:jc w:val="center"/>
            </w:pPr>
            <w:r>
              <w:rPr>
                <w:color w:val="7D5A00"/>
                <w:sz w:val="20"/>
                <w:szCs w:val="20"/>
              </w:rPr>
              <w:t>ODS 15</w:t>
            </w:r>
          </w:p>
        </w:tc>
      </w:tr>
    </w:tbl>
    <w:p w14:paraId="53A3223C"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Animais ou plantas introduzidos em novos ambientes que se proliferam descontroladamente.</w:t>
      </w:r>
    </w:p>
    <w:p w14:paraId="34653C47" w14:textId="77777777" w:rsidR="00D16019" w:rsidRDefault="00000000">
      <w:pPr>
        <w:spacing w:before="60" w:after="220" w:line="276" w:lineRule="auto"/>
        <w:jc w:val="both"/>
      </w:pPr>
      <w:r>
        <w:t>As espécies exóticas invasoras em Campo Grande incluem gramíneas africanas que dominam pastagens e áreas degradadas e dificultam a regeneração do Cerrado, espécies arbóreas exóticas amplamente usadas na arborização urbana e organismos aquáticos introduzidos em represas. A composição da arborização urbana é relevante após o vendaval de 2026: a queda de árvores de grande porte, muitas delas exóticas plantadas sem planejamento de espaço e manejo, revelou riscos associados à escolha de espécies. O mosquito Aedes aegypti e o caramujo-africano, espécies exóticas de relevância sanitária, completam o quadro (E2-F35). A elaboração de lista municipal de espécies recomendadas e proibidas para arborização e de plano de substituição gradual deve ser verificada no plano municipal de arborização. O fator articula-se a E4-F25, E4-F10 e E4-F17.</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1901E02C"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D5A00"/>
            <w:tcMar>
              <w:top w:w="70" w:type="dxa"/>
              <w:left w:w="120" w:type="dxa"/>
              <w:bottom w:w="70" w:type="dxa"/>
              <w:right w:w="120" w:type="dxa"/>
            </w:tcMar>
            <w:vAlign w:val="center"/>
          </w:tcPr>
          <w:p w14:paraId="2AC63986" w14:textId="77777777" w:rsidR="00D16019" w:rsidRDefault="00000000">
            <w:pPr>
              <w:keepNext/>
              <w:spacing w:before="10" w:after="10"/>
              <w:jc w:val="center"/>
            </w:pPr>
            <w:r>
              <w:rPr>
                <w:b/>
                <w:bCs/>
                <w:color w:val="FFFFFF"/>
              </w:rPr>
              <w:t>E4-F22</w:t>
            </w:r>
          </w:p>
        </w:tc>
        <w:tc>
          <w:tcPr>
            <w:tcW w:w="7054"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11999955" w14:textId="77777777" w:rsidR="00D16019" w:rsidRDefault="00000000">
            <w:pPr>
              <w:keepNext/>
              <w:spacing w:before="10" w:after="10"/>
            </w:pPr>
            <w:r>
              <w:rPr>
                <w:b/>
                <w:bCs/>
                <w:color w:val="7D5A00"/>
                <w:sz w:val="24"/>
                <w:szCs w:val="24"/>
              </w:rPr>
              <w:t>Gestão sustentável da biodiversidade para o desenvolvimento e redução da pobreza</w:t>
            </w:r>
          </w:p>
        </w:tc>
        <w:tc>
          <w:tcPr>
            <w:tcW w:w="1300"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4C9C0893" w14:textId="77777777" w:rsidR="00D16019" w:rsidRDefault="00000000">
            <w:pPr>
              <w:keepNext/>
              <w:spacing w:before="10" w:after="10"/>
              <w:jc w:val="center"/>
            </w:pPr>
            <w:r>
              <w:rPr>
                <w:color w:val="7D5A00"/>
                <w:sz w:val="20"/>
                <w:szCs w:val="20"/>
              </w:rPr>
              <w:t>ODS 15</w:t>
            </w:r>
          </w:p>
        </w:tc>
      </w:tr>
    </w:tbl>
    <w:p w14:paraId="7801B99E"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Integração da conservação da natureza com o desenvolvimento econômico e social. Ajuda comunidades a gerarem renda de forma sustentável, promovendo bem-estar.</w:t>
      </w:r>
    </w:p>
    <w:p w14:paraId="753AE718" w14:textId="77777777" w:rsidR="00D16019" w:rsidRDefault="00000000">
      <w:pPr>
        <w:spacing w:before="60" w:after="220" w:line="276" w:lineRule="auto"/>
        <w:jc w:val="both"/>
      </w:pPr>
      <w:r>
        <w:t xml:space="preserve">A gestão da biodiversidade para o desenvolvimento e a redução da pobreza em Campo Grande tem potencial ainda pouco explorado em atividades como turismo de natureza e observação de aves, produção de mudas nativas para restauração, extrativismo sustentável de espécies do Cerrado e serviços ambientais em propriedades rurais. Essas atividades podem gerar renda para agricultores familiares, comunidades tradicionais e trabalhadores urbanos, desde que acompanhadas de formação, crédito e mercado. Os parques urbanos e as unidades de conservação municipais oferecem base para iniciativas de educação e turismo com participação comunitária. </w:t>
      </w:r>
      <w:r w:rsidRPr="004C6DDB">
        <w:t>A inexistência de programa municipal que articule conservação e geração de renda constitui lacuna de política pública. O</w:t>
      </w:r>
      <w:r>
        <w:t xml:space="preserve"> fator articula-se a E1-F23, E4-F25, E4-F01 e E4-F18, e o plano popular pode identificar, com a comunidade, cadeias da sociobiodiversidade viáveis no território.</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161B5888"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D5A00"/>
            <w:tcMar>
              <w:top w:w="70" w:type="dxa"/>
              <w:left w:w="120" w:type="dxa"/>
              <w:bottom w:w="70" w:type="dxa"/>
              <w:right w:w="120" w:type="dxa"/>
            </w:tcMar>
            <w:vAlign w:val="center"/>
          </w:tcPr>
          <w:p w14:paraId="6FC077EE" w14:textId="77777777" w:rsidR="00D16019" w:rsidRDefault="00000000">
            <w:pPr>
              <w:keepNext/>
              <w:spacing w:before="10" w:after="10"/>
              <w:jc w:val="center"/>
            </w:pPr>
            <w:r>
              <w:rPr>
                <w:b/>
                <w:bCs/>
                <w:color w:val="FFFFFF"/>
              </w:rPr>
              <w:t>E4-F24</w:t>
            </w:r>
          </w:p>
        </w:tc>
        <w:tc>
          <w:tcPr>
            <w:tcW w:w="7054"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45C5DB2C" w14:textId="77777777" w:rsidR="00D16019" w:rsidRDefault="00000000">
            <w:pPr>
              <w:keepNext/>
              <w:spacing w:before="10" w:after="10"/>
            </w:pPr>
            <w:r>
              <w:rPr>
                <w:b/>
                <w:bCs/>
                <w:color w:val="7D5A00"/>
                <w:sz w:val="24"/>
                <w:szCs w:val="24"/>
              </w:rPr>
              <w:t>Transferência de tecnologias ambientalmente corretas (acesso)</w:t>
            </w:r>
          </w:p>
        </w:tc>
        <w:tc>
          <w:tcPr>
            <w:tcW w:w="1300"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52760E9C" w14:textId="77777777" w:rsidR="00D16019" w:rsidRDefault="00000000">
            <w:pPr>
              <w:keepNext/>
              <w:spacing w:before="10" w:after="10"/>
              <w:jc w:val="center"/>
            </w:pPr>
            <w:r>
              <w:rPr>
                <w:color w:val="7D5A00"/>
                <w:sz w:val="20"/>
                <w:szCs w:val="20"/>
              </w:rPr>
              <w:t>ODS 17</w:t>
            </w:r>
          </w:p>
        </w:tc>
      </w:tr>
    </w:tbl>
    <w:p w14:paraId="3220156D"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Fazer com que soluções e equipamentos que não agridem a natureza cheguem a quem precisa deles.</w:t>
      </w:r>
    </w:p>
    <w:p w14:paraId="13E2BD09" w14:textId="77777777" w:rsidR="00D16019" w:rsidRDefault="00000000">
      <w:pPr>
        <w:spacing w:before="60" w:after="220" w:line="276" w:lineRule="auto"/>
        <w:jc w:val="both"/>
      </w:pPr>
      <w:r>
        <w:t xml:space="preserve">O acesso das populações vulneráveis a tecnologias ambientalmente corretas em Campo Grande é restrito pelo custo de aquisição: a geração solar, as cisternas, os sistemas de </w:t>
      </w:r>
      <w:proofErr w:type="spellStart"/>
      <w:r>
        <w:t>reúso</w:t>
      </w:r>
      <w:proofErr w:type="spellEnd"/>
      <w:r>
        <w:t xml:space="preserve"> e os equipamentos de maior eficiência energética concentram-se em domicílios de renda média e alta. Os programas federais de tarifa social de energia e de habitação de interesse social com componentes de sustentabilidade são as principais vias de acesso, e sua cobertura municipal deve ser verificada. A transferência de tecnologia para comunidades indígenas urbanas, quilombolas e famílias de baixa renda reduziria custos com energia, ampliaria a resiliência em interrupções de serviços (E2-F31) e geraria oportunidades de trabalho na instalação e manutenção. O fator articula-se a E4-F08, E4-F05, E5-F14 e E5-F10, e o plano popular pode propor programas comunitários de acesso associados à formação técnica de moradores.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2FA9654F"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7D5A00"/>
            <w:tcMar>
              <w:top w:w="70" w:type="dxa"/>
              <w:left w:w="120" w:type="dxa"/>
              <w:bottom w:w="70" w:type="dxa"/>
              <w:right w:w="120" w:type="dxa"/>
            </w:tcMar>
            <w:vAlign w:val="center"/>
          </w:tcPr>
          <w:p w14:paraId="7C7AABDA" w14:textId="77777777" w:rsidR="00D16019" w:rsidRDefault="00000000">
            <w:pPr>
              <w:keepNext/>
              <w:spacing w:before="10" w:after="10"/>
              <w:jc w:val="center"/>
            </w:pPr>
            <w:r>
              <w:rPr>
                <w:b/>
                <w:bCs/>
                <w:color w:val="FFFFFF"/>
              </w:rPr>
              <w:t>E4-F25</w:t>
            </w:r>
          </w:p>
        </w:tc>
        <w:tc>
          <w:tcPr>
            <w:tcW w:w="7054"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091FC322" w14:textId="77777777" w:rsidR="00D16019" w:rsidRDefault="00000000">
            <w:pPr>
              <w:keepNext/>
              <w:spacing w:before="10" w:after="10"/>
            </w:pPr>
            <w:r>
              <w:rPr>
                <w:b/>
                <w:bCs/>
                <w:color w:val="7D5A00"/>
                <w:sz w:val="24"/>
                <w:szCs w:val="24"/>
              </w:rPr>
              <w:t>Reflorestamento</w:t>
            </w:r>
          </w:p>
        </w:tc>
        <w:tc>
          <w:tcPr>
            <w:tcW w:w="1300" w:type="dxa"/>
            <w:tcBorders>
              <w:top w:val="single" w:sz="1" w:space="0" w:color="C8D8E8"/>
              <w:left w:val="single" w:sz="1" w:space="0" w:color="C8D8E8"/>
              <w:bottom w:val="single" w:sz="1" w:space="0" w:color="C8D8E8"/>
              <w:right w:val="single" w:sz="1" w:space="0" w:color="C8D8E8"/>
            </w:tcBorders>
            <w:shd w:val="clear" w:color="auto" w:fill="FEF9E7"/>
            <w:tcMar>
              <w:top w:w="70" w:type="dxa"/>
              <w:left w:w="120" w:type="dxa"/>
              <w:bottom w:w="70" w:type="dxa"/>
              <w:right w:w="120" w:type="dxa"/>
            </w:tcMar>
            <w:vAlign w:val="center"/>
          </w:tcPr>
          <w:p w14:paraId="228DA96C" w14:textId="77777777" w:rsidR="00D16019" w:rsidRDefault="00000000">
            <w:pPr>
              <w:keepNext/>
              <w:spacing w:before="10" w:after="10"/>
              <w:jc w:val="center"/>
            </w:pPr>
            <w:r>
              <w:rPr>
                <w:color w:val="7D5A00"/>
                <w:sz w:val="20"/>
                <w:szCs w:val="20"/>
              </w:rPr>
              <w:t>ODS 15</w:t>
            </w:r>
          </w:p>
        </w:tc>
      </w:tr>
    </w:tbl>
    <w:p w14:paraId="10A04FB5"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Envolve ações para recuperar áreas degradadas e restaurar a cobertura vegetal original. Combate as mudanças climáticas e ajuda na preservação da fauna e flora locais.</w:t>
      </w:r>
    </w:p>
    <w:p w14:paraId="711E9B95" w14:textId="77777777" w:rsidR="00D16019" w:rsidRDefault="00000000">
      <w:pPr>
        <w:spacing w:before="60" w:after="220" w:line="276" w:lineRule="auto"/>
        <w:jc w:val="both"/>
      </w:pPr>
      <w:r>
        <w:t xml:space="preserve">O reflorestamento em Campo Grande é conduzido de forma pontual por programas municipais de arborização, compensações ambientais de empreendimentos e iniciativas de organizações da sociedade civil, sem meta municipal de recomposição de matas ciliares por microbacia. A restauração das áreas de preservação permanente dos córregos urbanos é a prioridade funcional, pela relação direta com a qualidade </w:t>
      </w:r>
      <w:r>
        <w:lastRenderedPageBreak/>
        <w:t>da água, o controle de enchentes e a redução das ilhas de calor. A perda de árvores no vendaval de setembro de 2026 cria necessidade e oportunidade de replantio planejado, com espécies nativas adequadas ao espaço urbano e manejo preventivo (E4-F21). A cobertura arbórea por região urbana, que tende a ser menor nas periferias, deve ser medida com base em imagens de satélite, dado não sistematizado nesta versão. O fator articula-se a E4-F16, E4-F04 e E4-F10, e mutirões comunitários de plantio (E6-F05) favorecem a apropriação social das áreas recuperadas.</w:t>
      </w:r>
    </w:p>
    <w:p w14:paraId="3E43923F" w14:textId="77777777" w:rsidR="00D16019" w:rsidRDefault="00000000">
      <w:pPr>
        <w:pStyle w:val="Ttulo1"/>
        <w:pageBreakBefore/>
        <w:spacing w:after="120"/>
      </w:pPr>
      <w:r>
        <w:rPr>
          <w:color w:val="553C7B"/>
        </w:rPr>
        <w:lastRenderedPageBreak/>
        <w:t>Eixo 5. A Cidade Negada</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4"/>
      </w:tblGrid>
      <w:tr w:rsidR="00D16019" w14:paraId="773D1C69" w14:textId="77777777">
        <w:tc>
          <w:tcPr>
            <w:tcW w:w="9354" w:type="dxa"/>
            <w:tcBorders>
              <w:top w:val="single" w:sz="1" w:space="0" w:color="C8D8E8"/>
              <w:left w:val="single" w:sz="1" w:space="0" w:color="C8D8E8"/>
              <w:bottom w:val="single" w:sz="1" w:space="0" w:color="C8D8E8"/>
              <w:right w:val="single" w:sz="1" w:space="0" w:color="C8D8E8"/>
            </w:tcBorders>
            <w:shd w:val="clear" w:color="auto" w:fill="553C7B"/>
            <w:tcMar>
              <w:top w:w="70" w:type="dxa"/>
              <w:left w:w="120" w:type="dxa"/>
              <w:bottom w:w="70" w:type="dxa"/>
              <w:right w:w="120" w:type="dxa"/>
            </w:tcMar>
            <w:vAlign w:val="center"/>
          </w:tcPr>
          <w:p w14:paraId="414E631D" w14:textId="77777777" w:rsidR="00D16019" w:rsidRDefault="00000000">
            <w:pPr>
              <w:spacing w:before="10" w:after="10"/>
            </w:pPr>
            <w:r>
              <w:rPr>
                <w:b/>
                <w:bCs/>
                <w:color w:val="FFFFFF"/>
                <w:sz w:val="26"/>
                <w:szCs w:val="26"/>
              </w:rPr>
              <w:t>EIXO 5  |  A Cidade Negada</w:t>
            </w:r>
          </w:p>
        </w:tc>
      </w:tr>
      <w:tr w:rsidR="00D16019" w14:paraId="55705A3D" w14:textId="77777777">
        <w:tc>
          <w:tcPr>
            <w:tcW w:w="9354"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7E77CFEB" w14:textId="77777777" w:rsidR="00D16019" w:rsidRDefault="00000000">
            <w:pPr>
              <w:spacing w:before="10" w:after="10"/>
            </w:pPr>
            <w:r>
              <w:rPr>
                <w:i/>
                <w:iCs/>
                <w:color w:val="553C7B"/>
              </w:rPr>
              <w:t>Contradição central: Habitação, mobilidade, educação e cultura são direitos sistematicamente sonegados.</w:t>
            </w:r>
          </w:p>
        </w:tc>
      </w:tr>
      <w:tr w:rsidR="00D16019" w14:paraId="648074FF" w14:textId="77777777">
        <w:tc>
          <w:tcPr>
            <w:tcW w:w="9354"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5242B757" w14:textId="77777777" w:rsidR="00D16019" w:rsidRDefault="00000000">
            <w:pPr>
              <w:spacing w:before="10" w:after="10"/>
            </w:pPr>
            <w:r>
              <w:rPr>
                <w:color w:val="4A5568"/>
                <w:sz w:val="21"/>
                <w:szCs w:val="21"/>
              </w:rPr>
              <w:t>Foco pedagógico: Infraestrutura, educação, cultura e território urbano-rural</w:t>
            </w:r>
          </w:p>
        </w:tc>
      </w:tr>
      <w:tr w:rsidR="00D16019" w14:paraId="5E315F78" w14:textId="77777777">
        <w:tc>
          <w:tcPr>
            <w:tcW w:w="9354"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2F154629" w14:textId="77777777" w:rsidR="00D16019" w:rsidRDefault="00000000">
            <w:pPr>
              <w:spacing w:before="10" w:after="10"/>
            </w:pPr>
            <w:r>
              <w:rPr>
                <w:color w:val="4A5568"/>
                <w:sz w:val="21"/>
                <w:szCs w:val="21"/>
              </w:rPr>
              <w:t>ODS mobilizados: 3, 4, 7, 8, 9, 11, 12, 13  |  29 fatores da Matriz v1.0.2</w:t>
            </w:r>
          </w:p>
        </w:tc>
      </w:tr>
    </w:tbl>
    <w:p w14:paraId="272870DC" w14:textId="77777777" w:rsidR="00D16019" w:rsidRDefault="00000000">
      <w:pPr>
        <w:spacing w:before="160" w:after="200" w:line="276" w:lineRule="auto"/>
        <w:jc w:val="both"/>
      </w:pPr>
      <w:r>
        <w:t>O eixo descreve a cidade negada às populações periféricas de Campo Grande: uma capital horizontal, com 898.100 habitantes no Censo 2022 em 8.082,33 km² (IBGE, escala municipal), cuja região central perdeu moradores entre 2010 e 2022 enquanto as periferias cresceram com menor infraestrutura. Os 29 fatores abrangem habitação, mobilidade, energia, educação, cultura, lazer e a vulnerabilidade das infraestruturas a eventos extremos. Dois achados se destacam: o pior índice cultural entre as capitais brasileiras em pesquisa do Ministério da Cultura de 2025, e a fragilidade das infraestruturas críticas no vendaval de setembro de 2026, que deixou mais de 300 mil pessoas sem energia e destelhou 26 escolas municipais. A melhora do IDEB nos anos iniciais da rede municipal mostra, em contrapartida, que investimentos continuados produzem resultados mensuráveis.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720B6CC2"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553C7B"/>
            <w:tcMar>
              <w:top w:w="70" w:type="dxa"/>
              <w:left w:w="120" w:type="dxa"/>
              <w:bottom w:w="70" w:type="dxa"/>
              <w:right w:w="120" w:type="dxa"/>
            </w:tcMar>
            <w:vAlign w:val="center"/>
          </w:tcPr>
          <w:p w14:paraId="557E81D6" w14:textId="77777777" w:rsidR="00D16019" w:rsidRDefault="00000000">
            <w:pPr>
              <w:keepNext/>
              <w:spacing w:before="10" w:after="10"/>
              <w:jc w:val="center"/>
            </w:pPr>
            <w:r>
              <w:rPr>
                <w:b/>
                <w:bCs/>
                <w:color w:val="FFFFFF"/>
              </w:rPr>
              <w:t>E5-F01</w:t>
            </w:r>
          </w:p>
        </w:tc>
        <w:tc>
          <w:tcPr>
            <w:tcW w:w="7054"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7147C761" w14:textId="77777777" w:rsidR="00D16019" w:rsidRDefault="00000000">
            <w:pPr>
              <w:keepNext/>
              <w:spacing w:before="10" w:after="10"/>
            </w:pPr>
            <w:r>
              <w:rPr>
                <w:b/>
                <w:bCs/>
                <w:color w:val="553C7B"/>
                <w:sz w:val="24"/>
                <w:szCs w:val="24"/>
              </w:rPr>
              <w:t>Disponibilidade a abrigos para emergências</w:t>
            </w:r>
          </w:p>
        </w:tc>
        <w:tc>
          <w:tcPr>
            <w:tcW w:w="1300"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69B8CFDE" w14:textId="77777777" w:rsidR="00D16019" w:rsidRDefault="00000000">
            <w:pPr>
              <w:keepNext/>
              <w:spacing w:before="10" w:after="10"/>
              <w:jc w:val="center"/>
            </w:pPr>
            <w:r>
              <w:rPr>
                <w:color w:val="553C7B"/>
                <w:sz w:val="20"/>
                <w:szCs w:val="20"/>
              </w:rPr>
              <w:t>ODS 13</w:t>
            </w:r>
          </w:p>
        </w:tc>
      </w:tr>
    </w:tbl>
    <w:p w14:paraId="3B584B02"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Existência de lugares seguros para as pessoas ficarem quando precisam sair de casa por causa de um desastre.</w:t>
      </w:r>
    </w:p>
    <w:p w14:paraId="4542615F" w14:textId="043B22D4" w:rsidR="00D16019" w:rsidRDefault="00000000">
      <w:pPr>
        <w:spacing w:before="60" w:after="220" w:line="276" w:lineRule="auto"/>
        <w:jc w:val="both"/>
      </w:pPr>
      <w:r>
        <w:t>A rede potencial inclui escolas, ginásios, centros comunitários e igrejas, mas o vendaval de 10 de setembro de 2026, que destelhou 26 escolas municipais segundo a Prefeitura, demonstra que a designação de abrigos exige avaliação prévia de segurança estrutural das edificações. Os serviços de acolhimento institucional da assistência social, dimensionados para a população em situação de rua de 1.476 pessoas recenseadas pelo GT-PSR em 2025 (escala municipal), operam no limite e não comportam deslocamentos em massa. O fator articula-se a E2-F39, E6-F16, E3-F14 e E4-F07, e o plano popular deve mapear, com a comunidade, edificações seguras por região urbana e acordos prévios com organizações religiosas e comunitárias para seu uso em emergências.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01D7746B"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553C7B"/>
            <w:tcMar>
              <w:top w:w="70" w:type="dxa"/>
              <w:left w:w="120" w:type="dxa"/>
              <w:bottom w:w="70" w:type="dxa"/>
              <w:right w:w="120" w:type="dxa"/>
            </w:tcMar>
            <w:vAlign w:val="center"/>
          </w:tcPr>
          <w:p w14:paraId="1E9E4498" w14:textId="77777777" w:rsidR="00D16019" w:rsidRDefault="00000000">
            <w:pPr>
              <w:keepNext/>
              <w:spacing w:before="10" w:after="10"/>
              <w:jc w:val="center"/>
            </w:pPr>
            <w:r>
              <w:rPr>
                <w:b/>
                <w:bCs/>
                <w:color w:val="FFFFFF"/>
              </w:rPr>
              <w:t>E5-F02</w:t>
            </w:r>
          </w:p>
        </w:tc>
        <w:tc>
          <w:tcPr>
            <w:tcW w:w="7054"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38BA2ED8" w14:textId="77777777" w:rsidR="00D16019" w:rsidRDefault="00000000">
            <w:pPr>
              <w:keepNext/>
              <w:spacing w:before="10" w:after="10"/>
            </w:pPr>
            <w:r>
              <w:rPr>
                <w:b/>
                <w:bCs/>
                <w:color w:val="553C7B"/>
                <w:sz w:val="24"/>
                <w:szCs w:val="24"/>
              </w:rPr>
              <w:t>Vias obstruídas e danificadas – vias municipais, estaduais e federais</w:t>
            </w:r>
          </w:p>
        </w:tc>
        <w:tc>
          <w:tcPr>
            <w:tcW w:w="1300"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59A3F413" w14:textId="77777777" w:rsidR="00D16019" w:rsidRDefault="00000000">
            <w:pPr>
              <w:keepNext/>
              <w:spacing w:before="10" w:after="10"/>
              <w:jc w:val="center"/>
            </w:pPr>
            <w:r>
              <w:rPr>
                <w:color w:val="553C7B"/>
                <w:sz w:val="20"/>
                <w:szCs w:val="20"/>
              </w:rPr>
              <w:t>ODS 3</w:t>
            </w:r>
          </w:p>
        </w:tc>
      </w:tr>
    </w:tbl>
    <w:p w14:paraId="4199D57C"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Ruas e estradas fechadas ou estragadas, que dificultam a passagem de pessoas, ônibus e do socorro.</w:t>
      </w:r>
    </w:p>
    <w:p w14:paraId="459FBAC2" w14:textId="77777777" w:rsidR="00D16019" w:rsidRDefault="00000000">
      <w:pPr>
        <w:spacing w:before="60" w:after="220" w:line="276" w:lineRule="auto"/>
        <w:jc w:val="both"/>
      </w:pPr>
      <w:r>
        <w:t>A obstrução e o dano de vias em Campo Grande decorrem sobretudo de quedas de árvores e postes em ventos fortes e de enxurradas que erodem pavimentos em fundos de vale. Na noite do vendaval de 10 de setembro de 2026, o Corpo de Bombeiros Militar recebeu 155 chamados por árvores caídas ou em risco entre 17h e 6h, com bloqueios em avenidas como Bandeirantes, Hiroshima e Afonso Pena e previsão de substituição de até 100 postes pela Energisa (escala municipal). Em 24 de abril de 2025, a chuva de 88 mm registrada pelo CEMADEN produziu enxurradas que comprometeram avenidas de fundo de vale. A obstrução de vias atrasa o socorro, o deslocamento de equipes de saúde e o acesso a hospitais e UPAs. O fator articula-se a E5-F19, E2-F17, E2-F26 e E4-F21, pois o manejo preventivo da arborização é a medida mais direta para reduzir bloqueios em eventos de vento.</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21A84C37"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553C7B"/>
            <w:tcMar>
              <w:top w:w="70" w:type="dxa"/>
              <w:left w:w="120" w:type="dxa"/>
              <w:bottom w:w="70" w:type="dxa"/>
              <w:right w:w="120" w:type="dxa"/>
            </w:tcMar>
            <w:vAlign w:val="center"/>
          </w:tcPr>
          <w:p w14:paraId="1BCC849D" w14:textId="77777777" w:rsidR="00D16019" w:rsidRDefault="00000000">
            <w:pPr>
              <w:keepNext/>
              <w:spacing w:before="10" w:after="10"/>
              <w:jc w:val="center"/>
            </w:pPr>
            <w:r>
              <w:rPr>
                <w:b/>
                <w:bCs/>
                <w:color w:val="FFFFFF"/>
              </w:rPr>
              <w:lastRenderedPageBreak/>
              <w:t>E5-F03</w:t>
            </w:r>
          </w:p>
        </w:tc>
        <w:tc>
          <w:tcPr>
            <w:tcW w:w="7054"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1008303D" w14:textId="77777777" w:rsidR="00D16019" w:rsidRDefault="00000000">
            <w:pPr>
              <w:keepNext/>
              <w:spacing w:before="10" w:after="10"/>
            </w:pPr>
            <w:r>
              <w:rPr>
                <w:b/>
                <w:bCs/>
                <w:color w:val="553C7B"/>
                <w:sz w:val="24"/>
                <w:szCs w:val="24"/>
              </w:rPr>
              <w:t>Acidentes no transporte de produtos perigosos</w:t>
            </w:r>
          </w:p>
        </w:tc>
        <w:tc>
          <w:tcPr>
            <w:tcW w:w="1300"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252F464A" w14:textId="77777777" w:rsidR="00D16019" w:rsidRDefault="00000000">
            <w:pPr>
              <w:keepNext/>
              <w:spacing w:before="10" w:after="10"/>
              <w:jc w:val="center"/>
            </w:pPr>
            <w:r>
              <w:rPr>
                <w:color w:val="553C7B"/>
                <w:sz w:val="20"/>
                <w:szCs w:val="20"/>
              </w:rPr>
              <w:t>ODS 3</w:t>
            </w:r>
          </w:p>
        </w:tc>
      </w:tr>
    </w:tbl>
    <w:p w14:paraId="5080B0D2"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Quando caminhões que carregam combustível ou produtos químicos sofrem acidentes e colocam pessoas e natureza em risco.</w:t>
      </w:r>
    </w:p>
    <w:p w14:paraId="740C5622" w14:textId="6F3F9F2E" w:rsidR="00D16019" w:rsidRDefault="00000000">
      <w:pPr>
        <w:spacing w:before="60" w:after="220" w:line="276" w:lineRule="auto"/>
        <w:jc w:val="both"/>
      </w:pPr>
      <w:r>
        <w:t>Campo Grande é atravessada ou contornada pelas rodovias federais BR-163 e BR-262, corredores de escoamento de grãos, combustíveis, fertilizantes e agroquímicos, e abriga terminais de distribuição de combustíveis, o que configura exposição a acidentes com produtos perigosos em áreas próximas a bairros residenciais. O plano de contingência para acidentes com produtos perigosos, previsto no Plano Nacional de Prevenção, Preparação e Resposta Rápida a Emergências Ambientais com Produtos Químicos Perigosos, deve ser verificado no âmbito municipal. O fator articula-se a E2-F11, E5-F15, E2-F21 e E2-F33, e a cartografia social pode identificar trechos de tráfego pesado próximos a escolas, unidades de saúde e moradias.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11989C0E"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553C7B"/>
            <w:tcMar>
              <w:top w:w="70" w:type="dxa"/>
              <w:left w:w="120" w:type="dxa"/>
              <w:bottom w:w="70" w:type="dxa"/>
              <w:right w:w="120" w:type="dxa"/>
            </w:tcMar>
            <w:vAlign w:val="center"/>
          </w:tcPr>
          <w:p w14:paraId="18513B22" w14:textId="77777777" w:rsidR="00D16019" w:rsidRDefault="00000000">
            <w:pPr>
              <w:keepNext/>
              <w:spacing w:before="10" w:after="10"/>
              <w:jc w:val="center"/>
            </w:pPr>
            <w:r>
              <w:rPr>
                <w:b/>
                <w:bCs/>
                <w:color w:val="FFFFFF"/>
              </w:rPr>
              <w:t>E5-F04</w:t>
            </w:r>
          </w:p>
        </w:tc>
        <w:tc>
          <w:tcPr>
            <w:tcW w:w="7054"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7F5646AA" w14:textId="77777777" w:rsidR="00D16019" w:rsidRDefault="00000000">
            <w:pPr>
              <w:keepNext/>
              <w:spacing w:before="10" w:after="10"/>
            </w:pPr>
            <w:r>
              <w:rPr>
                <w:b/>
                <w:bCs/>
                <w:color w:val="553C7B"/>
                <w:sz w:val="24"/>
                <w:szCs w:val="24"/>
              </w:rPr>
              <w:t>Educação – ensino primário</w:t>
            </w:r>
          </w:p>
        </w:tc>
        <w:tc>
          <w:tcPr>
            <w:tcW w:w="1300"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2BE1D441" w14:textId="77777777" w:rsidR="00D16019" w:rsidRDefault="00000000">
            <w:pPr>
              <w:keepNext/>
              <w:spacing w:before="10" w:after="10"/>
              <w:jc w:val="center"/>
            </w:pPr>
            <w:r>
              <w:rPr>
                <w:color w:val="553C7B"/>
                <w:sz w:val="20"/>
                <w:szCs w:val="20"/>
              </w:rPr>
              <w:t>ODS 4</w:t>
            </w:r>
          </w:p>
        </w:tc>
      </w:tr>
    </w:tbl>
    <w:p w14:paraId="26A781C8"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É o caminho de estudo que começa com o aprendizado de ler, escrever e fazer contas e ajuda a compreender o mundo.</w:t>
      </w:r>
    </w:p>
    <w:p w14:paraId="032A8E15" w14:textId="77777777" w:rsidR="00D16019" w:rsidRDefault="00000000">
      <w:pPr>
        <w:spacing w:before="60" w:after="220" w:line="276" w:lineRule="auto"/>
        <w:jc w:val="both"/>
      </w:pPr>
      <w:r>
        <w:t>O ensino fundamental em Campo Grande apresenta escolarização de 98,07% na faixa de 6 a 14 anos segundo o IBGE Cidades, com referência ao Censo Demográfico de 2010, indicador que deve ser atualizado com os resultados educacionais do Censo 2022. Na Rede Municipal de Ensino, o IDEB dos anos iniciais passou de 5,3 em 2023 para 5,7 na edição seguinte, e o dos anos finais alcançou 4,8, segundo a Prefeitura com base no INEP (escala municipal, rede municipal). O desempenho médio esconde desigualdades entre escolas das regiões centrais e das periféricas, que devem ser analisadas por unidade escolar a partir dos microdados do INEP. A infraestrutura escolar mostrou-se vulnerável a eventos climáticos: 26 escolas municipais tiveram coberturas danificadas no vendaval de setembro de 2026. O fator articula-se a E5-F08, E5-F12, E1-F14 e E4-F07.</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7164F01B"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553C7B"/>
            <w:tcMar>
              <w:top w:w="70" w:type="dxa"/>
              <w:left w:w="120" w:type="dxa"/>
              <w:bottom w:w="70" w:type="dxa"/>
              <w:right w:w="120" w:type="dxa"/>
            </w:tcMar>
            <w:vAlign w:val="center"/>
          </w:tcPr>
          <w:p w14:paraId="1299667E" w14:textId="77777777" w:rsidR="00D16019" w:rsidRDefault="00000000">
            <w:pPr>
              <w:keepNext/>
              <w:spacing w:before="10" w:after="10"/>
              <w:jc w:val="center"/>
            </w:pPr>
            <w:r>
              <w:rPr>
                <w:b/>
                <w:bCs/>
                <w:color w:val="FFFFFF"/>
              </w:rPr>
              <w:t>E5-F05</w:t>
            </w:r>
          </w:p>
        </w:tc>
        <w:tc>
          <w:tcPr>
            <w:tcW w:w="7054"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21FD9F5B" w14:textId="77777777" w:rsidR="00D16019" w:rsidRDefault="00000000">
            <w:pPr>
              <w:keepNext/>
              <w:spacing w:before="10" w:after="10"/>
            </w:pPr>
            <w:r>
              <w:rPr>
                <w:b/>
                <w:bCs/>
                <w:color w:val="553C7B"/>
                <w:sz w:val="24"/>
                <w:szCs w:val="24"/>
              </w:rPr>
              <w:t>Educação técnica e profissional</w:t>
            </w:r>
          </w:p>
        </w:tc>
        <w:tc>
          <w:tcPr>
            <w:tcW w:w="1300"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19D73DA7" w14:textId="77777777" w:rsidR="00D16019" w:rsidRDefault="00000000">
            <w:pPr>
              <w:keepNext/>
              <w:spacing w:before="10" w:after="10"/>
              <w:jc w:val="center"/>
            </w:pPr>
            <w:r>
              <w:rPr>
                <w:color w:val="553C7B"/>
                <w:sz w:val="20"/>
                <w:szCs w:val="20"/>
              </w:rPr>
              <w:t>ODS 4</w:t>
            </w:r>
          </w:p>
        </w:tc>
      </w:tr>
    </w:tbl>
    <w:p w14:paraId="485C1DBD"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São cursos que ensinam uma profissão e preparam para o mercado de trabalho.</w:t>
      </w:r>
    </w:p>
    <w:p w14:paraId="10EDC516" w14:textId="77777777" w:rsidR="00D16019" w:rsidRDefault="00000000">
      <w:pPr>
        <w:spacing w:before="60" w:after="220" w:line="276" w:lineRule="auto"/>
        <w:jc w:val="both"/>
      </w:pPr>
      <w:r>
        <w:t>A educação técnica e profissional em Campo Grande é ofertada pelo Instituto Federal de Mato Grosso do Sul, pelas instituições do Sistema S, como SENAI, SENAC e SENAR, pela rede estadual e por programas municipais de qualificação vinculados à Fundação Social do Trabalho. A oferta concentra-se em cursos alinhados ao setor de serviços, à indústria de alimentos e ao agronegócio. O número de matrículas em educação profissional por instituição e curso, disponível no Censo Escolar do INEP, e a distribuição territorial das unidades ofertantes devem ser incorporados ao diagnóstico, dados não sistematizados nesta versão. A distância entre as unidades de ensino e as regiões periféricas, somada ao custo do transporte (E5-F23), limita o acesso de jovens e mulheres de menor renda. O fator articula-se a E5-F16, E1-F12 e E1-F08, e o plano popular pode orientar a oferta para ocupações com demanda local e para a formação em tecnologias sociais (E5-F10).</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691AF8F2"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553C7B"/>
            <w:tcMar>
              <w:top w:w="70" w:type="dxa"/>
              <w:left w:w="120" w:type="dxa"/>
              <w:bottom w:w="70" w:type="dxa"/>
              <w:right w:w="120" w:type="dxa"/>
            </w:tcMar>
            <w:vAlign w:val="center"/>
          </w:tcPr>
          <w:p w14:paraId="0CAEA647" w14:textId="77777777" w:rsidR="00D16019" w:rsidRDefault="00000000">
            <w:pPr>
              <w:keepNext/>
              <w:spacing w:before="10" w:after="10"/>
              <w:jc w:val="center"/>
            </w:pPr>
            <w:r>
              <w:rPr>
                <w:b/>
                <w:bCs/>
                <w:color w:val="FFFFFF"/>
              </w:rPr>
              <w:t>E5-F06</w:t>
            </w:r>
          </w:p>
        </w:tc>
        <w:tc>
          <w:tcPr>
            <w:tcW w:w="7054"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232D97A2" w14:textId="77777777" w:rsidR="00D16019" w:rsidRDefault="00000000">
            <w:pPr>
              <w:keepNext/>
              <w:spacing w:before="10" w:after="10"/>
            </w:pPr>
            <w:r>
              <w:rPr>
                <w:b/>
                <w:bCs/>
                <w:color w:val="553C7B"/>
                <w:sz w:val="24"/>
                <w:szCs w:val="24"/>
              </w:rPr>
              <w:t>Educação superior</w:t>
            </w:r>
          </w:p>
        </w:tc>
        <w:tc>
          <w:tcPr>
            <w:tcW w:w="1300"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271EF147" w14:textId="77777777" w:rsidR="00D16019" w:rsidRDefault="00000000">
            <w:pPr>
              <w:keepNext/>
              <w:spacing w:before="10" w:after="10"/>
              <w:jc w:val="center"/>
            </w:pPr>
            <w:r>
              <w:rPr>
                <w:color w:val="553C7B"/>
                <w:sz w:val="20"/>
                <w:szCs w:val="20"/>
              </w:rPr>
              <w:t>ODS 4</w:t>
            </w:r>
          </w:p>
        </w:tc>
      </w:tr>
    </w:tbl>
    <w:p w14:paraId="4ACD590B"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É a faculdade ou universidade, onde a pessoa se especializa em uma área do conhecimento.</w:t>
      </w:r>
    </w:p>
    <w:p w14:paraId="42DDE1DF" w14:textId="77777777" w:rsidR="00D16019" w:rsidRDefault="00000000">
      <w:pPr>
        <w:spacing w:before="60" w:after="220" w:line="276" w:lineRule="auto"/>
        <w:jc w:val="both"/>
      </w:pPr>
      <w:r>
        <w:t xml:space="preserve">Campo Grande concentra a maior oferta de educação superior de Mato Grosso do Sul, com a Universidade Federal de Mato Grosso do Sul, a Universidade Estadual de Mato Grosso do Sul, a Universidade Católica Dom Bosco, o Instituto Federal e instituições privadas, incluindo cursos de graduação e pós-graduação em todas as profissões da saúde. A presença dessas instituições sustenta a formação da força de trabalho do SUS municipal (E2-F16) e a capacidade de pesquisa local (E4-F06). O acesso de estudantes negros, indígenas e de baixa renda depende das políticas de ação afirmativa, das bolsas (E5-F11) e das condições </w:t>
      </w:r>
      <w:r>
        <w:lastRenderedPageBreak/>
        <w:t>de permanência. Os dados de matrícula por cor ou raça e origem escolar, disponíveis no Censo da Educação Superior do INEP, devem ser incorporados ao diagnóstico. O fator articula-se a E5-F11 e E6-F04, e a extensão universitária é via de articulação com os territórios.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0F238D9E"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553C7B"/>
            <w:tcMar>
              <w:top w:w="70" w:type="dxa"/>
              <w:left w:w="120" w:type="dxa"/>
              <w:bottom w:w="70" w:type="dxa"/>
              <w:right w:w="120" w:type="dxa"/>
            </w:tcMar>
            <w:vAlign w:val="center"/>
          </w:tcPr>
          <w:p w14:paraId="552F10E9" w14:textId="77777777" w:rsidR="00D16019" w:rsidRDefault="00000000">
            <w:pPr>
              <w:keepNext/>
              <w:spacing w:before="10" w:after="10"/>
              <w:jc w:val="center"/>
            </w:pPr>
            <w:r>
              <w:rPr>
                <w:b/>
                <w:bCs/>
                <w:color w:val="FFFFFF"/>
              </w:rPr>
              <w:t>E5-F08</w:t>
            </w:r>
          </w:p>
        </w:tc>
        <w:tc>
          <w:tcPr>
            <w:tcW w:w="7054"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09A89FE0" w14:textId="77777777" w:rsidR="00D16019" w:rsidRDefault="00000000">
            <w:pPr>
              <w:keepNext/>
              <w:spacing w:before="10" w:after="10"/>
            </w:pPr>
            <w:r>
              <w:rPr>
                <w:b/>
                <w:bCs/>
                <w:color w:val="553C7B"/>
                <w:sz w:val="24"/>
                <w:szCs w:val="24"/>
              </w:rPr>
              <w:t>Educação pública</w:t>
            </w:r>
          </w:p>
        </w:tc>
        <w:tc>
          <w:tcPr>
            <w:tcW w:w="1300"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250A1710" w14:textId="77777777" w:rsidR="00D16019" w:rsidRDefault="00000000">
            <w:pPr>
              <w:keepNext/>
              <w:spacing w:before="10" w:after="10"/>
              <w:jc w:val="center"/>
            </w:pPr>
            <w:r>
              <w:rPr>
                <w:color w:val="553C7B"/>
                <w:sz w:val="20"/>
                <w:szCs w:val="20"/>
              </w:rPr>
              <w:t>ODS 4</w:t>
            </w:r>
          </w:p>
        </w:tc>
      </w:tr>
    </w:tbl>
    <w:p w14:paraId="61FCA0D7"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Escolas gratuitas mantidas pelo governo para que todos possam estudar sem pagar.</w:t>
      </w:r>
    </w:p>
    <w:p w14:paraId="33B34C05" w14:textId="77777777" w:rsidR="00D16019" w:rsidRDefault="00000000">
      <w:pPr>
        <w:spacing w:before="60" w:after="220" w:line="276" w:lineRule="auto"/>
        <w:jc w:val="both"/>
      </w:pPr>
      <w:r>
        <w:t>A rede pública de educação em Campo Grande compreende a Rede Municipal de Ensino, responsável pela educação infantil e pelo ensino fundamental, e a rede estadual, com predominância no ensino médio. A oferta de vagas em educação infantil é o ponto crítico nas regiões periféricas, com efeito direto sobre o trabalho das mulheres (E1-F07) e o cuidado infantil (E1-F01). O número de matrículas e de estabelecimentos por rede e etapa, disponível no Censo Escolar do INEP, e a demanda manifesta por vagas em creche, registrada pela Secretaria Municipal de Educação, devem compor a série do diagnóstico. O desempenho da rede municipal no IDEB melhorou nos anos iniciais, de 5,3 em 2023 para 5,7 na edição seguinte (Prefeitura com base no INEP). A escola pública é também equipamento de proteção social, alimentação e, potencialmente, abrigo em emergências (E5-F01). O fator articula-se a E5-F04 e E5-F12.</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589D432E"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553C7B"/>
            <w:tcMar>
              <w:top w:w="70" w:type="dxa"/>
              <w:left w:w="120" w:type="dxa"/>
              <w:bottom w:w="70" w:type="dxa"/>
              <w:right w:w="120" w:type="dxa"/>
            </w:tcMar>
            <w:vAlign w:val="center"/>
          </w:tcPr>
          <w:p w14:paraId="00783596" w14:textId="77777777" w:rsidR="00D16019" w:rsidRDefault="00000000">
            <w:pPr>
              <w:keepNext/>
              <w:spacing w:before="10" w:after="10"/>
              <w:jc w:val="center"/>
            </w:pPr>
            <w:r>
              <w:rPr>
                <w:b/>
                <w:bCs/>
                <w:color w:val="FFFFFF"/>
              </w:rPr>
              <w:t>E5-F09</w:t>
            </w:r>
          </w:p>
        </w:tc>
        <w:tc>
          <w:tcPr>
            <w:tcW w:w="7054"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1EAC5FD6" w14:textId="77777777" w:rsidR="00D16019" w:rsidRDefault="00000000">
            <w:pPr>
              <w:keepNext/>
              <w:spacing w:before="10" w:after="10"/>
            </w:pPr>
            <w:r>
              <w:rPr>
                <w:b/>
                <w:bCs/>
                <w:color w:val="553C7B"/>
                <w:sz w:val="24"/>
                <w:szCs w:val="24"/>
              </w:rPr>
              <w:t>Alfabetização – EJA</w:t>
            </w:r>
          </w:p>
        </w:tc>
        <w:tc>
          <w:tcPr>
            <w:tcW w:w="1300"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55E54BE4" w14:textId="77777777" w:rsidR="00D16019" w:rsidRDefault="00000000">
            <w:pPr>
              <w:keepNext/>
              <w:spacing w:before="10" w:after="10"/>
              <w:jc w:val="center"/>
            </w:pPr>
            <w:r>
              <w:rPr>
                <w:color w:val="553C7B"/>
                <w:sz w:val="20"/>
                <w:szCs w:val="20"/>
              </w:rPr>
              <w:t>ODS 4</w:t>
            </w:r>
          </w:p>
        </w:tc>
      </w:tr>
    </w:tbl>
    <w:p w14:paraId="242719AC"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Ensino para jovens e adultos que não puderam estudar ou aprender a ler e escrever quando eram crianças.</w:t>
      </w:r>
    </w:p>
    <w:p w14:paraId="0B10ACC9" w14:textId="77777777" w:rsidR="00D16019" w:rsidRDefault="00000000">
      <w:pPr>
        <w:spacing w:before="60" w:after="220" w:line="276" w:lineRule="auto"/>
        <w:jc w:val="both"/>
      </w:pPr>
      <w:r>
        <w:t>A Educação de Jovens e Adultos em Campo Grande é ofertada pelas redes municipal e estadual e atende trabalhadores, mulheres que interromperam os estudos por responsabilidades de cuidado, pessoas idosas e migrantes. A taxa de analfabetismo da população de 15 anos ou mais, disponível no Censo 2022 com recorte municipal, deve ser extraída para dimensionar a demanda potencial, não sistematizada nesta versão. Entre os indígenas residentes na capital, 95% eram alfabetizados segundo o Censo 2022 (IBGE, escala municipal). O analfabetismo funcional limita o acesso a serviços digitalizados, a compreensão de prescrições e orientações de saúde e a participação em espaços de decisão. O fator articula-se a E5-F21, E2-F13 e E6-F07, e a metodologia freireana dos Círculos de Cultura da PICAPS tem afinidade direta com a alfabetização popular, o que permite integrar formação de pesquisadores populares e elevação de escolaridade.</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0A2CD466"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553C7B"/>
            <w:tcMar>
              <w:top w:w="70" w:type="dxa"/>
              <w:left w:w="120" w:type="dxa"/>
              <w:bottom w:w="70" w:type="dxa"/>
              <w:right w:w="120" w:type="dxa"/>
            </w:tcMar>
            <w:vAlign w:val="center"/>
          </w:tcPr>
          <w:p w14:paraId="19C15192" w14:textId="77777777" w:rsidR="00D16019" w:rsidRDefault="00000000">
            <w:pPr>
              <w:keepNext/>
              <w:spacing w:before="10" w:after="10"/>
              <w:jc w:val="center"/>
            </w:pPr>
            <w:r>
              <w:rPr>
                <w:b/>
                <w:bCs/>
                <w:color w:val="FFFFFF"/>
              </w:rPr>
              <w:t>E5-F10</w:t>
            </w:r>
          </w:p>
        </w:tc>
        <w:tc>
          <w:tcPr>
            <w:tcW w:w="7054"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28630A82" w14:textId="77777777" w:rsidR="00D16019" w:rsidRDefault="00000000">
            <w:pPr>
              <w:keepNext/>
              <w:spacing w:before="10" w:after="10"/>
            </w:pPr>
            <w:r>
              <w:rPr>
                <w:b/>
                <w:bCs/>
                <w:color w:val="553C7B"/>
                <w:sz w:val="24"/>
                <w:szCs w:val="24"/>
              </w:rPr>
              <w:t>Formação em tecnologias sociais</w:t>
            </w:r>
          </w:p>
        </w:tc>
        <w:tc>
          <w:tcPr>
            <w:tcW w:w="1300"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7A96E71A" w14:textId="77777777" w:rsidR="00D16019" w:rsidRDefault="00000000">
            <w:pPr>
              <w:keepNext/>
              <w:spacing w:before="10" w:after="10"/>
              <w:jc w:val="center"/>
            </w:pPr>
            <w:r>
              <w:rPr>
                <w:color w:val="553C7B"/>
                <w:sz w:val="20"/>
                <w:szCs w:val="20"/>
              </w:rPr>
              <w:t>ODS 4</w:t>
            </w:r>
          </w:p>
        </w:tc>
      </w:tr>
    </w:tbl>
    <w:p w14:paraId="74DCFB95"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Cursos que ensinam a criar e usar soluções simples e baratas para os problemas da comunidade.</w:t>
      </w:r>
    </w:p>
    <w:p w14:paraId="5CAC7B9D" w14:textId="76CAA237" w:rsidR="00D16019" w:rsidRDefault="00000000">
      <w:pPr>
        <w:spacing w:before="60" w:after="220" w:line="276" w:lineRule="auto"/>
        <w:jc w:val="both"/>
      </w:pPr>
      <w:r>
        <w:t xml:space="preserve">A formação em tecnologias sociais em Campo Grande ocorre principalmente em programas de extensão universitária, organizações da sociedade civil e movimentos sociais rurais, sem oferta regular na rede pública de educação profissional. A formação de moradores para construir e manter cisternas, sistemas de </w:t>
      </w:r>
      <w:proofErr w:type="spellStart"/>
      <w:r>
        <w:t>reúso</w:t>
      </w:r>
      <w:proofErr w:type="spellEnd"/>
      <w:r>
        <w:t>, hortas, biodigestores, coberturas mais resistentes e soluções de drenagem de baixo custo amplia a autonomia comunitária e gera oportunidades de trabalho. A experiência dos eventos extremos de 2025 e 2026 confere urgência à formação em técnicas de adaptação e reconstrução (E4-F10). O fator articula-se a E4-F05, E4-F24, E1-F09 e E5-F16, e o plano popular pode associar a formação de pesquisadores populares à formação técnica em tecnologias sociais prioritárias para cada território.</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146C1317"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553C7B"/>
            <w:tcMar>
              <w:top w:w="70" w:type="dxa"/>
              <w:left w:w="120" w:type="dxa"/>
              <w:bottom w:w="70" w:type="dxa"/>
              <w:right w:w="120" w:type="dxa"/>
            </w:tcMar>
            <w:vAlign w:val="center"/>
          </w:tcPr>
          <w:p w14:paraId="600F12DF" w14:textId="77777777" w:rsidR="00D16019" w:rsidRDefault="00000000">
            <w:pPr>
              <w:keepNext/>
              <w:spacing w:before="10" w:after="10"/>
              <w:jc w:val="center"/>
            </w:pPr>
            <w:r>
              <w:rPr>
                <w:b/>
                <w:bCs/>
                <w:color w:val="FFFFFF"/>
              </w:rPr>
              <w:lastRenderedPageBreak/>
              <w:t>E5-F11</w:t>
            </w:r>
          </w:p>
        </w:tc>
        <w:tc>
          <w:tcPr>
            <w:tcW w:w="7054"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3D53D0E0" w14:textId="77777777" w:rsidR="00D16019" w:rsidRDefault="00000000">
            <w:pPr>
              <w:keepNext/>
              <w:spacing w:before="10" w:after="10"/>
            </w:pPr>
            <w:r>
              <w:rPr>
                <w:b/>
                <w:bCs/>
                <w:color w:val="553C7B"/>
                <w:sz w:val="24"/>
                <w:szCs w:val="24"/>
              </w:rPr>
              <w:t>Bolsas de estudo</w:t>
            </w:r>
          </w:p>
        </w:tc>
        <w:tc>
          <w:tcPr>
            <w:tcW w:w="1300"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5380EF60" w14:textId="77777777" w:rsidR="00D16019" w:rsidRDefault="00000000">
            <w:pPr>
              <w:keepNext/>
              <w:spacing w:before="10" w:after="10"/>
              <w:jc w:val="center"/>
            </w:pPr>
            <w:r>
              <w:rPr>
                <w:color w:val="553C7B"/>
                <w:sz w:val="20"/>
                <w:szCs w:val="20"/>
              </w:rPr>
              <w:t>ODS 4</w:t>
            </w:r>
          </w:p>
        </w:tc>
      </w:tr>
    </w:tbl>
    <w:p w14:paraId="11250B56"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Ajuda em dinheiro para que o estudante consiga pagar o curso ou se manter estudando.</w:t>
      </w:r>
    </w:p>
    <w:p w14:paraId="55309BA3" w14:textId="77777777" w:rsidR="00D16019" w:rsidRDefault="00000000">
      <w:pPr>
        <w:spacing w:before="60" w:after="220" w:line="276" w:lineRule="auto"/>
        <w:jc w:val="both"/>
      </w:pPr>
      <w:r>
        <w:t>As bolsas de estudo acessíveis a estudantes de Campo Grande incluem o Programa Universidade para Todos e o Fundo de Financiamento Estudantil para o ensino superior privado, as bolsas de permanência das instituições públicas, inclusive a Bolsa Permanência para estudantes indígenas e quilombolas, e o programa federal de incentivo à permanência no ensino médio. O número de bolsistas residentes no município por programa, disponível nos sistemas do Ministério da Educação, deve ser incorporado ao diagnóstico, não sistematizado nesta versão. A permanência estudantil depende não apenas do custeio da mensalidade, mas de transporte, alimentação e moradia, especialmente para estudantes indígenas e de baixa renda. O fator articula-se a E5-F06, E5-F05 e E3-F18, e seu efeito sobre a redução de desigualdades raciais na escolarização superior é indicador relevante para o planejamento.</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17DE0825"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553C7B"/>
            <w:tcMar>
              <w:top w:w="70" w:type="dxa"/>
              <w:left w:w="120" w:type="dxa"/>
              <w:bottom w:w="70" w:type="dxa"/>
              <w:right w:w="120" w:type="dxa"/>
            </w:tcMar>
            <w:vAlign w:val="center"/>
          </w:tcPr>
          <w:p w14:paraId="44CF9B4D" w14:textId="77777777" w:rsidR="00D16019" w:rsidRDefault="00000000">
            <w:pPr>
              <w:keepNext/>
              <w:spacing w:before="10" w:after="10"/>
              <w:jc w:val="center"/>
            </w:pPr>
            <w:r>
              <w:rPr>
                <w:b/>
                <w:bCs/>
                <w:color w:val="FFFFFF"/>
              </w:rPr>
              <w:t>E5-F12</w:t>
            </w:r>
          </w:p>
        </w:tc>
        <w:tc>
          <w:tcPr>
            <w:tcW w:w="7054"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6B859FB4" w14:textId="77777777" w:rsidR="00D16019" w:rsidRDefault="00000000">
            <w:pPr>
              <w:keepNext/>
              <w:spacing w:before="10" w:after="10"/>
            </w:pPr>
            <w:r>
              <w:rPr>
                <w:b/>
                <w:bCs/>
                <w:color w:val="553C7B"/>
                <w:sz w:val="24"/>
                <w:szCs w:val="24"/>
              </w:rPr>
              <w:t>Professores qualificados</w:t>
            </w:r>
          </w:p>
        </w:tc>
        <w:tc>
          <w:tcPr>
            <w:tcW w:w="1300"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004CA837" w14:textId="77777777" w:rsidR="00D16019" w:rsidRDefault="00000000">
            <w:pPr>
              <w:keepNext/>
              <w:spacing w:before="10" w:after="10"/>
              <w:jc w:val="center"/>
            </w:pPr>
            <w:r>
              <w:rPr>
                <w:color w:val="553C7B"/>
                <w:sz w:val="20"/>
                <w:szCs w:val="20"/>
              </w:rPr>
              <w:t>ODS 4</w:t>
            </w:r>
          </w:p>
        </w:tc>
      </w:tr>
    </w:tbl>
    <w:p w14:paraId="3BEB35D4"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Garantir que quem ensina nas escolas tenha o estudo e o preparo necessário para dar uma boa aula.</w:t>
      </w:r>
    </w:p>
    <w:p w14:paraId="497CEBAD" w14:textId="77777777" w:rsidR="00D16019" w:rsidRDefault="00000000">
      <w:pPr>
        <w:spacing w:before="60" w:after="220" w:line="276" w:lineRule="auto"/>
        <w:jc w:val="both"/>
      </w:pPr>
      <w:r>
        <w:t>A qualificação dos professores em Campo Grande é medida pelo indicador de adequação da formação docente do INEP, que expressa a proporção de disciplinas ministradas por professores com formação específica, e pela proporção de docentes com pós-graduação, dados disponíveis por escola e rede no Censo Escolar e não sistematizados nesta versão. A rotatividade docente nas escolas das regiões periféricas, associada à distância, às condições de trabalho e à insegurança (E2-F27), compromete a continuidade pedagógica. A formação dos professores para a educação para as relações étnico-raciais, a educação escolar indígena e a educação em riscos e clima (E4-F11) é dimensão qualitativa do fator. A melhora do IDEB dos anos iniciais na rede municipal, de 5,3 em 2023 para 5,7 na edição seguinte (Prefeitura com base no INEP), sugere efeito de investimentos pedagógicos. O fator articula-se a E5-F04 e E5-F08.</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44A7F813"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553C7B"/>
            <w:tcMar>
              <w:top w:w="70" w:type="dxa"/>
              <w:left w:w="120" w:type="dxa"/>
              <w:bottom w:w="70" w:type="dxa"/>
              <w:right w:w="120" w:type="dxa"/>
            </w:tcMar>
            <w:vAlign w:val="center"/>
          </w:tcPr>
          <w:p w14:paraId="586A19D9" w14:textId="77777777" w:rsidR="00D16019" w:rsidRDefault="00000000">
            <w:pPr>
              <w:keepNext/>
              <w:spacing w:before="10" w:after="10"/>
              <w:jc w:val="center"/>
            </w:pPr>
            <w:r>
              <w:rPr>
                <w:b/>
                <w:bCs/>
                <w:color w:val="FFFFFF"/>
              </w:rPr>
              <w:t>E5-F13</w:t>
            </w:r>
          </w:p>
        </w:tc>
        <w:tc>
          <w:tcPr>
            <w:tcW w:w="7054"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796E770A" w14:textId="77777777" w:rsidR="00D16019" w:rsidRDefault="00000000">
            <w:pPr>
              <w:keepNext/>
              <w:spacing w:before="10" w:after="10"/>
            </w:pPr>
            <w:r>
              <w:rPr>
                <w:b/>
                <w:bCs/>
                <w:color w:val="553C7B"/>
                <w:sz w:val="24"/>
                <w:szCs w:val="24"/>
              </w:rPr>
              <w:t>Acesso aos serviços de energia</w:t>
            </w:r>
          </w:p>
        </w:tc>
        <w:tc>
          <w:tcPr>
            <w:tcW w:w="1300"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1DD9B957" w14:textId="77777777" w:rsidR="00D16019" w:rsidRDefault="00000000">
            <w:pPr>
              <w:keepNext/>
              <w:spacing w:before="10" w:after="10"/>
              <w:jc w:val="center"/>
            </w:pPr>
            <w:r>
              <w:rPr>
                <w:color w:val="553C7B"/>
                <w:sz w:val="20"/>
                <w:szCs w:val="20"/>
              </w:rPr>
              <w:t>ODS 7</w:t>
            </w:r>
          </w:p>
        </w:tc>
      </w:tr>
    </w:tbl>
    <w:p w14:paraId="7AE4D6F4"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 xml:space="preserve">Garantir que todas as pessoas, inclusive nas áreas rurais ou isoladas, tenham eletricidade em casa, na escola, no </w:t>
      </w:r>
      <w:proofErr w:type="gramStart"/>
      <w:r>
        <w:rPr>
          <w:i/>
          <w:iCs/>
          <w:color w:val="4A5568"/>
          <w:sz w:val="21"/>
          <w:szCs w:val="21"/>
        </w:rPr>
        <w:t>hospital, etc.</w:t>
      </w:r>
      <w:proofErr w:type="gramEnd"/>
    </w:p>
    <w:p w14:paraId="3817379E" w14:textId="77777777" w:rsidR="00D16019" w:rsidRDefault="00000000">
      <w:pPr>
        <w:spacing w:before="60" w:after="220" w:line="276" w:lineRule="auto"/>
        <w:jc w:val="both"/>
      </w:pPr>
      <w:r>
        <w:t>O acesso à energia elétrica em Campo Grande é praticamente universal nas áreas urbanas regularizadas, sob concessão da Energisa, com cobertura residual a completar na zona rural e em ocupações irregulares e aldeias urbanas, onde a ausência de titulação dificulta ligações formais. A fragilidade principal é a continuidade: o vendaval de 10 de setembro de 2026 deixou mais de 300 mil pessoas sem energia, cerca de um terço da população estimada de 970.843 habitantes (IBGE, 2026), com 82% dos clientes restabelecidos até a tarde do dia seguinte segundo a concessionária. Os indicadores de continuidade do fornecimento por conjunto elétrico, publicados pela ANEEL, devem ser incorporados ao diagnóstico. A interrupção afeta conservação de medicamentos e alimentos, equipamentos de saúde domiciliares e abastecimento de água bombeada. O fator articula-se a E2-F31, E5-F14, E3-F09 e E1-F25.</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4F9C18DB"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553C7B"/>
            <w:tcMar>
              <w:top w:w="70" w:type="dxa"/>
              <w:left w:w="120" w:type="dxa"/>
              <w:bottom w:w="70" w:type="dxa"/>
              <w:right w:w="120" w:type="dxa"/>
            </w:tcMar>
            <w:vAlign w:val="center"/>
          </w:tcPr>
          <w:p w14:paraId="6DBD6E4E" w14:textId="77777777" w:rsidR="00D16019" w:rsidRDefault="00000000">
            <w:pPr>
              <w:keepNext/>
              <w:spacing w:before="10" w:after="10"/>
              <w:jc w:val="center"/>
            </w:pPr>
            <w:r>
              <w:rPr>
                <w:b/>
                <w:bCs/>
                <w:color w:val="FFFFFF"/>
              </w:rPr>
              <w:t>E5-F14</w:t>
            </w:r>
          </w:p>
        </w:tc>
        <w:tc>
          <w:tcPr>
            <w:tcW w:w="7054"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173D923C" w14:textId="77777777" w:rsidR="00D16019" w:rsidRDefault="00000000">
            <w:pPr>
              <w:keepNext/>
              <w:spacing w:before="10" w:after="10"/>
            </w:pPr>
            <w:r>
              <w:rPr>
                <w:b/>
                <w:bCs/>
                <w:color w:val="553C7B"/>
                <w:sz w:val="24"/>
                <w:szCs w:val="24"/>
              </w:rPr>
              <w:t>Serviços de energia modernos e sustentáveis</w:t>
            </w:r>
          </w:p>
        </w:tc>
        <w:tc>
          <w:tcPr>
            <w:tcW w:w="1300"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301FD0DA" w14:textId="77777777" w:rsidR="00D16019" w:rsidRDefault="00000000">
            <w:pPr>
              <w:keepNext/>
              <w:spacing w:before="10" w:after="10"/>
              <w:jc w:val="center"/>
            </w:pPr>
            <w:r>
              <w:rPr>
                <w:color w:val="553C7B"/>
                <w:sz w:val="20"/>
                <w:szCs w:val="20"/>
              </w:rPr>
              <w:t>ODS 7</w:t>
            </w:r>
          </w:p>
        </w:tc>
      </w:tr>
    </w:tbl>
    <w:p w14:paraId="32726559"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Ter luz em casa que venha de fontes que não agridem a natureza e com um preço que todos consigam pagar.</w:t>
      </w:r>
    </w:p>
    <w:p w14:paraId="69A6CE5D" w14:textId="7A688716" w:rsidR="00D16019" w:rsidRDefault="00000000">
      <w:pPr>
        <w:spacing w:before="60" w:after="220" w:line="276" w:lineRule="auto"/>
        <w:jc w:val="both"/>
      </w:pPr>
      <w:r>
        <w:t xml:space="preserve">A geração de energia solar distribuída cresce em Campo Grande, favorecida pela alta irradiação da região, mas concentra-se em domicílios e empresas com capacidade de investimento. A tarifa social de energia elétrica, destinada a famílias do CadÚnico, é o principal instrumento de acessibilidade econômica, e sua cobertura no município, disponível na ANEEL e no MDS, deve ser verificada. A instalação de sistemas fotovoltaicos com armazenamento em unidades de saúde, escolas e abrigos aumentaria a resiliência desses </w:t>
      </w:r>
      <w:r>
        <w:lastRenderedPageBreak/>
        <w:t xml:space="preserve">equipamentos em interrupções como a de setembro de 2026. Programas de geração compartilhada em conjuntos habitacionais e comunidades poderiam reduzir o peso da conta de energia no orçamento das famílias de menor renda. </w:t>
      </w:r>
      <w:r w:rsidRPr="00C610F8">
        <w:t>O fator articula-se a E4-F08, E4-F24 e E5-F13</w:t>
      </w:r>
      <w:r w:rsidR="00C610F8">
        <w:t>.</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61F7AE00"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553C7B"/>
            <w:tcMar>
              <w:top w:w="70" w:type="dxa"/>
              <w:left w:w="120" w:type="dxa"/>
              <w:bottom w:w="70" w:type="dxa"/>
              <w:right w:w="120" w:type="dxa"/>
            </w:tcMar>
            <w:vAlign w:val="center"/>
          </w:tcPr>
          <w:p w14:paraId="3F47A71E" w14:textId="77777777" w:rsidR="00D16019" w:rsidRDefault="00000000">
            <w:pPr>
              <w:keepNext/>
              <w:spacing w:before="10" w:after="10"/>
              <w:jc w:val="center"/>
            </w:pPr>
            <w:r>
              <w:rPr>
                <w:b/>
                <w:bCs/>
                <w:color w:val="FFFFFF"/>
              </w:rPr>
              <w:t>E5-F15</w:t>
            </w:r>
          </w:p>
        </w:tc>
        <w:tc>
          <w:tcPr>
            <w:tcW w:w="7054"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3AE301DD" w14:textId="77777777" w:rsidR="00D16019" w:rsidRDefault="00000000">
            <w:pPr>
              <w:keepNext/>
              <w:spacing w:before="10" w:after="10"/>
            </w:pPr>
            <w:r>
              <w:rPr>
                <w:b/>
                <w:bCs/>
                <w:color w:val="553C7B"/>
                <w:sz w:val="24"/>
                <w:szCs w:val="24"/>
              </w:rPr>
              <w:t>Empreendimento com elevado risco de desastres</w:t>
            </w:r>
          </w:p>
        </w:tc>
        <w:tc>
          <w:tcPr>
            <w:tcW w:w="1300"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31CB5E91" w14:textId="77777777" w:rsidR="00D16019" w:rsidRDefault="00000000">
            <w:pPr>
              <w:keepNext/>
              <w:spacing w:before="10" w:after="10"/>
              <w:jc w:val="center"/>
            </w:pPr>
            <w:r>
              <w:rPr>
                <w:color w:val="553C7B"/>
                <w:sz w:val="20"/>
                <w:szCs w:val="20"/>
              </w:rPr>
              <w:t>ODS 8</w:t>
            </w:r>
          </w:p>
        </w:tc>
      </w:tr>
    </w:tbl>
    <w:p w14:paraId="75DB2138"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Fábricas, barragens ou outras obras que podem causar acidentes graves para as pessoas e a natureza ao redor.</w:t>
      </w:r>
    </w:p>
    <w:p w14:paraId="72965EC5" w14:textId="77777777" w:rsidR="00D16019" w:rsidRDefault="00000000">
      <w:pPr>
        <w:spacing w:before="60" w:after="220" w:line="276" w:lineRule="auto"/>
        <w:jc w:val="both"/>
      </w:pPr>
      <w:r>
        <w:t>Os empreendimentos com elevado risco de desastres em Campo Grande incluem barragens urbanas, terminais e depósitos de combustíveis e produtos químicos, plantas industriais e o tráfego de cargas perigosas nas rodovias (E5-F03). A barragem do antigo Clube Atlântico, de responsabilidade privada, foi classificada com risco alto e dano potencial associado alto no Relatório de Segurança de Barragens 2024-2025 da ANA, com cerca de 100 moradores a jusante, e é objeto de inquérito civil da 26ª Promotoria de Justiça do Meio Ambiente; o Lago do Amor, em área densamente ocupada, passou a ter prioridade na gestão de segurança. O Sistema Nacional de Informações sobre Segurança de Barragens da ANA é a fonte para o inventário municipal. O fator articula-se a E2-F33, E2-F37, E2-F26 e E4-F17, e as populações a jusante devem ser incluídas nos planos de alerta e evacuação.</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45792FA3"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553C7B"/>
            <w:tcMar>
              <w:top w:w="70" w:type="dxa"/>
              <w:left w:w="120" w:type="dxa"/>
              <w:bottom w:w="70" w:type="dxa"/>
              <w:right w:w="120" w:type="dxa"/>
            </w:tcMar>
            <w:vAlign w:val="center"/>
          </w:tcPr>
          <w:p w14:paraId="0DBEAE78" w14:textId="77777777" w:rsidR="00D16019" w:rsidRDefault="00000000">
            <w:pPr>
              <w:keepNext/>
              <w:spacing w:before="10" w:after="10"/>
              <w:jc w:val="center"/>
            </w:pPr>
            <w:r>
              <w:rPr>
                <w:b/>
                <w:bCs/>
                <w:color w:val="FFFFFF"/>
              </w:rPr>
              <w:t>E5-F16</w:t>
            </w:r>
          </w:p>
        </w:tc>
        <w:tc>
          <w:tcPr>
            <w:tcW w:w="7054"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6737F1A8" w14:textId="77777777" w:rsidR="00D16019" w:rsidRDefault="00000000">
            <w:pPr>
              <w:keepNext/>
              <w:spacing w:before="10" w:after="10"/>
            </w:pPr>
            <w:r>
              <w:rPr>
                <w:b/>
                <w:bCs/>
                <w:color w:val="553C7B"/>
                <w:sz w:val="24"/>
                <w:szCs w:val="24"/>
              </w:rPr>
              <w:t>Educação para trabalho</w:t>
            </w:r>
          </w:p>
        </w:tc>
        <w:tc>
          <w:tcPr>
            <w:tcW w:w="1300"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683E9F7B" w14:textId="77777777" w:rsidR="00D16019" w:rsidRDefault="00000000">
            <w:pPr>
              <w:keepNext/>
              <w:spacing w:before="10" w:after="10"/>
              <w:jc w:val="center"/>
            </w:pPr>
            <w:r>
              <w:rPr>
                <w:color w:val="553C7B"/>
                <w:sz w:val="20"/>
                <w:szCs w:val="20"/>
              </w:rPr>
              <w:t>ODS 8</w:t>
            </w:r>
          </w:p>
        </w:tc>
      </w:tr>
    </w:tbl>
    <w:p w14:paraId="55256704"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Preparar as pessoas com conhecimentos para conseguir um emprego.</w:t>
      </w:r>
    </w:p>
    <w:p w14:paraId="16EDE663" w14:textId="77777777" w:rsidR="00D16019" w:rsidRDefault="00000000">
      <w:pPr>
        <w:spacing w:before="60" w:after="220" w:line="276" w:lineRule="auto"/>
        <w:jc w:val="both"/>
      </w:pPr>
      <w:r>
        <w:t>A educação para o trabalho em Campo Grande abrange a intermediação de mão de obra e a qualificação realizadas pela Fundação Social do Trabalho e pelo sistema público de emprego, os cursos do Sistema S e os programas de aprendizagem para jovens. A distância entre o perfil das vagas criadas, concentradas em serviços e comércio, e a qualificação da população das regiões periféricas reduz a efetividade da intermediação. Os dados de inscritos, encaminhados e colocados pelo sistema público de emprego no município devem ser incorporados ao diagnóstico, não sistematizados nesta versão. A formação para o trabalho deve incluir direitos trabalhistas, saúde do trabalhador e economia solidária, ampliando a autonomia dos trabalhadores informais (E1-F28). O fator articula-se a E5-F05, E1-F12, E1-F13 e E5-F10, e o plano popular pode propor formações vinculadas às demandas identificadas na cartografia social.</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4FB1D2C7"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553C7B"/>
            <w:tcMar>
              <w:top w:w="70" w:type="dxa"/>
              <w:left w:w="120" w:type="dxa"/>
              <w:bottom w:w="70" w:type="dxa"/>
              <w:right w:w="120" w:type="dxa"/>
            </w:tcMar>
            <w:vAlign w:val="center"/>
          </w:tcPr>
          <w:p w14:paraId="3FAC26F3" w14:textId="77777777" w:rsidR="00D16019" w:rsidRDefault="00000000">
            <w:pPr>
              <w:keepNext/>
              <w:spacing w:before="10" w:after="10"/>
              <w:jc w:val="center"/>
            </w:pPr>
            <w:r>
              <w:rPr>
                <w:b/>
                <w:bCs/>
                <w:color w:val="FFFFFF"/>
              </w:rPr>
              <w:t>E5-F17</w:t>
            </w:r>
          </w:p>
        </w:tc>
        <w:tc>
          <w:tcPr>
            <w:tcW w:w="7054"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4A5F20F4" w14:textId="77777777" w:rsidR="00D16019" w:rsidRDefault="00000000">
            <w:pPr>
              <w:keepNext/>
              <w:spacing w:before="10" w:after="10"/>
            </w:pPr>
            <w:r>
              <w:rPr>
                <w:b/>
                <w:bCs/>
                <w:color w:val="553C7B"/>
                <w:sz w:val="24"/>
                <w:szCs w:val="24"/>
              </w:rPr>
              <w:t>Promoção de cultura</w:t>
            </w:r>
          </w:p>
        </w:tc>
        <w:tc>
          <w:tcPr>
            <w:tcW w:w="1300"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3E8000F7" w14:textId="77777777" w:rsidR="00D16019" w:rsidRDefault="00000000">
            <w:pPr>
              <w:keepNext/>
              <w:spacing w:before="10" w:after="10"/>
              <w:jc w:val="center"/>
            </w:pPr>
            <w:r>
              <w:rPr>
                <w:color w:val="553C7B"/>
                <w:sz w:val="20"/>
                <w:szCs w:val="20"/>
              </w:rPr>
              <w:t>ODS 8</w:t>
            </w:r>
          </w:p>
        </w:tc>
      </w:tr>
    </w:tbl>
    <w:p w14:paraId="73F00E55"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Valorização política e comunitária das manifestações culturais como música, arte e tradição.</w:t>
      </w:r>
    </w:p>
    <w:p w14:paraId="5B62BE40" w14:textId="77777777" w:rsidR="00D16019" w:rsidRDefault="00000000">
      <w:pPr>
        <w:spacing w:before="60" w:after="220" w:line="276" w:lineRule="auto"/>
        <w:jc w:val="both"/>
      </w:pPr>
      <w:r>
        <w:t>A promoção da cultura em Campo Grande é conduzida pela fundação municipal de cultura, pela fundação estadual e por coletivos culturais, com equipamentos concentrados na região central, como teatros, a Plataforma Cultural e o Armazém Cultural na Esplanada Ferroviária, este destelhado no vendaval de setembro de 2026. A política cultural tem baixa capilaridade nas regiões periféricas e reconhecimento limitado das expressões culturais indígenas, quilombolas e populares. O orçamento municipal da função cultura, consultável no portal de transparência, e o número de projetos apoiados por região devem ser incorporados ao diagnóstico. A cultura é determinante de saúde mental, coesão comunitária e identidade, e sua ausência agrava o isolamento de jovens e idosos. O fator articula-se a E5-F18, E5-F29, E3-F18 e E5-F25, e o plano popular pode priorizar o apoio a grupos culturais já atuantes nos territórios.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34B28577"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553C7B"/>
            <w:tcMar>
              <w:top w:w="70" w:type="dxa"/>
              <w:left w:w="120" w:type="dxa"/>
              <w:bottom w:w="70" w:type="dxa"/>
              <w:right w:w="120" w:type="dxa"/>
            </w:tcMar>
            <w:vAlign w:val="center"/>
          </w:tcPr>
          <w:p w14:paraId="76298253" w14:textId="77777777" w:rsidR="00D16019" w:rsidRDefault="00000000">
            <w:pPr>
              <w:keepNext/>
              <w:spacing w:before="10" w:after="10"/>
              <w:jc w:val="center"/>
            </w:pPr>
            <w:r>
              <w:rPr>
                <w:b/>
                <w:bCs/>
                <w:color w:val="FFFFFF"/>
              </w:rPr>
              <w:t>E5-F18</w:t>
            </w:r>
          </w:p>
        </w:tc>
        <w:tc>
          <w:tcPr>
            <w:tcW w:w="7054"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3179ABA1" w14:textId="77777777" w:rsidR="00D16019" w:rsidRDefault="00000000">
            <w:pPr>
              <w:keepNext/>
              <w:spacing w:before="10" w:after="10"/>
            </w:pPr>
            <w:r>
              <w:rPr>
                <w:b/>
                <w:bCs/>
                <w:color w:val="553C7B"/>
                <w:sz w:val="24"/>
                <w:szCs w:val="24"/>
              </w:rPr>
              <w:t>Acesso à cultura</w:t>
            </w:r>
          </w:p>
        </w:tc>
        <w:tc>
          <w:tcPr>
            <w:tcW w:w="1300"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23BA1489" w14:textId="77777777" w:rsidR="00D16019" w:rsidRDefault="00000000">
            <w:pPr>
              <w:keepNext/>
              <w:spacing w:before="10" w:after="10"/>
              <w:jc w:val="center"/>
            </w:pPr>
            <w:r>
              <w:rPr>
                <w:color w:val="553C7B"/>
                <w:sz w:val="20"/>
                <w:szCs w:val="20"/>
              </w:rPr>
              <w:t>ODS 8</w:t>
            </w:r>
          </w:p>
        </w:tc>
      </w:tr>
    </w:tbl>
    <w:p w14:paraId="3FB6FAD3"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Poder participar de festas, shows, teatro, museus e outras atividades culturais, perto de casa e sem custar caro.</w:t>
      </w:r>
    </w:p>
    <w:p w14:paraId="69C14D43" w14:textId="77777777" w:rsidR="00D16019" w:rsidRDefault="00000000">
      <w:pPr>
        <w:spacing w:before="60" w:after="220" w:line="276" w:lineRule="auto"/>
        <w:jc w:val="both"/>
      </w:pPr>
      <w:r>
        <w:t xml:space="preserve">Campo Grande obteve o pior índice cultural entre as capitais brasileiras em pesquisa do Ministério da Cultura divulgada em agosto de 2025, com posições inferiores em 14 indicadores de acesso e consumo </w:t>
      </w:r>
      <w:r>
        <w:lastRenderedPageBreak/>
        <w:t>cultural, incluindo livros, cinema, espetáculos musicais e festas populares (G1, 2025, escala das capitais). O resultado expressa a concentração de equipamentos na região central, o custo de acesso, a oferta reduzida de programação gratuita nos bairros e a baixa integração entre cultura, educação e assistência. O acesso à cultura é marcadamente desigual por renda e território, padrão que deve ser verificado pela cartografia social. O fator articula-se a E5-F17, E5-F25, E5-F27 e E5-F28, e o plano popular pode propor circuitos culturais descentralizados, uso das escolas nos fins de semana e apoio a festas e expressões comunitárias, com efeitos sobre convivência, saúde mental e prevenção da violência.</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1019F239"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553C7B"/>
            <w:tcMar>
              <w:top w:w="70" w:type="dxa"/>
              <w:left w:w="120" w:type="dxa"/>
              <w:bottom w:w="70" w:type="dxa"/>
              <w:right w:w="120" w:type="dxa"/>
            </w:tcMar>
            <w:vAlign w:val="center"/>
          </w:tcPr>
          <w:p w14:paraId="37BDF0A9" w14:textId="77777777" w:rsidR="00D16019" w:rsidRDefault="00000000">
            <w:pPr>
              <w:keepNext/>
              <w:spacing w:before="10" w:after="10"/>
              <w:jc w:val="center"/>
            </w:pPr>
            <w:r>
              <w:rPr>
                <w:b/>
                <w:bCs/>
                <w:color w:val="FFFFFF"/>
              </w:rPr>
              <w:t>E5-F19</w:t>
            </w:r>
          </w:p>
        </w:tc>
        <w:tc>
          <w:tcPr>
            <w:tcW w:w="7054"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0CC65DC3" w14:textId="77777777" w:rsidR="00D16019" w:rsidRDefault="00000000">
            <w:pPr>
              <w:keepNext/>
              <w:spacing w:before="10" w:after="10"/>
            </w:pPr>
            <w:r>
              <w:rPr>
                <w:b/>
                <w:bCs/>
                <w:color w:val="553C7B"/>
                <w:sz w:val="24"/>
                <w:szCs w:val="24"/>
              </w:rPr>
              <w:t>Sistema viário – vias municipais, estaduais e federais</w:t>
            </w:r>
          </w:p>
        </w:tc>
        <w:tc>
          <w:tcPr>
            <w:tcW w:w="1300"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3107B791" w14:textId="77777777" w:rsidR="00D16019" w:rsidRDefault="00000000">
            <w:pPr>
              <w:keepNext/>
              <w:spacing w:before="10" w:after="10"/>
              <w:jc w:val="center"/>
            </w:pPr>
            <w:r>
              <w:rPr>
                <w:color w:val="553C7B"/>
                <w:sz w:val="20"/>
                <w:szCs w:val="20"/>
              </w:rPr>
              <w:t>ODS 9</w:t>
            </w:r>
          </w:p>
        </w:tc>
      </w:tr>
    </w:tbl>
    <w:p w14:paraId="4E6E1F31"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Conjunto de ruas, estradas e rodovias que ligam cidades e regiões. Facilita o transporte de pessoas e produtos, impulsionando o comércio.</w:t>
      </w:r>
    </w:p>
    <w:p w14:paraId="71AF7443" w14:textId="77777777" w:rsidR="00D16019" w:rsidRDefault="00000000">
      <w:pPr>
        <w:spacing w:before="60" w:after="220" w:line="276" w:lineRule="auto"/>
        <w:jc w:val="both"/>
      </w:pPr>
      <w:r>
        <w:t>Campo Grande é entroncamento das rodovias federais BR-163, BR-262 e BR-060, com função logística regional, e possui malha viária urbana radial convergente para o centro, com avenidas estruturais em fundos de vale e deficiência de ligações perimetrais entre as regiões periféricas. Essa estrutura alonga os deslocamentos entre bairros, concentra o tráfego no centro e torna as avenidas de fundo de vale vulneráveis a enxurradas, como em abril de 2025. A extensão de vias pavimentadas por região e a proporção de domicílios em vias com pavimentação, calçada e drenagem, disponíveis no Censo 2022 (entorno dos domicílios), devem ser incorporadas ao diagnóstico, não sistematizadas nesta versão. O fator articula-se a E5-F02, E5-F23, E2-F11 e E2-F15, pois a acessibilidade viária determina o tempo de resposta do SAMU e o acesso aos serviços de saúde.</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1C259982"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553C7B"/>
            <w:tcMar>
              <w:top w:w="70" w:type="dxa"/>
              <w:left w:w="120" w:type="dxa"/>
              <w:bottom w:w="70" w:type="dxa"/>
              <w:right w:w="120" w:type="dxa"/>
            </w:tcMar>
            <w:vAlign w:val="center"/>
          </w:tcPr>
          <w:p w14:paraId="730C29E5" w14:textId="77777777" w:rsidR="00D16019" w:rsidRDefault="00000000">
            <w:pPr>
              <w:keepNext/>
              <w:spacing w:before="10" w:after="10"/>
              <w:jc w:val="center"/>
            </w:pPr>
            <w:r>
              <w:rPr>
                <w:b/>
                <w:bCs/>
                <w:color w:val="FFFFFF"/>
              </w:rPr>
              <w:t>E5-F20</w:t>
            </w:r>
          </w:p>
        </w:tc>
        <w:tc>
          <w:tcPr>
            <w:tcW w:w="7054"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34B02443" w14:textId="77777777" w:rsidR="00D16019" w:rsidRDefault="00000000">
            <w:pPr>
              <w:keepNext/>
              <w:spacing w:before="10" w:after="10"/>
            </w:pPr>
            <w:r>
              <w:rPr>
                <w:b/>
                <w:bCs/>
                <w:color w:val="553C7B"/>
                <w:sz w:val="24"/>
                <w:szCs w:val="24"/>
              </w:rPr>
              <w:t>Infraestrutura sustentável e resiliente</w:t>
            </w:r>
          </w:p>
        </w:tc>
        <w:tc>
          <w:tcPr>
            <w:tcW w:w="1300"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646BF1BC" w14:textId="77777777" w:rsidR="00D16019" w:rsidRDefault="00000000">
            <w:pPr>
              <w:keepNext/>
              <w:spacing w:before="10" w:after="10"/>
              <w:jc w:val="center"/>
            </w:pPr>
            <w:r>
              <w:rPr>
                <w:color w:val="553C7B"/>
                <w:sz w:val="20"/>
                <w:szCs w:val="20"/>
              </w:rPr>
              <w:t>ODS 9</w:t>
            </w:r>
          </w:p>
        </w:tc>
      </w:tr>
    </w:tbl>
    <w:p w14:paraId="697ECC64"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Estruturas físicas duráveis e adaptadas às mudanças climáticas. Reduz riscos de desastres e promove bem-estar.</w:t>
      </w:r>
    </w:p>
    <w:p w14:paraId="40741310" w14:textId="77777777" w:rsidR="00D16019" w:rsidRDefault="00000000">
      <w:pPr>
        <w:spacing w:before="60" w:after="220" w:line="276" w:lineRule="auto"/>
        <w:jc w:val="both"/>
      </w:pPr>
      <w:r>
        <w:t xml:space="preserve">A infraestrutura urbana de Campo Grande apresentou vulnerabilidades evidentes nos eventos extremos recentes. O vendaval de 10 de setembro de 2026 derrubou postes e árvores, interrompeu a energia de mais de 300 mil pessoas, desligou semáforos e danificou escolas, unidades de saúde e equipamentos culturais; os alagamentos de abril de 2025 revelaram a insuficiência da drenagem em fundos de vale. A rede elétrica aérea, a arborização sem manejo e a drenagem dimensionada para chuvas de menor intensidade são os pontos críticos. O decreto de </w:t>
      </w:r>
      <w:proofErr w:type="gramStart"/>
      <w:r>
        <w:t>situação de emergência</w:t>
      </w:r>
      <w:proofErr w:type="gramEnd"/>
      <w:r>
        <w:t xml:space="preserve"> autorizou o uso da contribuição de iluminação pública na recuperação, abrindo espaço para incorporar critérios de resiliência à reconstrução (E4-F10). O fator articula-se a E4-F07, E4-F12, E5-F13 e E2-F17, e o plano popular deve priorizar a resiliência das infraestruturas críticas de saúde, educação, energia e drenagem.</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261DA3CB"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553C7B"/>
            <w:tcMar>
              <w:top w:w="70" w:type="dxa"/>
              <w:left w:w="120" w:type="dxa"/>
              <w:bottom w:w="70" w:type="dxa"/>
              <w:right w:w="120" w:type="dxa"/>
            </w:tcMar>
            <w:vAlign w:val="center"/>
          </w:tcPr>
          <w:p w14:paraId="400C1485" w14:textId="77777777" w:rsidR="00D16019" w:rsidRDefault="00000000">
            <w:pPr>
              <w:keepNext/>
              <w:spacing w:before="10" w:after="10"/>
              <w:jc w:val="center"/>
            </w:pPr>
            <w:r>
              <w:rPr>
                <w:b/>
                <w:bCs/>
                <w:color w:val="FFFFFF"/>
              </w:rPr>
              <w:t>E5-F21</w:t>
            </w:r>
          </w:p>
        </w:tc>
        <w:tc>
          <w:tcPr>
            <w:tcW w:w="7054"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2A7C05A3" w14:textId="77777777" w:rsidR="00D16019" w:rsidRDefault="00000000">
            <w:pPr>
              <w:keepNext/>
              <w:spacing w:before="10" w:after="10"/>
            </w:pPr>
            <w:r>
              <w:rPr>
                <w:b/>
                <w:bCs/>
                <w:color w:val="553C7B"/>
                <w:sz w:val="24"/>
                <w:szCs w:val="24"/>
              </w:rPr>
              <w:t>Tecnologias de informação e comunicação</w:t>
            </w:r>
          </w:p>
        </w:tc>
        <w:tc>
          <w:tcPr>
            <w:tcW w:w="1300"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72F11774" w14:textId="77777777" w:rsidR="00D16019" w:rsidRDefault="00000000">
            <w:pPr>
              <w:keepNext/>
              <w:spacing w:before="10" w:after="10"/>
              <w:jc w:val="center"/>
            </w:pPr>
            <w:r>
              <w:rPr>
                <w:color w:val="553C7B"/>
                <w:sz w:val="20"/>
                <w:szCs w:val="20"/>
              </w:rPr>
              <w:t>ODS 9</w:t>
            </w:r>
          </w:p>
        </w:tc>
      </w:tr>
    </w:tbl>
    <w:p w14:paraId="5A2176E4"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São as ferramentas que usamos para nos conectar, como computadores, internet e celulares.</w:t>
      </w:r>
    </w:p>
    <w:p w14:paraId="50DAE1FE" w14:textId="77777777" w:rsidR="00D16019" w:rsidRDefault="00000000">
      <w:pPr>
        <w:spacing w:before="60" w:after="220" w:line="276" w:lineRule="auto"/>
        <w:jc w:val="both"/>
      </w:pPr>
      <w:r>
        <w:t>O acesso a tecnologias de informação e comunicação em Campo Grande é amplo pela telefonia móvel, mas desigual em qualidade de conexão, disponibilidade de computadores e habilidades digitais entre regiões e grupos sociais, padrão a ser quantificado com os dados de acesso à internet do Censo 2022 e da ANATEL por município, não sistematizados nesta versão. A digitalização de serviços públicos, como agendamento de consultas, acesso ao CadÚnico e serviços previdenciários, aprofunda a exclusão de idosos, pessoas com baixa escolaridade e indígenas com conectividade precária. Em emergências, o celular é o principal canal de alertas e informação (E2-F37, E6-F11), mas depende de energia, sinal e crédito, afetados em eventos como o de setembro de 2026. O fator articula-se a E5-F09, E3-F04 e E6-F11, e o plano popular pode prever pontos comunitários de acesso e formação digital.</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2B72970F"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553C7B"/>
            <w:tcMar>
              <w:top w:w="70" w:type="dxa"/>
              <w:left w:w="120" w:type="dxa"/>
              <w:bottom w:w="70" w:type="dxa"/>
              <w:right w:w="120" w:type="dxa"/>
            </w:tcMar>
            <w:vAlign w:val="center"/>
          </w:tcPr>
          <w:p w14:paraId="781CACF4" w14:textId="77777777" w:rsidR="00D16019" w:rsidRDefault="00000000">
            <w:pPr>
              <w:keepNext/>
              <w:spacing w:before="10" w:after="10"/>
              <w:jc w:val="center"/>
            </w:pPr>
            <w:r>
              <w:rPr>
                <w:b/>
                <w:bCs/>
                <w:color w:val="FFFFFF"/>
              </w:rPr>
              <w:lastRenderedPageBreak/>
              <w:t>E5-F22</w:t>
            </w:r>
          </w:p>
        </w:tc>
        <w:tc>
          <w:tcPr>
            <w:tcW w:w="7054"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7F240B1E" w14:textId="77777777" w:rsidR="00D16019" w:rsidRDefault="00000000">
            <w:pPr>
              <w:keepNext/>
              <w:spacing w:before="10" w:after="10"/>
            </w:pPr>
            <w:r>
              <w:rPr>
                <w:b/>
                <w:bCs/>
                <w:color w:val="553C7B"/>
                <w:sz w:val="24"/>
                <w:szCs w:val="24"/>
              </w:rPr>
              <w:t>Habitação</w:t>
            </w:r>
          </w:p>
        </w:tc>
        <w:tc>
          <w:tcPr>
            <w:tcW w:w="1300"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24CB6F1E" w14:textId="77777777" w:rsidR="00D16019" w:rsidRDefault="00000000">
            <w:pPr>
              <w:keepNext/>
              <w:spacing w:before="10" w:after="10"/>
              <w:jc w:val="center"/>
            </w:pPr>
            <w:r>
              <w:rPr>
                <w:color w:val="553C7B"/>
                <w:sz w:val="20"/>
                <w:szCs w:val="20"/>
              </w:rPr>
              <w:t>ODS 11</w:t>
            </w:r>
          </w:p>
        </w:tc>
      </w:tr>
    </w:tbl>
    <w:p w14:paraId="6619E706"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Ter uma casa segura, com teto, paredes e em um lugar protegido para morar com a família.</w:t>
      </w:r>
    </w:p>
    <w:p w14:paraId="0AC0C373" w14:textId="77777777" w:rsidR="00D16019" w:rsidRDefault="00000000">
      <w:pPr>
        <w:spacing w:before="60" w:after="220" w:line="276" w:lineRule="auto"/>
        <w:jc w:val="both"/>
      </w:pPr>
      <w:r>
        <w:t>A habitação em Campo Grande combina expansão horizontal por loteamentos periféricos, conjuntos habitacionais de interesse social, ocupações irregulares e aldeias urbanas indígenas. O déficit habitacional municipal, estimado pela Fundação João Pinheiro, e a proporção de domicílios em favelas e comunidades urbanas do Censo 2022 devem ser incorporados ao diagnóstico, não sistematizados nesta versão. Segundo o Censo 2022, 89% dos indígenas residentes na capital moravam em casas de alvenaria (IBGE, escala municipal), o que não informa sobre adensamento, segurança da posse e acesso a serviços. A triplicação da população em situação de rua entre 2018 e 2025 indica a pressão do custo da moradia sobre famílias de baixa renda (E3-F14). O fator articula-se a E5-F24, E3-F19, E3-F05 e E4-F07, e o plano popular deve associar regularização fundiária, melhorias habitacionais e adaptação climática.</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38613313"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553C7B"/>
            <w:tcMar>
              <w:top w:w="70" w:type="dxa"/>
              <w:left w:w="120" w:type="dxa"/>
              <w:bottom w:w="70" w:type="dxa"/>
              <w:right w:w="120" w:type="dxa"/>
            </w:tcMar>
            <w:vAlign w:val="center"/>
          </w:tcPr>
          <w:p w14:paraId="2016C655" w14:textId="77777777" w:rsidR="00D16019" w:rsidRDefault="00000000">
            <w:pPr>
              <w:keepNext/>
              <w:spacing w:before="10" w:after="10"/>
              <w:jc w:val="center"/>
            </w:pPr>
            <w:r>
              <w:rPr>
                <w:b/>
                <w:bCs/>
                <w:color w:val="FFFFFF"/>
              </w:rPr>
              <w:t>E5-F23</w:t>
            </w:r>
          </w:p>
        </w:tc>
        <w:tc>
          <w:tcPr>
            <w:tcW w:w="7054"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24C35D28" w14:textId="77777777" w:rsidR="00D16019" w:rsidRDefault="00000000">
            <w:pPr>
              <w:keepNext/>
              <w:spacing w:before="10" w:after="10"/>
            </w:pPr>
            <w:r>
              <w:rPr>
                <w:b/>
                <w:bCs/>
                <w:color w:val="553C7B"/>
                <w:sz w:val="24"/>
                <w:szCs w:val="24"/>
              </w:rPr>
              <w:t>Transportes seguros</w:t>
            </w:r>
          </w:p>
        </w:tc>
        <w:tc>
          <w:tcPr>
            <w:tcW w:w="1300"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75D99CCC" w14:textId="77777777" w:rsidR="00D16019" w:rsidRDefault="00000000">
            <w:pPr>
              <w:keepNext/>
              <w:spacing w:before="10" w:after="10"/>
              <w:jc w:val="center"/>
            </w:pPr>
            <w:r>
              <w:rPr>
                <w:color w:val="553C7B"/>
                <w:sz w:val="20"/>
                <w:szCs w:val="20"/>
              </w:rPr>
              <w:t>ODS 11</w:t>
            </w:r>
          </w:p>
        </w:tc>
      </w:tr>
    </w:tbl>
    <w:p w14:paraId="03F12836"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Ônibus, trens e barcos que funcionem bem e que levem as pessoas aos lugares sem risco de acidentes.</w:t>
      </w:r>
    </w:p>
    <w:p w14:paraId="55A05DF5" w14:textId="77777777" w:rsidR="00D16019" w:rsidRDefault="00000000">
      <w:pPr>
        <w:spacing w:before="60" w:after="220" w:line="276" w:lineRule="auto"/>
        <w:jc w:val="both"/>
      </w:pPr>
      <w:r>
        <w:t>O transporte coletivo de Campo Grande é operado pelo Consórcio Guaicurus em regime de concessão, com sistema de terminais e linhas troncais e alimentadoras. As queixas recorrentes de usuários e do controle social referem-se à frequência insuficiente, à superlotação nos horários de pico, à idade da frota e ao valor da tarifa, com efeito desproporcional sobre trabalhadores das regiões periféricas, que dependem de integração para chegar ao centro e às unidades de saúde especializadas. Os indicadores de passageiros transportados, frota, idade média e acessibilidade, disponíveis na agência municipal de transporte, devem ser incorporados ao diagnóstico. A segurança no transporte inclui acidentes, assédio contra mulheres e condições de espera em pontos sem abrigo nem iluminação (E5-F30). O fator articula-se a E5-F19, E2-F15, E1-F12 e E3-F11.</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79C0C9CB"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553C7B"/>
            <w:tcMar>
              <w:top w:w="70" w:type="dxa"/>
              <w:left w:w="120" w:type="dxa"/>
              <w:bottom w:w="70" w:type="dxa"/>
              <w:right w:w="120" w:type="dxa"/>
            </w:tcMar>
            <w:vAlign w:val="center"/>
          </w:tcPr>
          <w:p w14:paraId="04415EA4" w14:textId="77777777" w:rsidR="00D16019" w:rsidRDefault="00000000">
            <w:pPr>
              <w:keepNext/>
              <w:spacing w:before="10" w:after="10"/>
              <w:jc w:val="center"/>
            </w:pPr>
            <w:r>
              <w:rPr>
                <w:b/>
                <w:bCs/>
                <w:color w:val="FFFFFF"/>
              </w:rPr>
              <w:t>E5-F24</w:t>
            </w:r>
          </w:p>
        </w:tc>
        <w:tc>
          <w:tcPr>
            <w:tcW w:w="7054"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5AD87CDD" w14:textId="77777777" w:rsidR="00D16019" w:rsidRDefault="00000000">
            <w:pPr>
              <w:keepNext/>
              <w:spacing w:before="10" w:after="10"/>
            </w:pPr>
            <w:r>
              <w:rPr>
                <w:b/>
                <w:bCs/>
                <w:color w:val="553C7B"/>
                <w:sz w:val="24"/>
                <w:szCs w:val="24"/>
              </w:rPr>
              <w:t>Urbanização e infraestrutura</w:t>
            </w:r>
          </w:p>
        </w:tc>
        <w:tc>
          <w:tcPr>
            <w:tcW w:w="1300"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3E3B0878" w14:textId="77777777" w:rsidR="00D16019" w:rsidRDefault="00000000">
            <w:pPr>
              <w:keepNext/>
              <w:spacing w:before="10" w:after="10"/>
              <w:jc w:val="center"/>
            </w:pPr>
            <w:r>
              <w:rPr>
                <w:color w:val="553C7B"/>
                <w:sz w:val="20"/>
                <w:szCs w:val="20"/>
              </w:rPr>
              <w:t>ODS 11</w:t>
            </w:r>
          </w:p>
        </w:tc>
      </w:tr>
    </w:tbl>
    <w:p w14:paraId="740A67A8"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Planejamento urbano com acesso a serviços básicos. Melhora a qualidade de vida e reduz desigualdades territoriais.</w:t>
      </w:r>
    </w:p>
    <w:p w14:paraId="4E377C0F" w14:textId="77777777" w:rsidR="00D16019" w:rsidRDefault="00000000">
      <w:pPr>
        <w:spacing w:before="60" w:after="220" w:line="276" w:lineRule="auto"/>
        <w:jc w:val="both"/>
      </w:pPr>
      <w:r>
        <w:t>A urbanização de Campo Grande, com 898.100 habitantes no Censo 2022 e densidade de 111,11 habitantes por km² em área de 8.082,33 km² (IBGE, escala municipal), produziu cidade horizontal e dispersa, com vazios urbanos em áreas centrais e expansão periférica de menor infraestrutura. O Censo 2022 mostrou redução da população da região central, de 71.037 para 61.653 moradores entre 2010 e 2022, enquanto as periferias cresceram. O Plano Diretor de Desenvolvimento Urbano Ambiental (Lei Complementar nº 341/2018) estabelece zoneamento e instrumentos de função social da propriedade cuja aplicação deve ser avaliada. As características do entorno dos domicílios no Censo 2022, como pavimentação, calçada, iluminação, arborização e bueiros, permitem comparar regiões e devem ser extraídas por setor censitário. O fator articula-se a E5-F22, E2-F01, E3-F17 e E5-F20 e é determinante transversal das desigualdades de saúde.</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6687B924"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553C7B"/>
            <w:tcMar>
              <w:top w:w="70" w:type="dxa"/>
              <w:left w:w="120" w:type="dxa"/>
              <w:bottom w:w="70" w:type="dxa"/>
              <w:right w:w="120" w:type="dxa"/>
            </w:tcMar>
            <w:vAlign w:val="center"/>
          </w:tcPr>
          <w:p w14:paraId="419F382C" w14:textId="77777777" w:rsidR="00D16019" w:rsidRDefault="00000000">
            <w:pPr>
              <w:keepNext/>
              <w:spacing w:before="10" w:after="10"/>
              <w:jc w:val="center"/>
            </w:pPr>
            <w:r>
              <w:rPr>
                <w:b/>
                <w:bCs/>
                <w:color w:val="FFFFFF"/>
              </w:rPr>
              <w:t>E5-F25</w:t>
            </w:r>
          </w:p>
        </w:tc>
        <w:tc>
          <w:tcPr>
            <w:tcW w:w="7054"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143AB8F8" w14:textId="77777777" w:rsidR="00D16019" w:rsidRDefault="00000000">
            <w:pPr>
              <w:keepNext/>
              <w:spacing w:before="10" w:after="10"/>
            </w:pPr>
            <w:r>
              <w:rPr>
                <w:b/>
                <w:bCs/>
                <w:color w:val="553C7B"/>
                <w:sz w:val="24"/>
                <w:szCs w:val="24"/>
              </w:rPr>
              <w:t>Equipamentos públicos de lazer e cultura seguros</w:t>
            </w:r>
          </w:p>
        </w:tc>
        <w:tc>
          <w:tcPr>
            <w:tcW w:w="1300"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2BD6B26D" w14:textId="77777777" w:rsidR="00D16019" w:rsidRDefault="00000000">
            <w:pPr>
              <w:keepNext/>
              <w:spacing w:before="10" w:after="10"/>
              <w:jc w:val="center"/>
            </w:pPr>
            <w:r>
              <w:rPr>
                <w:color w:val="553C7B"/>
                <w:sz w:val="20"/>
                <w:szCs w:val="20"/>
              </w:rPr>
              <w:t>ODS 11</w:t>
            </w:r>
          </w:p>
        </w:tc>
      </w:tr>
    </w:tbl>
    <w:p w14:paraId="7FD68718"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Praças, quadras e centros culturais bem cuidados e seguros para todos usarem.</w:t>
      </w:r>
    </w:p>
    <w:p w14:paraId="6409AEEF" w14:textId="5BB74E54" w:rsidR="00D16019" w:rsidRDefault="00000000">
      <w:pPr>
        <w:spacing w:before="60" w:after="220" w:line="276" w:lineRule="auto"/>
        <w:jc w:val="both"/>
      </w:pPr>
      <w:r>
        <w:t xml:space="preserve">Os equipamentos públicos de lazer e cultura seguros em Campo Grande concentram-se em parques de grande porte, como o Parque das Nações Indígenas e os parques lineares, e na região central, com oferta escassa e manutenção irregular de praças, quadras e centros comunitários nas regiões periféricas. A segurança desses espaços depende de iluminação (E5-F30), manutenção e ocupação comunitária, e sua ausência reduz o uso por mulheres, crianças e idosos. O vendaval de 2026 danificou equipamentos culturais </w:t>
      </w:r>
      <w:r>
        <w:lastRenderedPageBreak/>
        <w:t>centrais, como o Armazém Cultural e a Plataforma Cultural, evidenciando também sua vulnerabilidade física. O fator articula-se a E5-F18, E5-F26, E5-F28 e E2-F27, e a ocupação qualificada desses espaços é estratégia de prevenção da violência.</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159B6205"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553C7B"/>
            <w:tcMar>
              <w:top w:w="70" w:type="dxa"/>
              <w:left w:w="120" w:type="dxa"/>
              <w:bottom w:w="70" w:type="dxa"/>
              <w:right w:w="120" w:type="dxa"/>
            </w:tcMar>
            <w:vAlign w:val="center"/>
          </w:tcPr>
          <w:p w14:paraId="6288F38B" w14:textId="77777777" w:rsidR="00D16019" w:rsidRDefault="00000000">
            <w:pPr>
              <w:keepNext/>
              <w:spacing w:before="10" w:after="10"/>
              <w:jc w:val="center"/>
            </w:pPr>
            <w:r>
              <w:rPr>
                <w:b/>
                <w:bCs/>
                <w:color w:val="FFFFFF"/>
              </w:rPr>
              <w:t>E5-F26</w:t>
            </w:r>
          </w:p>
        </w:tc>
        <w:tc>
          <w:tcPr>
            <w:tcW w:w="7054"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3AF40AD7" w14:textId="77777777" w:rsidR="00D16019" w:rsidRDefault="00000000">
            <w:pPr>
              <w:keepNext/>
              <w:spacing w:before="10" w:after="10"/>
            </w:pPr>
            <w:r>
              <w:rPr>
                <w:b/>
                <w:bCs/>
                <w:color w:val="553C7B"/>
                <w:sz w:val="24"/>
                <w:szCs w:val="24"/>
              </w:rPr>
              <w:t>Esportes</w:t>
            </w:r>
          </w:p>
        </w:tc>
        <w:tc>
          <w:tcPr>
            <w:tcW w:w="1300"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3F50B0CC" w14:textId="77777777" w:rsidR="00D16019" w:rsidRDefault="00000000">
            <w:pPr>
              <w:keepNext/>
              <w:spacing w:before="10" w:after="10"/>
              <w:jc w:val="center"/>
            </w:pPr>
            <w:r>
              <w:rPr>
                <w:color w:val="553C7B"/>
                <w:sz w:val="20"/>
                <w:szCs w:val="20"/>
              </w:rPr>
              <w:t>ODS 11</w:t>
            </w:r>
          </w:p>
        </w:tc>
      </w:tr>
    </w:tbl>
    <w:p w14:paraId="050C207A"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Acesso a atividades físicas e esportivas nos territórios. Promove saúde, inclusão e cidadania.</w:t>
      </w:r>
    </w:p>
    <w:p w14:paraId="3D46A6D0" w14:textId="77777777" w:rsidR="00D16019" w:rsidRDefault="00000000">
      <w:pPr>
        <w:spacing w:before="60" w:after="220" w:line="276" w:lineRule="auto"/>
        <w:jc w:val="both"/>
      </w:pPr>
      <w:r>
        <w:t>O acesso ao esporte em Campo Grande depende de equipamentos públicos como ginásios, quadras e academias ao ar livre, de programas municipais e estaduais de iniciação esportiva e de projetos sociais, com distribuição desigual entre regiões. A prática de atividade física no lazer, monitorada para o conjunto das capitais pelo VIGITEL do Ministério da Saúde, tem relação com a prevenção de doenças crônicas (E2-F09) e com a saúde mental (E2-F18). Os indicadores do VIGITEL para Campo Grande, como prevalência de atividade física suficiente no lazer e de excesso de peso, devem ser extraídos da edição mais recente, não sistematizados nesta versão. A oferta de esporte para jovens nas regiões periféricas é também estratégia de prevenção da violência e do uso de drogas. O fator articula-se a E5-F25, E5-F28 e E2-F27, e as academias da saúde vinculadas à APS são ponto de integração entre esporte e cuidado.</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5D843F7C"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553C7B"/>
            <w:tcMar>
              <w:top w:w="70" w:type="dxa"/>
              <w:left w:w="120" w:type="dxa"/>
              <w:bottom w:w="70" w:type="dxa"/>
              <w:right w:w="120" w:type="dxa"/>
            </w:tcMar>
            <w:vAlign w:val="center"/>
          </w:tcPr>
          <w:p w14:paraId="5A7A3FC5" w14:textId="77777777" w:rsidR="00D16019" w:rsidRDefault="00000000">
            <w:pPr>
              <w:keepNext/>
              <w:spacing w:before="10" w:after="10"/>
              <w:jc w:val="center"/>
            </w:pPr>
            <w:r>
              <w:rPr>
                <w:b/>
                <w:bCs/>
                <w:color w:val="FFFFFF"/>
              </w:rPr>
              <w:t>E5-F27</w:t>
            </w:r>
          </w:p>
        </w:tc>
        <w:tc>
          <w:tcPr>
            <w:tcW w:w="7054"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1EED49FA" w14:textId="77777777" w:rsidR="00D16019" w:rsidRDefault="00000000">
            <w:pPr>
              <w:keepNext/>
              <w:spacing w:before="10" w:after="10"/>
            </w:pPr>
            <w:r>
              <w:rPr>
                <w:b/>
                <w:bCs/>
                <w:color w:val="553C7B"/>
                <w:sz w:val="24"/>
                <w:szCs w:val="24"/>
              </w:rPr>
              <w:t>Biblioteca</w:t>
            </w:r>
          </w:p>
        </w:tc>
        <w:tc>
          <w:tcPr>
            <w:tcW w:w="1300"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103BB465" w14:textId="77777777" w:rsidR="00D16019" w:rsidRDefault="00000000">
            <w:pPr>
              <w:keepNext/>
              <w:spacing w:before="10" w:after="10"/>
              <w:jc w:val="center"/>
            </w:pPr>
            <w:r>
              <w:rPr>
                <w:color w:val="553C7B"/>
                <w:sz w:val="20"/>
                <w:szCs w:val="20"/>
              </w:rPr>
              <w:t>ODS 11</w:t>
            </w:r>
          </w:p>
        </w:tc>
      </w:tr>
    </w:tbl>
    <w:p w14:paraId="35846C1D"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Acesso a livros e, por meio deles, à leitura, à cultura e ao conhecimento. Contribui para a educação e inclusão cultural.</w:t>
      </w:r>
    </w:p>
    <w:p w14:paraId="343455E0" w14:textId="42D68A1A" w:rsidR="00D16019" w:rsidRDefault="00000000">
      <w:pPr>
        <w:spacing w:before="60" w:after="220" w:line="276" w:lineRule="auto"/>
        <w:jc w:val="both"/>
      </w:pPr>
      <w:r>
        <w:t>As bibliotecas públicas de Campo Grande concentram-se na região central e nas instituições de ensino superior, com cobertura reduzida nas regiões periféricas, onde as bibliotecas escolares são o principal acesso a livros. O resultado da pesquisa do Ministério da Cultura de 2025, que colocou a capital em último lugar entre as capitais em índice cultural, inclui o acesso a livros entre os indicadores avaliados (G1, 2025). Bibliotecas comunitárias mantidas por associações e coletivos podem ampliar o acesso com baixo custo. O fator articula-se a E5-F18, E5-F09 e E5-F21, e a biblioteca pode funcionar como espaço de encontro, acesso digital e informação em saúde nos territórios, inclusive como ponto de referência para a comunicação comunitária.</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5C17F169"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553C7B"/>
            <w:tcMar>
              <w:top w:w="70" w:type="dxa"/>
              <w:left w:w="120" w:type="dxa"/>
              <w:bottom w:w="70" w:type="dxa"/>
              <w:right w:w="120" w:type="dxa"/>
            </w:tcMar>
            <w:vAlign w:val="center"/>
          </w:tcPr>
          <w:p w14:paraId="56CF34D6" w14:textId="77777777" w:rsidR="00D16019" w:rsidRDefault="00000000">
            <w:pPr>
              <w:keepNext/>
              <w:spacing w:before="10" w:after="10"/>
              <w:jc w:val="center"/>
            </w:pPr>
            <w:r>
              <w:rPr>
                <w:b/>
                <w:bCs/>
                <w:color w:val="FFFFFF"/>
              </w:rPr>
              <w:t>E5-F28</w:t>
            </w:r>
          </w:p>
        </w:tc>
        <w:tc>
          <w:tcPr>
            <w:tcW w:w="7054"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662AD400" w14:textId="77777777" w:rsidR="00D16019" w:rsidRDefault="00000000">
            <w:pPr>
              <w:keepNext/>
              <w:spacing w:before="10" w:after="10"/>
            </w:pPr>
            <w:r>
              <w:rPr>
                <w:b/>
                <w:bCs/>
                <w:color w:val="553C7B"/>
                <w:sz w:val="24"/>
                <w:szCs w:val="24"/>
              </w:rPr>
              <w:t>Lazer</w:t>
            </w:r>
          </w:p>
        </w:tc>
        <w:tc>
          <w:tcPr>
            <w:tcW w:w="1300"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1413F12C" w14:textId="77777777" w:rsidR="00D16019" w:rsidRDefault="00000000">
            <w:pPr>
              <w:keepNext/>
              <w:spacing w:before="10" w:after="10"/>
              <w:jc w:val="center"/>
            </w:pPr>
            <w:r>
              <w:rPr>
                <w:color w:val="553C7B"/>
                <w:sz w:val="20"/>
                <w:szCs w:val="20"/>
              </w:rPr>
              <w:t>ODS 11</w:t>
            </w:r>
          </w:p>
        </w:tc>
      </w:tr>
    </w:tbl>
    <w:p w14:paraId="1D952D7A"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Espaços e atividades para recreação e convívio social. Favorece saúde mental e relações comunitárias.</w:t>
      </w:r>
    </w:p>
    <w:p w14:paraId="7EFE5D1C" w14:textId="77777777" w:rsidR="00D16019" w:rsidRDefault="00000000">
      <w:pPr>
        <w:spacing w:before="60" w:after="220" w:line="276" w:lineRule="auto"/>
        <w:jc w:val="both"/>
      </w:pPr>
      <w:r>
        <w:t>O lazer em Campo Grande é desigualmente distribuído: os parques urbanos de maior porte, como o Parque das Nações Indígenas, concentram a oferta gratuita de lazer ao ar livre, enquanto as regiões periféricas dispõem de poucas praças equipadas e seguras. As restrições de tempo impostas por jornadas extensas e longos deslocamentos (E1-F18, E5-F23), a sobrecarga de cuidado das mulheres (E1-F07) e a insegurança (E2-F27) reduzem o tempo e as oportunidades de lazer. O lazer tem efeitos documentados sobre saúde mental, convivência comunitária e envelhecimento ativo. Na ausência de inquérito municipal sobre uso do tempo e práticas de lazer, a cartografia social é a fonte para identificar espaços usados, demandas e barreiras. O fator articula-se a E5-F25, E5-F26, E2-F18 e E2-F19, e a qualificação de áreas verdes recuperadas em fundos de vale (E4-F25) pode ampliar a oferta de lazer onde ela é mais escassa.</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0F9C48F8"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553C7B"/>
            <w:tcMar>
              <w:top w:w="70" w:type="dxa"/>
              <w:left w:w="120" w:type="dxa"/>
              <w:bottom w:w="70" w:type="dxa"/>
              <w:right w:w="120" w:type="dxa"/>
            </w:tcMar>
            <w:vAlign w:val="center"/>
          </w:tcPr>
          <w:p w14:paraId="7F46F96C" w14:textId="77777777" w:rsidR="00D16019" w:rsidRDefault="00000000">
            <w:pPr>
              <w:keepNext/>
              <w:spacing w:before="10" w:after="10"/>
              <w:jc w:val="center"/>
            </w:pPr>
            <w:r>
              <w:rPr>
                <w:b/>
                <w:bCs/>
                <w:color w:val="FFFFFF"/>
              </w:rPr>
              <w:t>E5-F29</w:t>
            </w:r>
          </w:p>
        </w:tc>
        <w:tc>
          <w:tcPr>
            <w:tcW w:w="7054"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60DBA6FC" w14:textId="77777777" w:rsidR="00D16019" w:rsidRDefault="00000000">
            <w:pPr>
              <w:keepNext/>
              <w:spacing w:before="10" w:after="10"/>
            </w:pPr>
            <w:r>
              <w:rPr>
                <w:b/>
                <w:bCs/>
                <w:color w:val="553C7B"/>
                <w:sz w:val="24"/>
                <w:szCs w:val="24"/>
              </w:rPr>
              <w:t>Valorização dos saberes e práticas locais</w:t>
            </w:r>
          </w:p>
        </w:tc>
        <w:tc>
          <w:tcPr>
            <w:tcW w:w="1300"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65A1EA09" w14:textId="77777777" w:rsidR="00D16019" w:rsidRDefault="00000000">
            <w:pPr>
              <w:keepNext/>
              <w:spacing w:before="10" w:after="10"/>
              <w:jc w:val="center"/>
            </w:pPr>
            <w:r>
              <w:rPr>
                <w:color w:val="553C7B"/>
                <w:sz w:val="20"/>
                <w:szCs w:val="20"/>
              </w:rPr>
              <w:t>ODS 12</w:t>
            </w:r>
          </w:p>
        </w:tc>
      </w:tr>
    </w:tbl>
    <w:p w14:paraId="79A80292"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Reconhecer e dar valor ao que a comunidade sabe e faz, como receitas, festas, artesanato e modos de cuidar da terra.</w:t>
      </w:r>
    </w:p>
    <w:p w14:paraId="3D7788E2" w14:textId="77777777" w:rsidR="00D16019" w:rsidRDefault="00000000">
      <w:pPr>
        <w:spacing w:before="60" w:after="220" w:line="276" w:lineRule="auto"/>
        <w:jc w:val="both"/>
      </w:pPr>
      <w:r>
        <w:t xml:space="preserve">Os saberes e práticas locais de Campo Grande incluem as tradições Terena e de outros povos indígenas, as expressões culturais das comunidades </w:t>
      </w:r>
      <w:proofErr w:type="gramStart"/>
      <w:r>
        <w:t>quilombolas urbanas</w:t>
      </w:r>
      <w:proofErr w:type="gramEnd"/>
      <w:r>
        <w:t xml:space="preserve">, como a festa de São Benedito da comunidade </w:t>
      </w:r>
      <w:r>
        <w:lastRenderedPageBreak/>
        <w:t>Tia Eva, a culinária e as práticas de cuidado de origem pantaneira, paraguaia e nordestina, e o conhecimento dos moradores sobre o próprio território. Esses saberes são pouco reconhecidos pelas políticas públicas, que tendem a tratá-los como folclore e não como conhecimento. A valorização dos saberes locais é princípio metodológico da Pedagogia da Práxis no Território, que parte do universo temático das comunidades para construir o conhecimento sobre o território. O fator articula-se a E4-F18, E4-F03, E3-F18 e E5-F17, e o plano popular pode prever registro, transmissão intergeracional e integração desses saberes à escola, à APS e às estratégias de adaptação climática.</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73DA8150"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553C7B"/>
            <w:tcMar>
              <w:top w:w="70" w:type="dxa"/>
              <w:left w:w="120" w:type="dxa"/>
              <w:bottom w:w="70" w:type="dxa"/>
              <w:right w:w="120" w:type="dxa"/>
            </w:tcMar>
            <w:vAlign w:val="center"/>
          </w:tcPr>
          <w:p w14:paraId="2DCB2B08" w14:textId="77777777" w:rsidR="00D16019" w:rsidRDefault="00000000">
            <w:pPr>
              <w:keepNext/>
              <w:spacing w:before="10" w:after="10"/>
              <w:jc w:val="center"/>
            </w:pPr>
            <w:r>
              <w:rPr>
                <w:b/>
                <w:bCs/>
                <w:color w:val="FFFFFF"/>
              </w:rPr>
              <w:t>E5-F30</w:t>
            </w:r>
          </w:p>
        </w:tc>
        <w:tc>
          <w:tcPr>
            <w:tcW w:w="7054"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663E9F15" w14:textId="77777777" w:rsidR="00D16019" w:rsidRDefault="00000000">
            <w:pPr>
              <w:keepNext/>
              <w:spacing w:before="10" w:after="10"/>
            </w:pPr>
            <w:r>
              <w:rPr>
                <w:b/>
                <w:bCs/>
                <w:color w:val="553C7B"/>
                <w:sz w:val="24"/>
                <w:szCs w:val="24"/>
              </w:rPr>
              <w:t>Acesso a iluminação pública</w:t>
            </w:r>
          </w:p>
        </w:tc>
        <w:tc>
          <w:tcPr>
            <w:tcW w:w="1300" w:type="dxa"/>
            <w:tcBorders>
              <w:top w:val="single" w:sz="1" w:space="0" w:color="C8D8E8"/>
              <w:left w:val="single" w:sz="1" w:space="0" w:color="C8D8E8"/>
              <w:bottom w:val="single" w:sz="1" w:space="0" w:color="C8D8E8"/>
              <w:right w:val="single" w:sz="1" w:space="0" w:color="C8D8E8"/>
            </w:tcBorders>
            <w:shd w:val="clear" w:color="auto" w:fill="EDE7F6"/>
            <w:tcMar>
              <w:top w:w="70" w:type="dxa"/>
              <w:left w:w="120" w:type="dxa"/>
              <w:bottom w:w="70" w:type="dxa"/>
              <w:right w:w="120" w:type="dxa"/>
            </w:tcMar>
            <w:vAlign w:val="center"/>
          </w:tcPr>
          <w:p w14:paraId="0B69C5EB" w14:textId="77777777" w:rsidR="00D16019" w:rsidRDefault="00000000">
            <w:pPr>
              <w:keepNext/>
              <w:spacing w:before="10" w:after="10"/>
              <w:jc w:val="center"/>
            </w:pPr>
            <w:r>
              <w:rPr>
                <w:color w:val="553C7B"/>
                <w:sz w:val="20"/>
                <w:szCs w:val="20"/>
              </w:rPr>
              <w:t>ODS 11</w:t>
            </w:r>
          </w:p>
        </w:tc>
      </w:tr>
    </w:tbl>
    <w:p w14:paraId="209FDC11"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Ter postes de luz funcionando nas ruas, deixando os caminhos mais seguros à noite.</w:t>
      </w:r>
    </w:p>
    <w:p w14:paraId="2FCA3159" w14:textId="77777777" w:rsidR="00D16019" w:rsidRDefault="00000000">
      <w:pPr>
        <w:spacing w:before="60" w:after="220" w:line="276" w:lineRule="auto"/>
        <w:jc w:val="both"/>
      </w:pPr>
      <w:r>
        <w:t xml:space="preserve">A iluminação pública em Campo Grande é financiada pela contribuição de iluminação pública cobrada na conta de energia e gerida pela prefeitura, com programas de substituição por tecnologia LED em andamento. A cobertura e a manutenção são desiguais entre regiões, e a cartografia social é a fonte para identificar trechos escuros em rotas de pedestres, pontos de ônibus, praças e acessos a unidades de saúde e escolas. O decreto de </w:t>
      </w:r>
      <w:proofErr w:type="gramStart"/>
      <w:r>
        <w:t>situação de emergência</w:t>
      </w:r>
      <w:proofErr w:type="gramEnd"/>
      <w:r>
        <w:t xml:space="preserve"> de setembro de 2026 autorizou o uso da contribuição de iluminação pública na recuperação da infraestrutura danificada pelo vendaval, dentro dos limites constitucionais de sua finalidade. A proporção de domicílios com iluminação pública no entorno, disponível no Censo 2022, deve ser extraída por setor censitário. O fator articula-se a E2-F27, E5-F23, E5-F25 e E3-F02, pois a iluminação é condição de segurança para mulheres e de uso noturno dos espaços públicos.</w:t>
      </w:r>
    </w:p>
    <w:p w14:paraId="7AD3ED82" w14:textId="77777777" w:rsidR="00D16019" w:rsidRDefault="00000000">
      <w:pPr>
        <w:pStyle w:val="Ttulo1"/>
        <w:pageBreakBefore/>
        <w:spacing w:after="120"/>
      </w:pPr>
      <w:r>
        <w:rPr>
          <w:color w:val="935116"/>
        </w:rPr>
        <w:lastRenderedPageBreak/>
        <w:t>Eixo 6. A Voz na Mesa</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4"/>
      </w:tblGrid>
      <w:tr w:rsidR="00D16019" w14:paraId="00875D5A" w14:textId="77777777">
        <w:tc>
          <w:tcPr>
            <w:tcW w:w="9354" w:type="dxa"/>
            <w:tcBorders>
              <w:top w:val="single" w:sz="1" w:space="0" w:color="C8D8E8"/>
              <w:left w:val="single" w:sz="1" w:space="0" w:color="C8D8E8"/>
              <w:bottom w:val="single" w:sz="1" w:space="0" w:color="C8D8E8"/>
              <w:right w:val="single" w:sz="1" w:space="0" w:color="C8D8E8"/>
            </w:tcBorders>
            <w:shd w:val="clear" w:color="auto" w:fill="935116"/>
            <w:tcMar>
              <w:top w:w="70" w:type="dxa"/>
              <w:left w:w="120" w:type="dxa"/>
              <w:bottom w:w="70" w:type="dxa"/>
              <w:right w:w="120" w:type="dxa"/>
            </w:tcMar>
            <w:vAlign w:val="center"/>
          </w:tcPr>
          <w:p w14:paraId="2F4B8DB0" w14:textId="77777777" w:rsidR="00D16019" w:rsidRDefault="00000000">
            <w:pPr>
              <w:spacing w:before="10" w:after="10"/>
            </w:pPr>
            <w:r>
              <w:rPr>
                <w:b/>
                <w:bCs/>
                <w:color w:val="FFFFFF"/>
                <w:sz w:val="26"/>
                <w:szCs w:val="26"/>
              </w:rPr>
              <w:t>EIXO 6  |  A Voz na Mesa</w:t>
            </w:r>
          </w:p>
        </w:tc>
      </w:tr>
      <w:tr w:rsidR="00D16019" w14:paraId="12B94965" w14:textId="77777777">
        <w:tc>
          <w:tcPr>
            <w:tcW w:w="9354" w:type="dxa"/>
            <w:tcBorders>
              <w:top w:val="single" w:sz="1" w:space="0" w:color="C8D8E8"/>
              <w:left w:val="single" w:sz="1" w:space="0" w:color="C8D8E8"/>
              <w:bottom w:val="single" w:sz="1" w:space="0" w:color="C8D8E8"/>
              <w:right w:val="single" w:sz="1" w:space="0" w:color="C8D8E8"/>
            </w:tcBorders>
            <w:shd w:val="clear" w:color="auto" w:fill="FFF3E0"/>
            <w:tcMar>
              <w:top w:w="70" w:type="dxa"/>
              <w:left w:w="120" w:type="dxa"/>
              <w:bottom w:w="70" w:type="dxa"/>
              <w:right w:w="120" w:type="dxa"/>
            </w:tcMar>
            <w:vAlign w:val="center"/>
          </w:tcPr>
          <w:p w14:paraId="6414F2F3" w14:textId="77777777" w:rsidR="00D16019" w:rsidRDefault="00000000">
            <w:pPr>
              <w:spacing w:before="10" w:after="10"/>
            </w:pPr>
            <w:r>
              <w:rPr>
                <w:i/>
                <w:iCs/>
                <w:color w:val="935116"/>
              </w:rPr>
              <w:t>Contradição central: A comunidade transita de beneficiária a sujeito da história quando assume o protagonismo.</w:t>
            </w:r>
          </w:p>
        </w:tc>
      </w:tr>
      <w:tr w:rsidR="00D16019" w14:paraId="0C7E44D9" w14:textId="77777777">
        <w:tc>
          <w:tcPr>
            <w:tcW w:w="9354"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694162F5" w14:textId="77777777" w:rsidR="00D16019" w:rsidRDefault="00000000">
            <w:pPr>
              <w:spacing w:before="10" w:after="10"/>
            </w:pPr>
            <w:r>
              <w:rPr>
                <w:color w:val="4A5568"/>
                <w:sz w:val="21"/>
                <w:szCs w:val="21"/>
              </w:rPr>
              <w:t>Foco pedagógico: Participação social, governança, transparência e parcerias sociotécnicas</w:t>
            </w:r>
          </w:p>
        </w:tc>
      </w:tr>
      <w:tr w:rsidR="00D16019" w14:paraId="731F3086" w14:textId="77777777">
        <w:tc>
          <w:tcPr>
            <w:tcW w:w="9354"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6323E543" w14:textId="77777777" w:rsidR="00D16019" w:rsidRDefault="00000000">
            <w:pPr>
              <w:spacing w:before="10" w:after="10"/>
            </w:pPr>
            <w:r>
              <w:rPr>
                <w:color w:val="4A5568"/>
                <w:sz w:val="21"/>
                <w:szCs w:val="21"/>
              </w:rPr>
              <w:t>ODS mobilizados: 11, 16, 17  |  12 fatores da Matriz v1.0.2</w:t>
            </w:r>
          </w:p>
        </w:tc>
      </w:tr>
    </w:tbl>
    <w:p w14:paraId="0E95882F" w14:textId="77777777" w:rsidR="00D16019" w:rsidRDefault="00000000">
      <w:pPr>
        <w:spacing w:before="160" w:after="200" w:line="276" w:lineRule="auto"/>
        <w:jc w:val="both"/>
      </w:pPr>
      <w:r>
        <w:t xml:space="preserve">O eixo examina as condições para que a comunidade passe de beneficiária a sujeito do planejamento em Campo Grande. Os 12 fatores abrangem organização comunitária, comunicação local, parcerias, participação institucional, transparência e as formas de apoio mútuo que se ativam em emergências. A capital possui instâncias de controle social formalizadas e uma parceria sociotécnica consolidada entre a Secretaria Municipal de Saúde e a Fiocruz, mas a participação das regiões periféricas, das populações indígenas e negras e das mulheres é proporcionalmente menor, e a informação pública é dispersa. Os eventos extremos recentes mostraram que igrejas, associações e grupos de mensagens respondem antes e mais perto das pessoas que os canais oficiais, sem estarem integrados aos planos de contingência. A </w:t>
      </w:r>
      <w:proofErr w:type="gramStart"/>
      <w:r>
        <w:t>situação de emergência</w:t>
      </w:r>
      <w:proofErr w:type="gramEnd"/>
      <w:r>
        <w:t xml:space="preserve"> decretada em 2026, com contratações diretas autorizadas por até um ano, torna a transparência e o acompanhamento social do gasto especialmente relevantes.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150E0DA6"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935116"/>
            <w:tcMar>
              <w:top w:w="70" w:type="dxa"/>
              <w:left w:w="120" w:type="dxa"/>
              <w:bottom w:w="70" w:type="dxa"/>
              <w:right w:w="120" w:type="dxa"/>
            </w:tcMar>
            <w:vAlign w:val="center"/>
          </w:tcPr>
          <w:p w14:paraId="19961E29" w14:textId="77777777" w:rsidR="00D16019" w:rsidRDefault="00000000">
            <w:pPr>
              <w:keepNext/>
              <w:spacing w:before="10" w:after="10"/>
              <w:jc w:val="center"/>
            </w:pPr>
            <w:r>
              <w:rPr>
                <w:b/>
                <w:bCs/>
                <w:color w:val="FFFFFF"/>
              </w:rPr>
              <w:t>E6-F01</w:t>
            </w:r>
          </w:p>
        </w:tc>
        <w:tc>
          <w:tcPr>
            <w:tcW w:w="7054" w:type="dxa"/>
            <w:tcBorders>
              <w:top w:val="single" w:sz="1" w:space="0" w:color="C8D8E8"/>
              <w:left w:val="single" w:sz="1" w:space="0" w:color="C8D8E8"/>
              <w:bottom w:val="single" w:sz="1" w:space="0" w:color="C8D8E8"/>
              <w:right w:val="single" w:sz="1" w:space="0" w:color="C8D8E8"/>
            </w:tcBorders>
            <w:shd w:val="clear" w:color="auto" w:fill="FFF3E0"/>
            <w:tcMar>
              <w:top w:w="70" w:type="dxa"/>
              <w:left w:w="120" w:type="dxa"/>
              <w:bottom w:w="70" w:type="dxa"/>
              <w:right w:w="120" w:type="dxa"/>
            </w:tcMar>
            <w:vAlign w:val="center"/>
          </w:tcPr>
          <w:p w14:paraId="2F0FCF61" w14:textId="77777777" w:rsidR="00D16019" w:rsidRDefault="00000000">
            <w:pPr>
              <w:keepNext/>
              <w:spacing w:before="10" w:after="10"/>
            </w:pPr>
            <w:r>
              <w:rPr>
                <w:b/>
                <w:bCs/>
                <w:color w:val="935116"/>
                <w:sz w:val="24"/>
                <w:szCs w:val="24"/>
              </w:rPr>
              <w:t>Associação de moradores e lideranças locais</w:t>
            </w:r>
          </w:p>
        </w:tc>
        <w:tc>
          <w:tcPr>
            <w:tcW w:w="1300" w:type="dxa"/>
            <w:tcBorders>
              <w:top w:val="single" w:sz="1" w:space="0" w:color="C8D8E8"/>
              <w:left w:val="single" w:sz="1" w:space="0" w:color="C8D8E8"/>
              <w:bottom w:val="single" w:sz="1" w:space="0" w:color="C8D8E8"/>
              <w:right w:val="single" w:sz="1" w:space="0" w:color="C8D8E8"/>
            </w:tcBorders>
            <w:shd w:val="clear" w:color="auto" w:fill="FFF3E0"/>
            <w:tcMar>
              <w:top w:w="70" w:type="dxa"/>
              <w:left w:w="120" w:type="dxa"/>
              <w:bottom w:w="70" w:type="dxa"/>
              <w:right w:w="120" w:type="dxa"/>
            </w:tcMar>
            <w:vAlign w:val="center"/>
          </w:tcPr>
          <w:p w14:paraId="0C9396D4" w14:textId="77777777" w:rsidR="00D16019" w:rsidRDefault="00000000">
            <w:pPr>
              <w:keepNext/>
              <w:spacing w:before="10" w:after="10"/>
              <w:jc w:val="center"/>
            </w:pPr>
            <w:r>
              <w:rPr>
                <w:color w:val="935116"/>
                <w:sz w:val="20"/>
                <w:szCs w:val="20"/>
              </w:rPr>
              <w:t>ODS 11</w:t>
            </w:r>
          </w:p>
        </w:tc>
      </w:tr>
    </w:tbl>
    <w:p w14:paraId="572E497C"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Grupos de vizinhos e pessoas de referência que se organizam para melhorar o bairro e defender a comunidade.</w:t>
      </w:r>
    </w:p>
    <w:p w14:paraId="25C5EC05" w14:textId="417F57D2" w:rsidR="00D16019" w:rsidRDefault="00000000">
      <w:pPr>
        <w:spacing w:before="60" w:after="220" w:line="276" w:lineRule="auto"/>
        <w:jc w:val="both"/>
      </w:pPr>
      <w:r>
        <w:t xml:space="preserve">As associações de moradores e lideranças locais de Campo Grande constituem rede extensa, mas heterogênea em atividade e representatividade, que inclui associações de bairro, lideranças das aldeias urbanas indígenas e </w:t>
      </w:r>
      <w:r w:rsidRPr="00C610F8">
        <w:t>das comunidades quilombolas, conselhos locais de saúde e grupos ligados a igrejas e movimentos de moradia. O registro dessas organizações não está consolidado em base pública municipal, e sua capacidade de mobilização varia entre regiões</w:t>
      </w:r>
      <w:r w:rsidR="00C610F8" w:rsidRPr="00C610F8">
        <w:t>.</w:t>
      </w:r>
      <w:r w:rsidRPr="00C610F8">
        <w:t xml:space="preserve"> Nos eventos extremos de 2025 e 2026, lideranças locais atuaram na identificação de famílias atingidas e na mobilização</w:t>
      </w:r>
      <w:r>
        <w:t xml:space="preserve"> de ajuda, função não reconhecida formalmente nos planos de contingência. O fator articula-se a E6-F02, E6-F07, E1-F17 e E2-F32, e o plano popular deve reconhecer essas lideranças como interlocutoras permanentes do planejamento territorial e da gestão de riscos.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19F86A48"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935116"/>
            <w:tcMar>
              <w:top w:w="70" w:type="dxa"/>
              <w:left w:w="120" w:type="dxa"/>
              <w:bottom w:w="70" w:type="dxa"/>
              <w:right w:w="120" w:type="dxa"/>
            </w:tcMar>
            <w:vAlign w:val="center"/>
          </w:tcPr>
          <w:p w14:paraId="34FC4AB8" w14:textId="77777777" w:rsidR="00D16019" w:rsidRDefault="00000000">
            <w:pPr>
              <w:keepNext/>
              <w:spacing w:before="10" w:after="10"/>
              <w:jc w:val="center"/>
            </w:pPr>
            <w:r>
              <w:rPr>
                <w:b/>
                <w:bCs/>
                <w:color w:val="FFFFFF"/>
              </w:rPr>
              <w:t>E6-F02</w:t>
            </w:r>
          </w:p>
        </w:tc>
        <w:tc>
          <w:tcPr>
            <w:tcW w:w="7054" w:type="dxa"/>
            <w:tcBorders>
              <w:top w:val="single" w:sz="1" w:space="0" w:color="C8D8E8"/>
              <w:left w:val="single" w:sz="1" w:space="0" w:color="C8D8E8"/>
              <w:bottom w:val="single" w:sz="1" w:space="0" w:color="C8D8E8"/>
              <w:right w:val="single" w:sz="1" w:space="0" w:color="C8D8E8"/>
            </w:tcBorders>
            <w:shd w:val="clear" w:color="auto" w:fill="FFF3E0"/>
            <w:tcMar>
              <w:top w:w="70" w:type="dxa"/>
              <w:left w:w="120" w:type="dxa"/>
              <w:bottom w:w="70" w:type="dxa"/>
              <w:right w:w="120" w:type="dxa"/>
            </w:tcMar>
            <w:vAlign w:val="center"/>
          </w:tcPr>
          <w:p w14:paraId="4DCB3296" w14:textId="77777777" w:rsidR="00D16019" w:rsidRDefault="00000000">
            <w:pPr>
              <w:keepNext/>
              <w:spacing w:before="10" w:after="10"/>
            </w:pPr>
            <w:r>
              <w:rPr>
                <w:b/>
                <w:bCs/>
                <w:color w:val="935116"/>
                <w:sz w:val="24"/>
                <w:szCs w:val="24"/>
              </w:rPr>
              <w:t>Mobilização de redes e grupos organizados</w:t>
            </w:r>
          </w:p>
        </w:tc>
        <w:tc>
          <w:tcPr>
            <w:tcW w:w="1300" w:type="dxa"/>
            <w:tcBorders>
              <w:top w:val="single" w:sz="1" w:space="0" w:color="C8D8E8"/>
              <w:left w:val="single" w:sz="1" w:space="0" w:color="C8D8E8"/>
              <w:bottom w:val="single" w:sz="1" w:space="0" w:color="C8D8E8"/>
              <w:right w:val="single" w:sz="1" w:space="0" w:color="C8D8E8"/>
            </w:tcBorders>
            <w:shd w:val="clear" w:color="auto" w:fill="FFF3E0"/>
            <w:tcMar>
              <w:top w:w="70" w:type="dxa"/>
              <w:left w:w="120" w:type="dxa"/>
              <w:bottom w:w="70" w:type="dxa"/>
              <w:right w:w="120" w:type="dxa"/>
            </w:tcMar>
            <w:vAlign w:val="center"/>
          </w:tcPr>
          <w:p w14:paraId="076071BF" w14:textId="77777777" w:rsidR="00D16019" w:rsidRDefault="00000000">
            <w:pPr>
              <w:keepNext/>
              <w:spacing w:before="10" w:after="10"/>
              <w:jc w:val="center"/>
            </w:pPr>
            <w:r>
              <w:rPr>
                <w:color w:val="935116"/>
                <w:sz w:val="20"/>
                <w:szCs w:val="20"/>
              </w:rPr>
              <w:t>ODS 11</w:t>
            </w:r>
          </w:p>
        </w:tc>
      </w:tr>
    </w:tbl>
    <w:p w14:paraId="6A1200FA"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Juntar pessoas e grupos para agir em conjunto por uma causa da comunidade.</w:t>
      </w:r>
    </w:p>
    <w:p w14:paraId="4FBC7932" w14:textId="77777777" w:rsidR="00D16019" w:rsidRDefault="00000000">
      <w:pPr>
        <w:spacing w:before="60" w:after="220" w:line="276" w:lineRule="auto"/>
        <w:jc w:val="both"/>
      </w:pPr>
      <w:r>
        <w:t>A mobilização de redes e grupos organizados em Campo Grande expressa-se em movimentos indígenas urbanos, coletivos de mulheres, movimentos negros, organizações de catadores, movimentos de moradia, redes de proteção animal, coletivos culturais e de juventude e pastorais sociais. A capacidade dessas redes de articular pautas comuns e de dialogar com o poder público é desigual, e a fragmentação entre agendas setoriais limita sua incidência. A formação de pesquisadores populares pela PICAPS é estratégia de mobilização ancorada na produção de conhecimento: ao investigar o território com os instrumentos da cartografia social, os grupos organizados qualificam suas demandas com evidências. O fator articula-se a E6-F01, E6-F07, E3-F10 e E6-F04, e a efetividade da mobilização deve ser avaliada por sua capacidade de alterar decisões, como inclusão de demandas no orçamento e nos planos setoriais.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410D4A5F"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935116"/>
            <w:tcMar>
              <w:top w:w="70" w:type="dxa"/>
              <w:left w:w="120" w:type="dxa"/>
              <w:bottom w:w="70" w:type="dxa"/>
              <w:right w:w="120" w:type="dxa"/>
            </w:tcMar>
            <w:vAlign w:val="center"/>
          </w:tcPr>
          <w:p w14:paraId="0C824F1B" w14:textId="77777777" w:rsidR="00D16019" w:rsidRDefault="00000000">
            <w:pPr>
              <w:keepNext/>
              <w:spacing w:before="10" w:after="10"/>
              <w:jc w:val="center"/>
            </w:pPr>
            <w:r>
              <w:rPr>
                <w:b/>
                <w:bCs/>
                <w:color w:val="FFFFFF"/>
              </w:rPr>
              <w:lastRenderedPageBreak/>
              <w:t>E6-F03</w:t>
            </w:r>
          </w:p>
        </w:tc>
        <w:tc>
          <w:tcPr>
            <w:tcW w:w="7054" w:type="dxa"/>
            <w:tcBorders>
              <w:top w:val="single" w:sz="1" w:space="0" w:color="C8D8E8"/>
              <w:left w:val="single" w:sz="1" w:space="0" w:color="C8D8E8"/>
              <w:bottom w:val="single" w:sz="1" w:space="0" w:color="C8D8E8"/>
              <w:right w:val="single" w:sz="1" w:space="0" w:color="C8D8E8"/>
            </w:tcBorders>
            <w:shd w:val="clear" w:color="auto" w:fill="FFF3E0"/>
            <w:tcMar>
              <w:top w:w="70" w:type="dxa"/>
              <w:left w:w="120" w:type="dxa"/>
              <w:bottom w:w="70" w:type="dxa"/>
              <w:right w:w="120" w:type="dxa"/>
            </w:tcMar>
            <w:vAlign w:val="center"/>
          </w:tcPr>
          <w:p w14:paraId="7E216D69" w14:textId="77777777" w:rsidR="00D16019" w:rsidRDefault="00000000">
            <w:pPr>
              <w:keepNext/>
              <w:spacing w:before="10" w:after="10"/>
            </w:pPr>
            <w:r>
              <w:rPr>
                <w:b/>
                <w:bCs/>
                <w:color w:val="935116"/>
                <w:sz w:val="24"/>
                <w:szCs w:val="24"/>
              </w:rPr>
              <w:t>Rádios comunitárias</w:t>
            </w:r>
          </w:p>
        </w:tc>
        <w:tc>
          <w:tcPr>
            <w:tcW w:w="1300" w:type="dxa"/>
            <w:tcBorders>
              <w:top w:val="single" w:sz="1" w:space="0" w:color="C8D8E8"/>
              <w:left w:val="single" w:sz="1" w:space="0" w:color="C8D8E8"/>
              <w:bottom w:val="single" w:sz="1" w:space="0" w:color="C8D8E8"/>
              <w:right w:val="single" w:sz="1" w:space="0" w:color="C8D8E8"/>
            </w:tcBorders>
            <w:shd w:val="clear" w:color="auto" w:fill="FFF3E0"/>
            <w:tcMar>
              <w:top w:w="70" w:type="dxa"/>
              <w:left w:w="120" w:type="dxa"/>
              <w:bottom w:w="70" w:type="dxa"/>
              <w:right w:w="120" w:type="dxa"/>
            </w:tcMar>
            <w:vAlign w:val="center"/>
          </w:tcPr>
          <w:p w14:paraId="636F5499" w14:textId="77777777" w:rsidR="00D16019" w:rsidRDefault="00000000">
            <w:pPr>
              <w:keepNext/>
              <w:spacing w:before="10" w:after="10"/>
              <w:jc w:val="center"/>
            </w:pPr>
            <w:r>
              <w:rPr>
                <w:color w:val="935116"/>
                <w:sz w:val="20"/>
                <w:szCs w:val="20"/>
              </w:rPr>
              <w:t>ODS 11</w:t>
            </w:r>
          </w:p>
        </w:tc>
      </w:tr>
    </w:tbl>
    <w:p w14:paraId="35EB01B8"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Rádios feitas pela própria comunidade, que informam e dão voz aos moradores da região.</w:t>
      </w:r>
    </w:p>
    <w:p w14:paraId="13ADB634" w14:textId="4D58E7F5" w:rsidR="00D16019" w:rsidRDefault="00000000">
      <w:pPr>
        <w:spacing w:before="60" w:after="220" w:line="276" w:lineRule="auto"/>
        <w:jc w:val="both"/>
      </w:pPr>
      <w:r>
        <w:t>Em uma capital com mais de 970 mil habitantes estimados pelo IBGE para 2026, a comunicação comunitária por rádio tende a ter alcance segmentado, concentrado em públicos específicos, como comunidades religiosas, indígenas e moradores de bairros periféricos. A relevância do fator cresce em emergências, quando a interrupção de energia e de internet, como ocorreu no vendaval de setembro de 2026, reduz o alcance dos canais digitais e torna o rádio a pilhas um meio resiliente de alerta e orientação. O fator articula-se a E2-F37, E2-F29, E6-F11 e E4-F09, e o plano popular pode prever acordos com rádios comunitárias e locais para veiculação de alertas e informações de saúde em linguagem acessível.</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5760A3A1"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935116"/>
            <w:tcMar>
              <w:top w:w="70" w:type="dxa"/>
              <w:left w:w="120" w:type="dxa"/>
              <w:bottom w:w="70" w:type="dxa"/>
              <w:right w:w="120" w:type="dxa"/>
            </w:tcMar>
            <w:vAlign w:val="center"/>
          </w:tcPr>
          <w:p w14:paraId="0A33B1E0" w14:textId="77777777" w:rsidR="00D16019" w:rsidRDefault="00000000">
            <w:pPr>
              <w:keepNext/>
              <w:spacing w:before="10" w:after="10"/>
              <w:jc w:val="center"/>
            </w:pPr>
            <w:r>
              <w:rPr>
                <w:b/>
                <w:bCs/>
                <w:color w:val="FFFFFF"/>
              </w:rPr>
              <w:t>E6-F04</w:t>
            </w:r>
          </w:p>
        </w:tc>
        <w:tc>
          <w:tcPr>
            <w:tcW w:w="7054" w:type="dxa"/>
            <w:tcBorders>
              <w:top w:val="single" w:sz="1" w:space="0" w:color="C8D8E8"/>
              <w:left w:val="single" w:sz="1" w:space="0" w:color="C8D8E8"/>
              <w:bottom w:val="single" w:sz="1" w:space="0" w:color="C8D8E8"/>
              <w:right w:val="single" w:sz="1" w:space="0" w:color="C8D8E8"/>
            </w:tcBorders>
            <w:shd w:val="clear" w:color="auto" w:fill="FFF3E0"/>
            <w:tcMar>
              <w:top w:w="70" w:type="dxa"/>
              <w:left w:w="120" w:type="dxa"/>
              <w:bottom w:w="70" w:type="dxa"/>
              <w:right w:w="120" w:type="dxa"/>
            </w:tcMar>
            <w:vAlign w:val="center"/>
          </w:tcPr>
          <w:p w14:paraId="7C3B8EB3" w14:textId="77777777" w:rsidR="00D16019" w:rsidRDefault="00000000">
            <w:pPr>
              <w:keepNext/>
              <w:spacing w:before="10" w:after="10"/>
            </w:pPr>
            <w:r>
              <w:rPr>
                <w:b/>
                <w:bCs/>
                <w:color w:val="935116"/>
                <w:sz w:val="24"/>
                <w:szCs w:val="24"/>
              </w:rPr>
              <w:t>Parcerias entre instituições públicas, privadas e com a sociedade civil</w:t>
            </w:r>
          </w:p>
        </w:tc>
        <w:tc>
          <w:tcPr>
            <w:tcW w:w="1300" w:type="dxa"/>
            <w:tcBorders>
              <w:top w:val="single" w:sz="1" w:space="0" w:color="C8D8E8"/>
              <w:left w:val="single" w:sz="1" w:space="0" w:color="C8D8E8"/>
              <w:bottom w:val="single" w:sz="1" w:space="0" w:color="C8D8E8"/>
              <w:right w:val="single" w:sz="1" w:space="0" w:color="C8D8E8"/>
            </w:tcBorders>
            <w:shd w:val="clear" w:color="auto" w:fill="FFF3E0"/>
            <w:tcMar>
              <w:top w:w="70" w:type="dxa"/>
              <w:left w:w="120" w:type="dxa"/>
              <w:bottom w:w="70" w:type="dxa"/>
              <w:right w:w="120" w:type="dxa"/>
            </w:tcMar>
            <w:vAlign w:val="center"/>
          </w:tcPr>
          <w:p w14:paraId="13DE6F4D" w14:textId="77777777" w:rsidR="00D16019" w:rsidRDefault="00000000">
            <w:pPr>
              <w:keepNext/>
              <w:spacing w:before="10" w:after="10"/>
              <w:jc w:val="center"/>
            </w:pPr>
            <w:r>
              <w:rPr>
                <w:color w:val="935116"/>
                <w:sz w:val="20"/>
                <w:szCs w:val="20"/>
              </w:rPr>
              <w:t>ODS 11</w:t>
            </w:r>
          </w:p>
        </w:tc>
      </w:tr>
    </w:tbl>
    <w:p w14:paraId="31723C58"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Quando governo, empresas e grupos da comunidade trabalham juntos para resolver problemas.</w:t>
      </w:r>
    </w:p>
    <w:p w14:paraId="0681C22E" w14:textId="77777777" w:rsidR="00D16019" w:rsidRDefault="00000000">
      <w:pPr>
        <w:spacing w:before="60" w:after="220" w:line="276" w:lineRule="auto"/>
        <w:jc w:val="both"/>
      </w:pPr>
      <w:r>
        <w:t>A parceria entre a Secretaria Municipal de Saúde de Campo Grande e a Fundação Oswaldo Cruz, que inclui o apoio à expansão da APS por meio de residências e a atuação da PICAPS, é a parceria sociotécnica mais consolidada no campo da saúde do município: o número de equipes de Saúde da Família passou de 96 em 2017 para 197 em 2023 (Prefeitura com base no e-Gestor, escala municipal). Outras parcerias relevantes envolvem universidades, a Embrapa, organizações da sociedade civil e o Ministério Público. A intersetorialidade, contudo, opera por projetos, sem arquitetura permanente de governança territorial que reúna saúde, assistência social, educação, meio ambiente, defesa civil e comunidades por região urbana. O Grupo de Trabalho Intersetorial que conduziu o Censo da População em Situação de Rua em 2025 é exemplo de arranjo que pode ser replicado. O fator articula-se a E6-F07, E4-F06 e E2-F32.</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6E1DBB04"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935116"/>
            <w:tcMar>
              <w:top w:w="70" w:type="dxa"/>
              <w:left w:w="120" w:type="dxa"/>
              <w:bottom w:w="70" w:type="dxa"/>
              <w:right w:w="120" w:type="dxa"/>
            </w:tcMar>
            <w:vAlign w:val="center"/>
          </w:tcPr>
          <w:p w14:paraId="3B0319C1" w14:textId="77777777" w:rsidR="00D16019" w:rsidRDefault="00000000">
            <w:pPr>
              <w:keepNext/>
              <w:spacing w:before="10" w:after="10"/>
              <w:jc w:val="center"/>
            </w:pPr>
            <w:r>
              <w:rPr>
                <w:b/>
                <w:bCs/>
                <w:color w:val="FFFFFF"/>
              </w:rPr>
              <w:t>E6-F05</w:t>
            </w:r>
          </w:p>
        </w:tc>
        <w:tc>
          <w:tcPr>
            <w:tcW w:w="7054" w:type="dxa"/>
            <w:tcBorders>
              <w:top w:val="single" w:sz="1" w:space="0" w:color="C8D8E8"/>
              <w:left w:val="single" w:sz="1" w:space="0" w:color="C8D8E8"/>
              <w:bottom w:val="single" w:sz="1" w:space="0" w:color="C8D8E8"/>
              <w:right w:val="single" w:sz="1" w:space="0" w:color="C8D8E8"/>
            </w:tcBorders>
            <w:shd w:val="clear" w:color="auto" w:fill="FFF3E0"/>
            <w:tcMar>
              <w:top w:w="70" w:type="dxa"/>
              <w:left w:w="120" w:type="dxa"/>
              <w:bottom w:w="70" w:type="dxa"/>
              <w:right w:w="120" w:type="dxa"/>
            </w:tcMar>
            <w:vAlign w:val="center"/>
          </w:tcPr>
          <w:p w14:paraId="00FFE00D" w14:textId="77777777" w:rsidR="00D16019" w:rsidRDefault="00000000">
            <w:pPr>
              <w:keepNext/>
              <w:spacing w:before="10" w:after="10"/>
            </w:pPr>
            <w:r>
              <w:rPr>
                <w:b/>
                <w:bCs/>
                <w:color w:val="935116"/>
                <w:sz w:val="24"/>
                <w:szCs w:val="24"/>
              </w:rPr>
              <w:t>Mutirão de limpeza</w:t>
            </w:r>
          </w:p>
        </w:tc>
        <w:tc>
          <w:tcPr>
            <w:tcW w:w="1300" w:type="dxa"/>
            <w:tcBorders>
              <w:top w:val="single" w:sz="1" w:space="0" w:color="C8D8E8"/>
              <w:left w:val="single" w:sz="1" w:space="0" w:color="C8D8E8"/>
              <w:bottom w:val="single" w:sz="1" w:space="0" w:color="C8D8E8"/>
              <w:right w:val="single" w:sz="1" w:space="0" w:color="C8D8E8"/>
            </w:tcBorders>
            <w:shd w:val="clear" w:color="auto" w:fill="FFF3E0"/>
            <w:tcMar>
              <w:top w:w="70" w:type="dxa"/>
              <w:left w:w="120" w:type="dxa"/>
              <w:bottom w:w="70" w:type="dxa"/>
              <w:right w:w="120" w:type="dxa"/>
            </w:tcMar>
            <w:vAlign w:val="center"/>
          </w:tcPr>
          <w:p w14:paraId="73430B84" w14:textId="77777777" w:rsidR="00D16019" w:rsidRDefault="00000000">
            <w:pPr>
              <w:keepNext/>
              <w:spacing w:before="10" w:after="10"/>
              <w:jc w:val="center"/>
            </w:pPr>
            <w:r>
              <w:rPr>
                <w:color w:val="935116"/>
                <w:sz w:val="20"/>
                <w:szCs w:val="20"/>
              </w:rPr>
              <w:t>ODS 11</w:t>
            </w:r>
          </w:p>
        </w:tc>
      </w:tr>
    </w:tbl>
    <w:p w14:paraId="059C7BC6"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Quando os moradores se juntam num dia para limpar ruas, rios e terrenos da comunidade.</w:t>
      </w:r>
    </w:p>
    <w:p w14:paraId="5F44FD05" w14:textId="77777777" w:rsidR="00D16019" w:rsidRDefault="00000000">
      <w:pPr>
        <w:spacing w:before="60" w:after="220" w:line="276" w:lineRule="auto"/>
        <w:jc w:val="both"/>
      </w:pPr>
      <w:r>
        <w:t>Os mutirões de limpeza em Campo Grande são realizados por moradores, igrejas, escolas e associações e por campanhas municipais de combate ao Aedes aegypti e de limpeza de terrenos, sem calendário integrado nem registro sistemático de sua frequência e alcance. A relevância sanitária do fator é direta: o acúmulo de resíduos e entulho em quintais e terrenos baldios favorece criadouros do mosquito transmissor da dengue (E2-F07) e abrigo de escorpiões, responsáveis por 2.041 acidentes no município em 2025 segundo dados municipais divulgados pela imprensa (E2-F35). A limpeza de bocas de lobo antes do período chuvoso reduz alagamentos (E2-F34), e mutirões de plantio contribuem para a recomposição da arborização (E4-F25). Após o vendaval de setembro de 2026, a remoção de galhos mobilizou moradores e equipes públicas. O fator articula-se a E1-F27 e E6-F01, e o plano popular pode organizar um calendário territorial de mutirões associado à vigilância em saúde.</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6FC09BF1"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935116"/>
            <w:tcMar>
              <w:top w:w="70" w:type="dxa"/>
              <w:left w:w="120" w:type="dxa"/>
              <w:bottom w:w="70" w:type="dxa"/>
              <w:right w:w="120" w:type="dxa"/>
            </w:tcMar>
            <w:vAlign w:val="center"/>
          </w:tcPr>
          <w:p w14:paraId="74AB9B74" w14:textId="77777777" w:rsidR="00D16019" w:rsidRDefault="00000000">
            <w:pPr>
              <w:keepNext/>
              <w:spacing w:before="10" w:after="10"/>
              <w:jc w:val="center"/>
            </w:pPr>
            <w:r>
              <w:rPr>
                <w:b/>
                <w:bCs/>
                <w:color w:val="FFFFFF"/>
              </w:rPr>
              <w:t>E6-F06</w:t>
            </w:r>
          </w:p>
        </w:tc>
        <w:tc>
          <w:tcPr>
            <w:tcW w:w="7054" w:type="dxa"/>
            <w:tcBorders>
              <w:top w:val="single" w:sz="1" w:space="0" w:color="C8D8E8"/>
              <w:left w:val="single" w:sz="1" w:space="0" w:color="C8D8E8"/>
              <w:bottom w:val="single" w:sz="1" w:space="0" w:color="C8D8E8"/>
              <w:right w:val="single" w:sz="1" w:space="0" w:color="C8D8E8"/>
            </w:tcBorders>
            <w:shd w:val="clear" w:color="auto" w:fill="FFF3E0"/>
            <w:tcMar>
              <w:top w:w="70" w:type="dxa"/>
              <w:left w:w="120" w:type="dxa"/>
              <w:bottom w:w="70" w:type="dxa"/>
              <w:right w:w="120" w:type="dxa"/>
            </w:tcMar>
            <w:vAlign w:val="center"/>
          </w:tcPr>
          <w:p w14:paraId="7677ADE5" w14:textId="77777777" w:rsidR="00D16019" w:rsidRDefault="00000000">
            <w:pPr>
              <w:keepNext/>
              <w:spacing w:before="10" w:after="10"/>
            </w:pPr>
            <w:r>
              <w:rPr>
                <w:b/>
                <w:bCs/>
                <w:color w:val="935116"/>
                <w:sz w:val="24"/>
                <w:szCs w:val="24"/>
              </w:rPr>
              <w:t>Combate ao crime organizado</w:t>
            </w:r>
          </w:p>
        </w:tc>
        <w:tc>
          <w:tcPr>
            <w:tcW w:w="1300" w:type="dxa"/>
            <w:tcBorders>
              <w:top w:val="single" w:sz="1" w:space="0" w:color="C8D8E8"/>
              <w:left w:val="single" w:sz="1" w:space="0" w:color="C8D8E8"/>
              <w:bottom w:val="single" w:sz="1" w:space="0" w:color="C8D8E8"/>
              <w:right w:val="single" w:sz="1" w:space="0" w:color="C8D8E8"/>
            </w:tcBorders>
            <w:shd w:val="clear" w:color="auto" w:fill="FFF3E0"/>
            <w:tcMar>
              <w:top w:w="70" w:type="dxa"/>
              <w:left w:w="120" w:type="dxa"/>
              <w:bottom w:w="70" w:type="dxa"/>
              <w:right w:w="120" w:type="dxa"/>
            </w:tcMar>
            <w:vAlign w:val="center"/>
          </w:tcPr>
          <w:p w14:paraId="685714AA" w14:textId="77777777" w:rsidR="00D16019" w:rsidRDefault="00000000">
            <w:pPr>
              <w:keepNext/>
              <w:spacing w:before="10" w:after="10"/>
              <w:jc w:val="center"/>
            </w:pPr>
            <w:r>
              <w:rPr>
                <w:color w:val="935116"/>
                <w:sz w:val="20"/>
                <w:szCs w:val="20"/>
              </w:rPr>
              <w:t>ODS 16</w:t>
            </w:r>
          </w:p>
        </w:tc>
      </w:tr>
    </w:tbl>
    <w:p w14:paraId="4B2B52C1"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Ações da polícia e da justiça contra grupos criminosos, como os que vendem drogas e armas.</w:t>
      </w:r>
    </w:p>
    <w:p w14:paraId="581286A9" w14:textId="77777777" w:rsidR="00D16019" w:rsidRDefault="00000000">
      <w:pPr>
        <w:spacing w:before="60" w:after="220" w:line="276" w:lineRule="auto"/>
        <w:jc w:val="both"/>
      </w:pPr>
      <w:r>
        <w:t xml:space="preserve">O crime organizado tem presença em Campo Grande associada às rotas de tráfico de drogas e armas que atravessam Mato Grosso do Sul a partir da fronteira com Paraguai e Bolívia, segundo análises do Anuário Brasileiro de Segurança Pública e das forças de segurança. Nos territórios periféricos, o mercado varejista de drogas estrutura parte da violência letal, recruta adolescentes e jovens e restringe a circulação de moradores e de equipes de serviços públicos. A </w:t>
      </w:r>
      <w:proofErr w:type="spellStart"/>
      <w:r>
        <w:t>sobremortalidade</w:t>
      </w:r>
      <w:proofErr w:type="spellEnd"/>
      <w:r>
        <w:t xml:space="preserve"> de jovens negros e indígenas por </w:t>
      </w:r>
      <w:r>
        <w:lastRenderedPageBreak/>
        <w:t>homicídio na capital (Agência Brasil, 2024) é expressão desse padrão (E2-F28). Os dados de mortes violentas intencionais e de apreensões por região, disponíveis na Secretaria de Justiça e Segurança Pública, devem ser incorporados ao diagnóstico, não sistematizados nesta versão. O fator articula-se a E2-F27, E2-F10 e E3-F07, e o enfrentamento exige articular repressão qualificada, prevenção social e oferta de alternativas para a juventude.</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21FEAF26"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935116"/>
            <w:tcMar>
              <w:top w:w="70" w:type="dxa"/>
              <w:left w:w="120" w:type="dxa"/>
              <w:bottom w:w="70" w:type="dxa"/>
              <w:right w:w="120" w:type="dxa"/>
            </w:tcMar>
            <w:vAlign w:val="center"/>
          </w:tcPr>
          <w:p w14:paraId="59C4E559" w14:textId="77777777" w:rsidR="00D16019" w:rsidRDefault="00000000">
            <w:pPr>
              <w:keepNext/>
              <w:spacing w:before="10" w:after="10"/>
              <w:jc w:val="center"/>
            </w:pPr>
            <w:r>
              <w:rPr>
                <w:b/>
                <w:bCs/>
                <w:color w:val="FFFFFF"/>
              </w:rPr>
              <w:t>E6-F07</w:t>
            </w:r>
          </w:p>
        </w:tc>
        <w:tc>
          <w:tcPr>
            <w:tcW w:w="7054" w:type="dxa"/>
            <w:tcBorders>
              <w:top w:val="single" w:sz="1" w:space="0" w:color="C8D8E8"/>
              <w:left w:val="single" w:sz="1" w:space="0" w:color="C8D8E8"/>
              <w:bottom w:val="single" w:sz="1" w:space="0" w:color="C8D8E8"/>
              <w:right w:val="single" w:sz="1" w:space="0" w:color="C8D8E8"/>
            </w:tcBorders>
            <w:shd w:val="clear" w:color="auto" w:fill="FFF3E0"/>
            <w:tcMar>
              <w:top w:w="70" w:type="dxa"/>
              <w:left w:w="120" w:type="dxa"/>
              <w:bottom w:w="70" w:type="dxa"/>
              <w:right w:w="120" w:type="dxa"/>
            </w:tcMar>
            <w:vAlign w:val="center"/>
          </w:tcPr>
          <w:p w14:paraId="719F6D02" w14:textId="77777777" w:rsidR="00D16019" w:rsidRDefault="00000000">
            <w:pPr>
              <w:keepNext/>
              <w:spacing w:before="10" w:after="10"/>
            </w:pPr>
            <w:r>
              <w:rPr>
                <w:b/>
                <w:bCs/>
                <w:color w:val="935116"/>
                <w:sz w:val="24"/>
                <w:szCs w:val="24"/>
              </w:rPr>
              <w:t>Participação social na tomada de decisão responsiva, inclusiva e participativa</w:t>
            </w:r>
          </w:p>
        </w:tc>
        <w:tc>
          <w:tcPr>
            <w:tcW w:w="1300" w:type="dxa"/>
            <w:tcBorders>
              <w:top w:val="single" w:sz="1" w:space="0" w:color="C8D8E8"/>
              <w:left w:val="single" w:sz="1" w:space="0" w:color="C8D8E8"/>
              <w:bottom w:val="single" w:sz="1" w:space="0" w:color="C8D8E8"/>
              <w:right w:val="single" w:sz="1" w:space="0" w:color="C8D8E8"/>
            </w:tcBorders>
            <w:shd w:val="clear" w:color="auto" w:fill="FFF3E0"/>
            <w:tcMar>
              <w:top w:w="70" w:type="dxa"/>
              <w:left w:w="120" w:type="dxa"/>
              <w:bottom w:w="70" w:type="dxa"/>
              <w:right w:w="120" w:type="dxa"/>
            </w:tcMar>
            <w:vAlign w:val="center"/>
          </w:tcPr>
          <w:p w14:paraId="0C25D23A" w14:textId="77777777" w:rsidR="00D16019" w:rsidRDefault="00000000">
            <w:pPr>
              <w:keepNext/>
              <w:spacing w:before="10" w:after="10"/>
              <w:jc w:val="center"/>
            </w:pPr>
            <w:r>
              <w:rPr>
                <w:color w:val="935116"/>
                <w:sz w:val="20"/>
                <w:szCs w:val="20"/>
              </w:rPr>
              <w:t>ODS 16</w:t>
            </w:r>
          </w:p>
        </w:tc>
      </w:tr>
    </w:tbl>
    <w:p w14:paraId="4292017F"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Garantir que a população possa opinar e ajudar a decidir o que o governo faz na comunidade.</w:t>
      </w:r>
    </w:p>
    <w:p w14:paraId="765043EB" w14:textId="77777777" w:rsidR="00D16019" w:rsidRDefault="00000000">
      <w:pPr>
        <w:spacing w:before="60" w:after="220" w:line="276" w:lineRule="auto"/>
        <w:jc w:val="both"/>
      </w:pPr>
      <w:r>
        <w:t>A participação social na tomada de decisão em Campo Grande é institucionalizada no Conselho Municipal de Saúde, nas conferências municipais, nos conselhos de assistência social, de direitos da criança e do adolescente, de meio ambiente e no Conselho Municipal dos Direitos e Defesa dos Povos Indígenas, reestruturado pela Lei nº 7.227/2024. A efetividade dessas instâncias depende da representatividade de seus membros, da regularidade de funcionamento, do acesso à informação e da capacidade de incidir sobre o orçamento e os planos setoriais. A participação dos moradores das regiões periféricas, das populações indígenas e negras e das mulheres é proporcionalmente menor. As atas, resoluções e o acompanhamento do Relatório Anual de Gestão pelo Conselho Municipal de Saúde são fontes para avaliar a qualidade da participação. O fator articula-se a E6-F01, E6-F02, E6-F09 e E3-F10, e a PICAPS contribui ao qualificar tecnicamente a participação com dados territoriais.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02E5E38B"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935116"/>
            <w:tcMar>
              <w:top w:w="70" w:type="dxa"/>
              <w:left w:w="120" w:type="dxa"/>
              <w:bottom w:w="70" w:type="dxa"/>
              <w:right w:w="120" w:type="dxa"/>
            </w:tcMar>
            <w:vAlign w:val="center"/>
          </w:tcPr>
          <w:p w14:paraId="004A85F6" w14:textId="77777777" w:rsidR="00D16019" w:rsidRDefault="00000000">
            <w:pPr>
              <w:keepNext/>
              <w:spacing w:before="10" w:after="10"/>
              <w:jc w:val="center"/>
            </w:pPr>
            <w:r>
              <w:rPr>
                <w:b/>
                <w:bCs/>
                <w:color w:val="FFFFFF"/>
              </w:rPr>
              <w:t>E6-F08</w:t>
            </w:r>
          </w:p>
        </w:tc>
        <w:tc>
          <w:tcPr>
            <w:tcW w:w="7054" w:type="dxa"/>
            <w:tcBorders>
              <w:top w:val="single" w:sz="1" w:space="0" w:color="C8D8E8"/>
              <w:left w:val="single" w:sz="1" w:space="0" w:color="C8D8E8"/>
              <w:bottom w:val="single" w:sz="1" w:space="0" w:color="C8D8E8"/>
              <w:right w:val="single" w:sz="1" w:space="0" w:color="C8D8E8"/>
            </w:tcBorders>
            <w:shd w:val="clear" w:color="auto" w:fill="FFF3E0"/>
            <w:tcMar>
              <w:top w:w="70" w:type="dxa"/>
              <w:left w:w="120" w:type="dxa"/>
              <w:bottom w:w="70" w:type="dxa"/>
              <w:right w:w="120" w:type="dxa"/>
            </w:tcMar>
            <w:vAlign w:val="center"/>
          </w:tcPr>
          <w:p w14:paraId="4601DDF2" w14:textId="77777777" w:rsidR="00D16019" w:rsidRDefault="00000000">
            <w:pPr>
              <w:keepNext/>
              <w:spacing w:before="10" w:after="10"/>
            </w:pPr>
            <w:r>
              <w:rPr>
                <w:b/>
                <w:bCs/>
                <w:color w:val="935116"/>
                <w:sz w:val="24"/>
                <w:szCs w:val="24"/>
              </w:rPr>
              <w:t>Corrupção e suborno (em todos os níveis)</w:t>
            </w:r>
          </w:p>
        </w:tc>
        <w:tc>
          <w:tcPr>
            <w:tcW w:w="1300" w:type="dxa"/>
            <w:tcBorders>
              <w:top w:val="single" w:sz="1" w:space="0" w:color="C8D8E8"/>
              <w:left w:val="single" w:sz="1" w:space="0" w:color="C8D8E8"/>
              <w:bottom w:val="single" w:sz="1" w:space="0" w:color="C8D8E8"/>
              <w:right w:val="single" w:sz="1" w:space="0" w:color="C8D8E8"/>
            </w:tcBorders>
            <w:shd w:val="clear" w:color="auto" w:fill="FFF3E0"/>
            <w:tcMar>
              <w:top w:w="70" w:type="dxa"/>
              <w:left w:w="120" w:type="dxa"/>
              <w:bottom w:w="70" w:type="dxa"/>
              <w:right w:w="120" w:type="dxa"/>
            </w:tcMar>
            <w:vAlign w:val="center"/>
          </w:tcPr>
          <w:p w14:paraId="50AC73DE" w14:textId="77777777" w:rsidR="00D16019" w:rsidRDefault="00000000">
            <w:pPr>
              <w:keepNext/>
              <w:spacing w:before="10" w:after="10"/>
              <w:jc w:val="center"/>
            </w:pPr>
            <w:r>
              <w:rPr>
                <w:color w:val="935116"/>
                <w:sz w:val="20"/>
                <w:szCs w:val="20"/>
              </w:rPr>
              <w:t>ODS 16</w:t>
            </w:r>
          </w:p>
        </w:tc>
      </w:tr>
    </w:tbl>
    <w:p w14:paraId="48570172"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Roubar dinheiro público ou dar dinheiro para funcionários do governo para conseguir algo de forma errada.</w:t>
      </w:r>
    </w:p>
    <w:p w14:paraId="4CDF43DD" w14:textId="77777777" w:rsidR="00D16019" w:rsidRDefault="00000000">
      <w:pPr>
        <w:spacing w:before="60" w:after="220" w:line="276" w:lineRule="auto"/>
        <w:jc w:val="both"/>
      </w:pPr>
      <w:r>
        <w:t xml:space="preserve">A corrupção afeta a efetividade das políticas públicas ao desviar recursos e distorcer prioridades de investimento, com efeitos sobre a qualidade dos serviços de saúde, saneamento e infraestrutura. Em Campo Grande, os mecanismos de controle incluem a Controladoria-Geral do Município, o Tribunal de Contas do Estado, o Ministério Público, a Câmara Municipal e o controle social exercido pelos conselhos. Situações de excepcionalidade, como o decreto de </w:t>
      </w:r>
      <w:proofErr w:type="gramStart"/>
      <w:r>
        <w:t>situação de emergência</w:t>
      </w:r>
      <w:proofErr w:type="gramEnd"/>
      <w:r>
        <w:t xml:space="preserve"> de setembro de 2026, que autoriza contratações diretas sem licitação por até um ano para obras vinculadas ao vendaval, ampliam a necessidade de transparência e acompanhamento social, pois reduzem os controles prévios. Os relatórios de auditoria e as decisões do Tribunal de Contas sobre o município devem ser consultados. O fator articula-se a E6-F09 e E6-F07, e o plano popular pode propor o acompanhamento comunitário das contratações emergenciais, com divulgação pública dos contratos e de sua execução.</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0915ABC4"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935116"/>
            <w:tcMar>
              <w:top w:w="70" w:type="dxa"/>
              <w:left w:w="120" w:type="dxa"/>
              <w:bottom w:w="70" w:type="dxa"/>
              <w:right w:w="120" w:type="dxa"/>
            </w:tcMar>
            <w:vAlign w:val="center"/>
          </w:tcPr>
          <w:p w14:paraId="2C3B50C6" w14:textId="77777777" w:rsidR="00D16019" w:rsidRDefault="00000000">
            <w:pPr>
              <w:keepNext/>
              <w:spacing w:before="10" w:after="10"/>
              <w:jc w:val="center"/>
            </w:pPr>
            <w:r>
              <w:rPr>
                <w:b/>
                <w:bCs/>
                <w:color w:val="FFFFFF"/>
              </w:rPr>
              <w:t>E6-F09</w:t>
            </w:r>
          </w:p>
        </w:tc>
        <w:tc>
          <w:tcPr>
            <w:tcW w:w="7054" w:type="dxa"/>
            <w:tcBorders>
              <w:top w:val="single" w:sz="1" w:space="0" w:color="C8D8E8"/>
              <w:left w:val="single" w:sz="1" w:space="0" w:color="C8D8E8"/>
              <w:bottom w:val="single" w:sz="1" w:space="0" w:color="C8D8E8"/>
              <w:right w:val="single" w:sz="1" w:space="0" w:color="C8D8E8"/>
            </w:tcBorders>
            <w:shd w:val="clear" w:color="auto" w:fill="FFF3E0"/>
            <w:tcMar>
              <w:top w:w="70" w:type="dxa"/>
              <w:left w:w="120" w:type="dxa"/>
              <w:bottom w:w="70" w:type="dxa"/>
              <w:right w:w="120" w:type="dxa"/>
            </w:tcMar>
            <w:vAlign w:val="center"/>
          </w:tcPr>
          <w:p w14:paraId="7A968D73" w14:textId="77777777" w:rsidR="00D16019" w:rsidRDefault="00000000">
            <w:pPr>
              <w:keepNext/>
              <w:spacing w:before="10" w:after="10"/>
            </w:pPr>
            <w:r>
              <w:rPr>
                <w:b/>
                <w:bCs/>
                <w:color w:val="935116"/>
                <w:sz w:val="24"/>
                <w:szCs w:val="24"/>
              </w:rPr>
              <w:t>Instituições públicas e privadas em todos os níveis (transparência ativa)</w:t>
            </w:r>
          </w:p>
        </w:tc>
        <w:tc>
          <w:tcPr>
            <w:tcW w:w="1300" w:type="dxa"/>
            <w:tcBorders>
              <w:top w:val="single" w:sz="1" w:space="0" w:color="C8D8E8"/>
              <w:left w:val="single" w:sz="1" w:space="0" w:color="C8D8E8"/>
              <w:bottom w:val="single" w:sz="1" w:space="0" w:color="C8D8E8"/>
              <w:right w:val="single" w:sz="1" w:space="0" w:color="C8D8E8"/>
            </w:tcBorders>
            <w:shd w:val="clear" w:color="auto" w:fill="FFF3E0"/>
            <w:tcMar>
              <w:top w:w="70" w:type="dxa"/>
              <w:left w:w="120" w:type="dxa"/>
              <w:bottom w:w="70" w:type="dxa"/>
              <w:right w:w="120" w:type="dxa"/>
            </w:tcMar>
            <w:vAlign w:val="center"/>
          </w:tcPr>
          <w:p w14:paraId="7CBD6697" w14:textId="77777777" w:rsidR="00D16019" w:rsidRDefault="00000000">
            <w:pPr>
              <w:keepNext/>
              <w:spacing w:before="10" w:after="10"/>
              <w:jc w:val="center"/>
            </w:pPr>
            <w:r>
              <w:rPr>
                <w:color w:val="935116"/>
                <w:sz w:val="20"/>
                <w:szCs w:val="20"/>
              </w:rPr>
              <w:t>ODS 16</w:t>
            </w:r>
          </w:p>
        </w:tc>
      </w:tr>
    </w:tbl>
    <w:p w14:paraId="1F6B29E3"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Órgãos do governo e empresas que mostram com clareza o que fazem e como usam o dinheiro.</w:t>
      </w:r>
    </w:p>
    <w:p w14:paraId="6D32BF55" w14:textId="77777777" w:rsidR="00D16019" w:rsidRDefault="00000000">
      <w:pPr>
        <w:spacing w:before="60" w:after="220" w:line="276" w:lineRule="auto"/>
        <w:jc w:val="both"/>
      </w:pPr>
      <w:r>
        <w:t>A transparência ativa em Campo Grande é exercida pelo portal de transparência municipal, pelos relatórios de gestão submetidos ao Conselho Municipal de Saúde, pelo SIOPS e pelos portais das concessionárias de serviços públicos e das agências reguladoras. O IBGE Cidades registra receitas brutas realizadas de R$ 6,06 bilhões e despesas empenhadas de R$ 6,39 bilhões pelo município, com referência às contas municipais (IBGE, escala municipal), magnitude que indica a relevância do acompanhamento social do gasto. A disponibilidade de dados abertos, georreferenciados e em linguagem acessível é limitada: informações sobre qualidade do ar, barragens de risco, alertas e execução de obras emergenciais circulam de forma dispersa. O fator articula-se a E6-F08, E6-F07, E4-F09 e E1-F25, e o plano popular pode propor um painel territorial público que reúna indicadores de saúde, saneamento, riscos e investimento por região urbana.</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2313F6B7"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935116"/>
            <w:tcMar>
              <w:top w:w="70" w:type="dxa"/>
              <w:left w:w="120" w:type="dxa"/>
              <w:bottom w:w="70" w:type="dxa"/>
              <w:right w:w="120" w:type="dxa"/>
            </w:tcMar>
            <w:vAlign w:val="center"/>
          </w:tcPr>
          <w:p w14:paraId="4EE2FFDD" w14:textId="77777777" w:rsidR="00D16019" w:rsidRDefault="00000000">
            <w:pPr>
              <w:keepNext/>
              <w:spacing w:before="10" w:after="10"/>
              <w:jc w:val="center"/>
            </w:pPr>
            <w:r>
              <w:rPr>
                <w:b/>
                <w:bCs/>
                <w:color w:val="FFFFFF"/>
              </w:rPr>
              <w:lastRenderedPageBreak/>
              <w:t>E6-F11</w:t>
            </w:r>
          </w:p>
        </w:tc>
        <w:tc>
          <w:tcPr>
            <w:tcW w:w="7054" w:type="dxa"/>
            <w:tcBorders>
              <w:top w:val="single" w:sz="1" w:space="0" w:color="C8D8E8"/>
              <w:left w:val="single" w:sz="1" w:space="0" w:color="C8D8E8"/>
              <w:bottom w:val="single" w:sz="1" w:space="0" w:color="C8D8E8"/>
              <w:right w:val="single" w:sz="1" w:space="0" w:color="C8D8E8"/>
            </w:tcBorders>
            <w:shd w:val="clear" w:color="auto" w:fill="FFF3E0"/>
            <w:tcMar>
              <w:top w:w="70" w:type="dxa"/>
              <w:left w:w="120" w:type="dxa"/>
              <w:bottom w:w="70" w:type="dxa"/>
              <w:right w:w="120" w:type="dxa"/>
            </w:tcMar>
            <w:vAlign w:val="center"/>
          </w:tcPr>
          <w:p w14:paraId="757E8EFC" w14:textId="77777777" w:rsidR="00D16019" w:rsidRDefault="00000000">
            <w:pPr>
              <w:keepNext/>
              <w:spacing w:before="10" w:after="10"/>
            </w:pPr>
            <w:r>
              <w:rPr>
                <w:b/>
                <w:bCs/>
                <w:color w:val="935116"/>
                <w:sz w:val="24"/>
                <w:szCs w:val="24"/>
              </w:rPr>
              <w:t>Comunicação comunitária – grupos de mensagens</w:t>
            </w:r>
          </w:p>
        </w:tc>
        <w:tc>
          <w:tcPr>
            <w:tcW w:w="1300" w:type="dxa"/>
            <w:tcBorders>
              <w:top w:val="single" w:sz="1" w:space="0" w:color="C8D8E8"/>
              <w:left w:val="single" w:sz="1" w:space="0" w:color="C8D8E8"/>
              <w:bottom w:val="single" w:sz="1" w:space="0" w:color="C8D8E8"/>
              <w:right w:val="single" w:sz="1" w:space="0" w:color="C8D8E8"/>
            </w:tcBorders>
            <w:shd w:val="clear" w:color="auto" w:fill="FFF3E0"/>
            <w:tcMar>
              <w:top w:w="70" w:type="dxa"/>
              <w:left w:w="120" w:type="dxa"/>
              <w:bottom w:w="70" w:type="dxa"/>
              <w:right w:w="120" w:type="dxa"/>
            </w:tcMar>
            <w:vAlign w:val="center"/>
          </w:tcPr>
          <w:p w14:paraId="13404140" w14:textId="77777777" w:rsidR="00D16019" w:rsidRDefault="00000000">
            <w:pPr>
              <w:keepNext/>
              <w:spacing w:before="10" w:after="10"/>
              <w:jc w:val="center"/>
            </w:pPr>
            <w:r>
              <w:rPr>
                <w:color w:val="935116"/>
                <w:sz w:val="20"/>
                <w:szCs w:val="20"/>
              </w:rPr>
              <w:t>ODS 11</w:t>
            </w:r>
          </w:p>
        </w:tc>
      </w:tr>
    </w:tbl>
    <w:p w14:paraId="4FEC8260"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Grupos de celular, como os de WhatsApp, usados pelos moradores para avisar, informar e se ajudar.</w:t>
      </w:r>
    </w:p>
    <w:p w14:paraId="3F528A0C" w14:textId="66C78595" w:rsidR="00D16019" w:rsidRDefault="00000000">
      <w:pPr>
        <w:spacing w:before="60" w:after="220" w:line="276" w:lineRule="auto"/>
        <w:jc w:val="both"/>
      </w:pPr>
      <w:r>
        <w:t>Os grupos de mensagens são o principal canal de comunicação comunitária em Campo Grande, usados por associações de moradores, escolas, igrejas, equipes de saúde, comunidades indígenas e redes de vizinhança para avisos, organização de ações e circulação de informações. Nos eventos extremos de 2025 e 2026, esses grupos difundiram alertas, informações sobre interrupção de energia e pedidos de ajuda com rapidez superior à dos canais oficiais, mas também propagaram informações imprecisas. Sua efetividade depende de moderação, de fontes confiáveis e da conexão, comprometida quando a energia falha por longos períodos. O fator articula-se a E6-F03, E2-F29, E2-F37 e E4-F09, e o plano popular pode estruturar uma rede de grupos territoriais com pontos focais formados para retransmitir alertas oficiais e informações verificadas de saúde.</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08E3E84E"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935116"/>
            <w:tcMar>
              <w:top w:w="70" w:type="dxa"/>
              <w:left w:w="120" w:type="dxa"/>
              <w:bottom w:w="70" w:type="dxa"/>
              <w:right w:w="120" w:type="dxa"/>
            </w:tcMar>
            <w:vAlign w:val="center"/>
          </w:tcPr>
          <w:p w14:paraId="5C86BAC9" w14:textId="77777777" w:rsidR="00D16019" w:rsidRDefault="00000000">
            <w:pPr>
              <w:keepNext/>
              <w:spacing w:before="10" w:after="10"/>
              <w:jc w:val="center"/>
            </w:pPr>
            <w:r>
              <w:rPr>
                <w:b/>
                <w:bCs/>
                <w:color w:val="FFFFFF"/>
              </w:rPr>
              <w:t>E6-F15</w:t>
            </w:r>
          </w:p>
        </w:tc>
        <w:tc>
          <w:tcPr>
            <w:tcW w:w="7054" w:type="dxa"/>
            <w:tcBorders>
              <w:top w:val="single" w:sz="1" w:space="0" w:color="C8D8E8"/>
              <w:left w:val="single" w:sz="1" w:space="0" w:color="C8D8E8"/>
              <w:bottom w:val="single" w:sz="1" w:space="0" w:color="C8D8E8"/>
              <w:right w:val="single" w:sz="1" w:space="0" w:color="C8D8E8"/>
            </w:tcBorders>
            <w:shd w:val="clear" w:color="auto" w:fill="FFF3E0"/>
            <w:tcMar>
              <w:top w:w="70" w:type="dxa"/>
              <w:left w:w="120" w:type="dxa"/>
              <w:bottom w:w="70" w:type="dxa"/>
              <w:right w:w="120" w:type="dxa"/>
            </w:tcMar>
            <w:vAlign w:val="center"/>
          </w:tcPr>
          <w:p w14:paraId="37B89559" w14:textId="77777777" w:rsidR="00D16019" w:rsidRDefault="00000000">
            <w:pPr>
              <w:keepNext/>
              <w:spacing w:before="10" w:after="10"/>
            </w:pPr>
            <w:r>
              <w:rPr>
                <w:b/>
                <w:bCs/>
                <w:color w:val="935116"/>
                <w:sz w:val="24"/>
                <w:szCs w:val="24"/>
              </w:rPr>
              <w:t>Grupos de escuta diários</w:t>
            </w:r>
          </w:p>
        </w:tc>
        <w:tc>
          <w:tcPr>
            <w:tcW w:w="1300" w:type="dxa"/>
            <w:tcBorders>
              <w:top w:val="single" w:sz="1" w:space="0" w:color="C8D8E8"/>
              <w:left w:val="single" w:sz="1" w:space="0" w:color="C8D8E8"/>
              <w:bottom w:val="single" w:sz="1" w:space="0" w:color="C8D8E8"/>
              <w:right w:val="single" w:sz="1" w:space="0" w:color="C8D8E8"/>
            </w:tcBorders>
            <w:shd w:val="clear" w:color="auto" w:fill="FFF3E0"/>
            <w:tcMar>
              <w:top w:w="70" w:type="dxa"/>
              <w:left w:w="120" w:type="dxa"/>
              <w:bottom w:w="70" w:type="dxa"/>
              <w:right w:w="120" w:type="dxa"/>
            </w:tcMar>
            <w:vAlign w:val="center"/>
          </w:tcPr>
          <w:p w14:paraId="3F46597D" w14:textId="77777777" w:rsidR="00D16019" w:rsidRDefault="00000000">
            <w:pPr>
              <w:keepNext/>
              <w:spacing w:before="10" w:after="10"/>
              <w:jc w:val="center"/>
            </w:pPr>
            <w:r>
              <w:rPr>
                <w:color w:val="935116"/>
                <w:sz w:val="20"/>
                <w:szCs w:val="20"/>
              </w:rPr>
              <w:t>ODS 17</w:t>
            </w:r>
          </w:p>
        </w:tc>
      </w:tr>
    </w:tbl>
    <w:p w14:paraId="2A53AE49"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Encontros ou canais onde as pessoas podem falar do que sentem e do que precisam, sendo ouvidas com frequência.</w:t>
      </w:r>
    </w:p>
    <w:p w14:paraId="6751F7F7" w14:textId="77777777" w:rsidR="00D16019" w:rsidRDefault="00000000">
      <w:pPr>
        <w:spacing w:before="60" w:after="220" w:line="276" w:lineRule="auto"/>
        <w:jc w:val="both"/>
      </w:pPr>
      <w:r>
        <w:t>Os grupos de escuta, entendidos como espaços regulares em que pessoas podem expressar sofrimento e necessidades e ser acolhidas, existem em Campo Grande nos grupos terapêuticos da APS e dos CAPS, em pastorais e igrejas, em grupos de mulheres e em iniciativas comunitárias, sem mapeamento sistemático de sua oferta por território. A relevância do fator aumenta com a demanda crescente em saúde mental (E2-F18) e após desastres, quando o sofrimento associado a perdas materiais e à insegurança se manifesta de forma difusa. Grupos de escuta conduzidos por agentes comunitários, lideranças formadas e profissionais de saúde ampliam a capacidade de cuidado além dos serviços especializados, cuja rede municipal contava com sete CAPS em 2023 (Prefeitura, escala municipal). O fator articula-se a E2-F18, E6-F16 e E3-F14, e o plano popular pode prever a formação de facilitadores comunitários e a articulação desses grupos com o matriciamento em saúde mental.</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054"/>
        <w:gridCol w:w="1300"/>
      </w:tblGrid>
      <w:tr w:rsidR="00D16019" w14:paraId="6B8D647A" w14:textId="77777777">
        <w:trPr>
          <w:cantSplit/>
        </w:trPr>
        <w:tc>
          <w:tcPr>
            <w:tcW w:w="1000" w:type="dxa"/>
            <w:tcBorders>
              <w:top w:val="single" w:sz="1" w:space="0" w:color="C8D8E8"/>
              <w:left w:val="single" w:sz="1" w:space="0" w:color="C8D8E8"/>
              <w:bottom w:val="single" w:sz="1" w:space="0" w:color="C8D8E8"/>
              <w:right w:val="single" w:sz="1" w:space="0" w:color="C8D8E8"/>
            </w:tcBorders>
            <w:shd w:val="clear" w:color="auto" w:fill="935116"/>
            <w:tcMar>
              <w:top w:w="70" w:type="dxa"/>
              <w:left w:w="120" w:type="dxa"/>
              <w:bottom w:w="70" w:type="dxa"/>
              <w:right w:w="120" w:type="dxa"/>
            </w:tcMar>
            <w:vAlign w:val="center"/>
          </w:tcPr>
          <w:p w14:paraId="4EA2A994" w14:textId="77777777" w:rsidR="00D16019" w:rsidRDefault="00000000">
            <w:pPr>
              <w:keepNext/>
              <w:spacing w:before="10" w:after="10"/>
              <w:jc w:val="center"/>
            </w:pPr>
            <w:r>
              <w:rPr>
                <w:b/>
                <w:bCs/>
                <w:color w:val="FFFFFF"/>
              </w:rPr>
              <w:t>E6-F16</w:t>
            </w:r>
          </w:p>
        </w:tc>
        <w:tc>
          <w:tcPr>
            <w:tcW w:w="7054" w:type="dxa"/>
            <w:tcBorders>
              <w:top w:val="single" w:sz="1" w:space="0" w:color="C8D8E8"/>
              <w:left w:val="single" w:sz="1" w:space="0" w:color="C8D8E8"/>
              <w:bottom w:val="single" w:sz="1" w:space="0" w:color="C8D8E8"/>
              <w:right w:val="single" w:sz="1" w:space="0" w:color="C8D8E8"/>
            </w:tcBorders>
            <w:shd w:val="clear" w:color="auto" w:fill="FFF3E0"/>
            <w:tcMar>
              <w:top w:w="70" w:type="dxa"/>
              <w:left w:w="120" w:type="dxa"/>
              <w:bottom w:w="70" w:type="dxa"/>
              <w:right w:w="120" w:type="dxa"/>
            </w:tcMar>
            <w:vAlign w:val="center"/>
          </w:tcPr>
          <w:p w14:paraId="51506D5A" w14:textId="77777777" w:rsidR="00D16019" w:rsidRDefault="00000000">
            <w:pPr>
              <w:keepNext/>
              <w:spacing w:before="10" w:after="10"/>
            </w:pPr>
            <w:r>
              <w:rPr>
                <w:b/>
                <w:bCs/>
                <w:color w:val="935116"/>
                <w:sz w:val="24"/>
                <w:szCs w:val="24"/>
              </w:rPr>
              <w:t xml:space="preserve">Igrejas, grupos religiosos e outros coletivos que apoiam as </w:t>
            </w:r>
            <w:proofErr w:type="gramStart"/>
            <w:r>
              <w:rPr>
                <w:b/>
                <w:bCs/>
                <w:color w:val="935116"/>
                <w:sz w:val="24"/>
                <w:szCs w:val="24"/>
              </w:rPr>
              <w:t>situações de emergência</w:t>
            </w:r>
            <w:proofErr w:type="gramEnd"/>
          </w:p>
        </w:tc>
        <w:tc>
          <w:tcPr>
            <w:tcW w:w="1300" w:type="dxa"/>
            <w:tcBorders>
              <w:top w:val="single" w:sz="1" w:space="0" w:color="C8D8E8"/>
              <w:left w:val="single" w:sz="1" w:space="0" w:color="C8D8E8"/>
              <w:bottom w:val="single" w:sz="1" w:space="0" w:color="C8D8E8"/>
              <w:right w:val="single" w:sz="1" w:space="0" w:color="C8D8E8"/>
            </w:tcBorders>
            <w:shd w:val="clear" w:color="auto" w:fill="FFF3E0"/>
            <w:tcMar>
              <w:top w:w="70" w:type="dxa"/>
              <w:left w:w="120" w:type="dxa"/>
              <w:bottom w:w="70" w:type="dxa"/>
              <w:right w:w="120" w:type="dxa"/>
            </w:tcMar>
            <w:vAlign w:val="center"/>
          </w:tcPr>
          <w:p w14:paraId="158006B1" w14:textId="77777777" w:rsidR="00D16019" w:rsidRDefault="00000000">
            <w:pPr>
              <w:keepNext/>
              <w:spacing w:before="10" w:after="10"/>
              <w:jc w:val="center"/>
            </w:pPr>
            <w:r>
              <w:rPr>
                <w:color w:val="935116"/>
                <w:sz w:val="20"/>
                <w:szCs w:val="20"/>
              </w:rPr>
              <w:t>ODS 17</w:t>
            </w:r>
          </w:p>
        </w:tc>
      </w:tr>
    </w:tbl>
    <w:p w14:paraId="2A5494A8" w14:textId="77777777" w:rsidR="00D16019" w:rsidRDefault="00000000">
      <w:pPr>
        <w:keepNext/>
        <w:spacing w:before="60" w:after="60" w:line="276" w:lineRule="auto"/>
        <w:ind w:left="284"/>
        <w:jc w:val="both"/>
      </w:pPr>
      <w:r>
        <w:rPr>
          <w:b/>
          <w:bCs/>
          <w:i/>
          <w:iCs/>
          <w:color w:val="4A5568"/>
          <w:sz w:val="21"/>
          <w:szCs w:val="21"/>
        </w:rPr>
        <w:t xml:space="preserve">Definição de referência: </w:t>
      </w:r>
      <w:r>
        <w:rPr>
          <w:i/>
          <w:iCs/>
          <w:color w:val="4A5568"/>
          <w:sz w:val="21"/>
          <w:szCs w:val="21"/>
        </w:rPr>
        <w:t>Igrejas e outros grupos que oferecem abrigo, comida e apoio às pessoas em momentos de desastre.</w:t>
      </w:r>
    </w:p>
    <w:p w14:paraId="09D7C016" w14:textId="6CCD0740" w:rsidR="00D16019" w:rsidRDefault="00000000">
      <w:pPr>
        <w:spacing w:before="60" w:after="220" w:line="276" w:lineRule="auto"/>
        <w:jc w:val="both"/>
      </w:pPr>
      <w:r>
        <w:t xml:space="preserve">As igrejas, grupos religiosos e coletivos comunitários de Campo Grande desempenham papel relevante no apoio a pessoas em situação de vulnerabilidade, com distribuição de alimentos, acolhimento de pessoas em situação de rua, apoio a famílias atingidas por eventos extremos e cessão de espaços para atividades comunitárias. Sua capilaridade nas regiões periféricas supera a de muitos serviços públicos, o que os torna atores estratégicos na resposta a emergências, como pontos de abrigo, distribuição de doações e comunicação. </w:t>
      </w:r>
      <w:r w:rsidRPr="00B90C82">
        <w:rPr>
          <w:highlight w:val="yellow"/>
        </w:rPr>
        <w:t>A ausência de cadastro dessas organizações e de acordos prévios com a Defesa Civil limita sua integração aos planos de contingência</w:t>
      </w:r>
      <w:r w:rsidR="00C610F8">
        <w:t>.</w:t>
      </w:r>
      <w:r>
        <w:t xml:space="preserve"> O fator articula-se a E5-F01, E2-F39, E1-F17 e E6-F15, e o plano popular deve prever formas de cooperação que respeitem a laicidade do Estado e a autonomia das organizações, com foco na proteção das pessoas atingidas.</w:t>
      </w:r>
    </w:p>
    <w:p w14:paraId="34F0B14F" w14:textId="77777777" w:rsidR="00D16019" w:rsidRDefault="00000000">
      <w:pPr>
        <w:pStyle w:val="Ttulo1"/>
        <w:pageBreakBefore/>
        <w:pBdr>
          <w:bottom w:val="single" w:sz="6" w:space="4" w:color="2E6DA4"/>
        </w:pBdr>
        <w:spacing w:after="200"/>
      </w:pPr>
      <w:r>
        <w:lastRenderedPageBreak/>
        <w:t>Síntese estratégica</w:t>
      </w:r>
    </w:p>
    <w:p w14:paraId="10CEE8B6" w14:textId="784D91B6" w:rsidR="00D16019" w:rsidRDefault="00000000">
      <w:pPr>
        <w:spacing w:before="60" w:after="120" w:line="276" w:lineRule="auto"/>
        <w:jc w:val="both"/>
      </w:pPr>
      <w:r>
        <w:t>A síntese cruza a análise dos 150 fatores para identificar nós críticos, entendidos como problemas cuja transformação produz efeitos em cadeia sobre outros fatores, e potencialidades que podem sustentar a ação. Na ausência da cartografia social, a seleção baseia-se nos dados secundários</w:t>
      </w:r>
      <w:r w:rsidR="009E3CFB">
        <w:t>.</w:t>
      </w:r>
    </w:p>
    <w:p w14:paraId="6CC24CC1" w14:textId="77777777" w:rsidR="00D16019" w:rsidRDefault="00000000">
      <w:pPr>
        <w:pStyle w:val="Ttulo2"/>
        <w:keepNext/>
        <w:spacing w:before="240" w:after="100"/>
      </w:pPr>
      <w:r>
        <w:t>Nós críticos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554"/>
        <w:gridCol w:w="2200"/>
      </w:tblGrid>
      <w:tr w:rsidR="00D16019" w14:paraId="1C36A789" w14:textId="77777777">
        <w:trPr>
          <w:tblHeader/>
        </w:trPr>
        <w:tc>
          <w:tcPr>
            <w:tcW w:w="26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7507829E" w14:textId="77777777" w:rsidR="00D16019" w:rsidRDefault="00000000">
            <w:pPr>
              <w:spacing w:before="10" w:after="10"/>
              <w:jc w:val="center"/>
            </w:pPr>
            <w:r>
              <w:rPr>
                <w:b/>
                <w:bCs/>
                <w:color w:val="FFFFFF"/>
                <w:sz w:val="19"/>
                <w:szCs w:val="19"/>
              </w:rPr>
              <w:t>Nó crítico</w:t>
            </w:r>
          </w:p>
        </w:tc>
        <w:tc>
          <w:tcPr>
            <w:tcW w:w="4554"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3C2AE700" w14:textId="77777777" w:rsidR="00D16019" w:rsidRDefault="00000000" w:rsidP="009E3CFB">
            <w:pPr>
              <w:spacing w:before="10" w:after="10"/>
              <w:jc w:val="center"/>
            </w:pPr>
            <w:r>
              <w:rPr>
                <w:b/>
                <w:bCs/>
                <w:color w:val="FFFFFF"/>
                <w:sz w:val="19"/>
                <w:szCs w:val="19"/>
              </w:rPr>
              <w:t>Expressão no território</w:t>
            </w:r>
          </w:p>
        </w:tc>
        <w:tc>
          <w:tcPr>
            <w:tcW w:w="22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54ECD1BA" w14:textId="77777777" w:rsidR="00D16019" w:rsidRDefault="00000000">
            <w:pPr>
              <w:spacing w:before="10" w:after="10"/>
              <w:jc w:val="center"/>
            </w:pPr>
            <w:r>
              <w:rPr>
                <w:b/>
                <w:bCs/>
                <w:color w:val="FFFFFF"/>
                <w:sz w:val="19"/>
                <w:szCs w:val="19"/>
              </w:rPr>
              <w:t>Fatores</w:t>
            </w:r>
          </w:p>
        </w:tc>
      </w:tr>
      <w:tr w:rsidR="00D16019" w14:paraId="62F307F4" w14:textId="77777777">
        <w:trPr>
          <w:cantSplit/>
        </w:trPr>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77C5F9E0" w14:textId="77777777" w:rsidR="00D16019" w:rsidRDefault="00000000">
            <w:pPr>
              <w:spacing w:before="10" w:after="10"/>
            </w:pPr>
            <w:r>
              <w:rPr>
                <w:b/>
                <w:bCs/>
                <w:color w:val="1A3A5C"/>
                <w:sz w:val="19"/>
                <w:szCs w:val="19"/>
              </w:rPr>
              <w:t>1. Ausência de preparação comunitária para eventos extremos</w:t>
            </w:r>
          </w:p>
        </w:tc>
        <w:tc>
          <w:tcPr>
            <w:tcW w:w="4554"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010FEEAE" w14:textId="77777777" w:rsidR="00D16019" w:rsidRDefault="00000000" w:rsidP="009E3CFB">
            <w:pPr>
              <w:spacing w:before="10" w:after="10"/>
              <w:jc w:val="both"/>
            </w:pPr>
            <w:r>
              <w:rPr>
                <w:sz w:val="19"/>
                <w:szCs w:val="19"/>
              </w:rPr>
              <w:t>Vendaval de 2026 com emergência decretada, alagamentos de 2025, fumaça de 2024 e barragens de risco alto sem alerta, rotas, pontos de encontro e brigadas comunitárias</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5B4436B1" w14:textId="77777777" w:rsidR="00D16019" w:rsidRDefault="00000000">
            <w:pPr>
              <w:spacing w:before="10" w:after="10"/>
            </w:pPr>
            <w:r>
              <w:rPr>
                <w:sz w:val="19"/>
                <w:szCs w:val="19"/>
              </w:rPr>
              <w:t>E2-F17, E2-F32, E2-F37, E2-F26, E2-F39, E5-F15, E4-F12</w:t>
            </w:r>
          </w:p>
        </w:tc>
      </w:tr>
      <w:tr w:rsidR="00D16019" w14:paraId="40606A73" w14:textId="77777777">
        <w:trPr>
          <w:cantSplit/>
        </w:trPr>
        <w:tc>
          <w:tcPr>
            <w:tcW w:w="26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20851746" w14:textId="77777777" w:rsidR="00D16019" w:rsidRDefault="00000000">
            <w:pPr>
              <w:spacing w:before="10" w:after="10"/>
            </w:pPr>
            <w:r>
              <w:rPr>
                <w:b/>
                <w:bCs/>
                <w:color w:val="1A3A5C"/>
                <w:sz w:val="19"/>
                <w:szCs w:val="19"/>
              </w:rPr>
              <w:t>2. Desigualdade intraurbana de infraestrutura e serviços</w:t>
            </w:r>
          </w:p>
        </w:tc>
        <w:tc>
          <w:tcPr>
            <w:tcW w:w="4554"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2CDAA708" w14:textId="77777777" w:rsidR="00D16019" w:rsidRDefault="00000000" w:rsidP="009E3CFB">
            <w:pPr>
              <w:spacing w:before="10" w:after="10"/>
              <w:jc w:val="both"/>
            </w:pPr>
            <w:r>
              <w:rPr>
                <w:sz w:val="19"/>
                <w:szCs w:val="19"/>
              </w:rPr>
              <w:t>Periferias com menor drenagem, iluminação, transporte, cultura e lazer; centro esvaziado; pior índice cultural entre capitais</w:t>
            </w:r>
          </w:p>
        </w:tc>
        <w:tc>
          <w:tcPr>
            <w:tcW w:w="22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5B46A623" w14:textId="77777777" w:rsidR="00D16019" w:rsidRDefault="00000000">
            <w:pPr>
              <w:spacing w:before="10" w:after="10"/>
            </w:pPr>
            <w:r>
              <w:rPr>
                <w:sz w:val="19"/>
                <w:szCs w:val="19"/>
              </w:rPr>
              <w:t>E5-F24, E5-F22, E5-F23, E5-F18, E5-F30, E3-F17</w:t>
            </w:r>
          </w:p>
        </w:tc>
      </w:tr>
      <w:tr w:rsidR="00D16019" w14:paraId="39B6E9D1" w14:textId="77777777">
        <w:trPr>
          <w:cantSplit/>
        </w:trPr>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4DE0A088" w14:textId="77777777" w:rsidR="00D16019" w:rsidRDefault="00000000">
            <w:pPr>
              <w:spacing w:before="10" w:after="10"/>
            </w:pPr>
            <w:r>
              <w:rPr>
                <w:b/>
                <w:bCs/>
                <w:color w:val="1A3A5C"/>
                <w:sz w:val="19"/>
                <w:szCs w:val="19"/>
              </w:rPr>
              <w:t>3. Racismo estrutural e ambiental</w:t>
            </w:r>
          </w:p>
        </w:tc>
        <w:tc>
          <w:tcPr>
            <w:tcW w:w="4554"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3D7B6AAE" w14:textId="77777777" w:rsidR="00D16019" w:rsidRDefault="00000000" w:rsidP="009E3CFB">
            <w:pPr>
              <w:spacing w:before="10" w:after="10"/>
              <w:jc w:val="both"/>
            </w:pPr>
            <w:proofErr w:type="spellStart"/>
            <w:r>
              <w:rPr>
                <w:sz w:val="19"/>
                <w:szCs w:val="19"/>
              </w:rPr>
              <w:t>Sobremortalidade</w:t>
            </w:r>
            <w:proofErr w:type="spellEnd"/>
            <w:r>
              <w:rPr>
                <w:sz w:val="19"/>
                <w:szCs w:val="19"/>
              </w:rPr>
              <w:t xml:space="preserve"> de jovens negros e indígenas, perfil racial da mortalidade materna e da população em situação de rua, exposição ambiental concentrada</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42B876EB" w14:textId="77777777" w:rsidR="00D16019" w:rsidRDefault="00000000">
            <w:pPr>
              <w:spacing w:before="10" w:after="10"/>
            </w:pPr>
            <w:r>
              <w:rPr>
                <w:sz w:val="19"/>
                <w:szCs w:val="19"/>
              </w:rPr>
              <w:t>E3-F16, E3-F17, E2-F28, E2-F03, E3-F19</w:t>
            </w:r>
          </w:p>
        </w:tc>
      </w:tr>
      <w:tr w:rsidR="00D16019" w14:paraId="0D6FC138" w14:textId="77777777">
        <w:trPr>
          <w:cantSplit/>
        </w:trPr>
        <w:tc>
          <w:tcPr>
            <w:tcW w:w="26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3934C59A" w14:textId="77777777" w:rsidR="00D16019" w:rsidRDefault="00000000">
            <w:pPr>
              <w:spacing w:before="10" w:after="10"/>
            </w:pPr>
            <w:r>
              <w:rPr>
                <w:b/>
                <w:bCs/>
                <w:color w:val="1A3A5C"/>
                <w:sz w:val="19"/>
                <w:szCs w:val="19"/>
              </w:rPr>
              <w:t>4. Doenças transmissíveis e imunização insuficiente</w:t>
            </w:r>
          </w:p>
        </w:tc>
        <w:tc>
          <w:tcPr>
            <w:tcW w:w="4554"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388D7425" w14:textId="77777777" w:rsidR="00D16019" w:rsidRDefault="00000000" w:rsidP="009E3CFB">
            <w:pPr>
              <w:spacing w:before="10" w:after="10"/>
              <w:jc w:val="both"/>
            </w:pPr>
            <w:r>
              <w:rPr>
                <w:sz w:val="19"/>
                <w:szCs w:val="19"/>
              </w:rPr>
              <w:t>Arboviroses sazonais, leishmaniose endêmica, 2.041 acidentes com escorpiões em 2025, tríplice viral em 78,53%</w:t>
            </w:r>
          </w:p>
        </w:tc>
        <w:tc>
          <w:tcPr>
            <w:tcW w:w="22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25AD890F" w14:textId="77777777" w:rsidR="00D16019" w:rsidRDefault="00000000">
            <w:pPr>
              <w:spacing w:before="10" w:after="10"/>
            </w:pPr>
            <w:r>
              <w:rPr>
                <w:sz w:val="19"/>
                <w:szCs w:val="19"/>
              </w:rPr>
              <w:t>E2-F07, E2-F08, E2-F35, E2-F14, E1-F27</w:t>
            </w:r>
          </w:p>
        </w:tc>
      </w:tr>
      <w:tr w:rsidR="00D16019" w14:paraId="6D9223F0" w14:textId="77777777">
        <w:trPr>
          <w:cantSplit/>
        </w:trPr>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135440BC" w14:textId="77777777" w:rsidR="00D16019" w:rsidRDefault="00000000">
            <w:pPr>
              <w:spacing w:before="10" w:after="10"/>
            </w:pPr>
            <w:r>
              <w:rPr>
                <w:b/>
                <w:bCs/>
                <w:color w:val="1A3A5C"/>
                <w:sz w:val="19"/>
                <w:szCs w:val="19"/>
              </w:rPr>
              <w:t>5. Saneamento em regressão relativa</w:t>
            </w:r>
          </w:p>
        </w:tc>
        <w:tc>
          <w:tcPr>
            <w:tcW w:w="4554"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22443966" w14:textId="77777777" w:rsidR="00D16019" w:rsidRDefault="00000000" w:rsidP="009E3CFB">
            <w:pPr>
              <w:spacing w:before="10" w:after="10"/>
              <w:jc w:val="both"/>
            </w:pPr>
            <w:r>
              <w:rPr>
                <w:sz w:val="19"/>
                <w:szCs w:val="19"/>
              </w:rPr>
              <w:t>Queda no Ranking do Saneamento, esgoto não tratado nos córregos, pressão sobre mananciais</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2E5AD460" w14:textId="77777777" w:rsidR="00D16019" w:rsidRDefault="00000000">
            <w:pPr>
              <w:spacing w:before="10" w:after="10"/>
            </w:pPr>
            <w:r>
              <w:rPr>
                <w:sz w:val="19"/>
                <w:szCs w:val="19"/>
              </w:rPr>
              <w:t>E2-F20, E2-F21, E2-F23, E4-F04</w:t>
            </w:r>
          </w:p>
        </w:tc>
      </w:tr>
      <w:tr w:rsidR="00D16019" w14:paraId="726E8B2F" w14:textId="77777777">
        <w:trPr>
          <w:cantSplit/>
        </w:trPr>
        <w:tc>
          <w:tcPr>
            <w:tcW w:w="26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1A79AFD1" w14:textId="77777777" w:rsidR="00D16019" w:rsidRDefault="00000000">
            <w:pPr>
              <w:spacing w:before="10" w:after="10"/>
            </w:pPr>
            <w:r>
              <w:rPr>
                <w:b/>
                <w:bCs/>
                <w:color w:val="1A3A5C"/>
                <w:sz w:val="19"/>
                <w:szCs w:val="19"/>
              </w:rPr>
              <w:t>6. Exclusão de populações em situação de rua, indígenas e migrantes</w:t>
            </w:r>
          </w:p>
        </w:tc>
        <w:tc>
          <w:tcPr>
            <w:tcW w:w="4554"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495AA1B1" w14:textId="77777777" w:rsidR="00D16019" w:rsidRDefault="00000000" w:rsidP="009E3CFB">
            <w:pPr>
              <w:spacing w:before="10" w:after="10"/>
              <w:jc w:val="both"/>
            </w:pPr>
            <w:r>
              <w:rPr>
                <w:sz w:val="19"/>
                <w:szCs w:val="19"/>
              </w:rPr>
              <w:t>1.476 pessoas em situação de rua, triplicação desde 2018, baixa documentação indígena, 17,1% de estrangeiros na rua</w:t>
            </w:r>
          </w:p>
        </w:tc>
        <w:tc>
          <w:tcPr>
            <w:tcW w:w="22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34F9E90E" w14:textId="77777777" w:rsidR="00D16019" w:rsidRDefault="00000000">
            <w:pPr>
              <w:spacing w:before="10" w:after="10"/>
            </w:pPr>
            <w:r>
              <w:rPr>
                <w:sz w:val="19"/>
                <w:szCs w:val="19"/>
              </w:rPr>
              <w:t>E3-F14, E3-F08, E3-F13, E3-F19, E2-F10</w:t>
            </w:r>
          </w:p>
        </w:tc>
      </w:tr>
      <w:tr w:rsidR="00D16019" w14:paraId="510FAD75" w14:textId="77777777">
        <w:trPr>
          <w:cantSplit/>
        </w:trPr>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15DE86C2" w14:textId="77777777" w:rsidR="00D16019" w:rsidRDefault="00000000">
            <w:pPr>
              <w:spacing w:before="10" w:after="10"/>
            </w:pPr>
            <w:r>
              <w:rPr>
                <w:b/>
                <w:bCs/>
                <w:color w:val="1A3A5C"/>
                <w:sz w:val="19"/>
                <w:szCs w:val="19"/>
              </w:rPr>
              <w:t>7. Riqueza sem redistribuição</w:t>
            </w:r>
          </w:p>
        </w:tc>
        <w:tc>
          <w:tcPr>
            <w:tcW w:w="4554"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14E47D8C" w14:textId="77777777" w:rsidR="00D16019" w:rsidRDefault="00000000" w:rsidP="009E3CFB">
            <w:pPr>
              <w:spacing w:before="10" w:after="10"/>
              <w:jc w:val="both"/>
            </w:pPr>
            <w:r>
              <w:rPr>
                <w:sz w:val="19"/>
                <w:szCs w:val="19"/>
              </w:rPr>
              <w:t>PIB per capita abaixo da média estadual, informalidade, sobrecarga de cuidado feminino, insegurança alimentar sem medição local</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1CB118C3" w14:textId="77777777" w:rsidR="00D16019" w:rsidRDefault="00000000">
            <w:pPr>
              <w:spacing w:before="10" w:after="10"/>
            </w:pPr>
            <w:r>
              <w:rPr>
                <w:sz w:val="19"/>
                <w:szCs w:val="19"/>
              </w:rPr>
              <w:t>E1-F28, E1-F07, E1-F02, E2-F02, E3-F01</w:t>
            </w:r>
          </w:p>
        </w:tc>
      </w:tr>
    </w:tbl>
    <w:p w14:paraId="617E3951" w14:textId="77777777" w:rsidR="00D16019" w:rsidRDefault="00000000">
      <w:pPr>
        <w:pStyle w:val="Ttulo2"/>
        <w:keepNext/>
        <w:spacing w:before="240" w:after="100"/>
      </w:pPr>
      <w:r>
        <w:t>Potencialidades</w:t>
      </w:r>
    </w:p>
    <w:p w14:paraId="4269D422" w14:textId="77777777" w:rsidR="00D16019" w:rsidRDefault="00000000">
      <w:pPr>
        <w:spacing w:before="60" w:after="120" w:line="276" w:lineRule="auto"/>
        <w:jc w:val="both"/>
      </w:pPr>
      <w:r>
        <w:t>Campo Grande dispõe de rede ampliada de APS, com 197 equipes de Saúde da Família, 147 de Saúde Bucal e 1.574 agentes comunitários de saúde em 2023 (e-Gestor), e de serviços especializados de referência estadual (E2-F15, E2-F16). A presença de universidades, Embrapa e Fiocruz, incluindo o monitoramento da qualidade do ar pela UFMS, oferece base técnica para respostas fundamentadas (E4-F06, E6-F04). As comunidades indígenas e quilombolas organizadas, a reestruturação do conselho indígena municipal e a densidade de associações, igrejas e coletivos com atuação em emergências constituem capital social mobilizável (E6-F01, E6-F16, E3-F10). A melhora do IDEB nos anos iniciais da rede municipal mostra capacidade de resposta a investimentos continuados (E5-F04). Os saberes tradicionais e as práticas de cuidado comunitário sustentam estratégias de saúde e adaptação culturalmente adequadas (E4-F18, E5-F29).</w:t>
      </w:r>
    </w:p>
    <w:p w14:paraId="70FBF1EB" w14:textId="77777777" w:rsidR="00D16019" w:rsidRDefault="00000000">
      <w:pPr>
        <w:pStyle w:val="Ttulo2"/>
        <w:keepNext/>
        <w:spacing w:before="240" w:after="100"/>
      </w:pPr>
      <w:r>
        <w:t>Matriz de prioridades para o ciclo PICAPS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754"/>
        <w:gridCol w:w="2200"/>
      </w:tblGrid>
      <w:tr w:rsidR="00D16019" w14:paraId="292C7990" w14:textId="77777777">
        <w:trPr>
          <w:tblHeader/>
        </w:trPr>
        <w:tc>
          <w:tcPr>
            <w:tcW w:w="24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0C7CAED9" w14:textId="77777777" w:rsidR="00D16019" w:rsidRDefault="00000000">
            <w:pPr>
              <w:spacing w:before="10" w:after="10"/>
              <w:jc w:val="center"/>
            </w:pPr>
            <w:r>
              <w:rPr>
                <w:b/>
                <w:bCs/>
                <w:color w:val="FFFFFF"/>
                <w:sz w:val="19"/>
                <w:szCs w:val="19"/>
              </w:rPr>
              <w:t>Prioridade</w:t>
            </w:r>
          </w:p>
        </w:tc>
        <w:tc>
          <w:tcPr>
            <w:tcW w:w="4754"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264C72A8" w14:textId="77777777" w:rsidR="00D16019" w:rsidRDefault="00000000" w:rsidP="009E3CFB">
            <w:pPr>
              <w:spacing w:before="10" w:after="10"/>
              <w:jc w:val="center"/>
            </w:pPr>
            <w:r>
              <w:rPr>
                <w:b/>
                <w:bCs/>
                <w:color w:val="FFFFFF"/>
                <w:sz w:val="19"/>
                <w:szCs w:val="19"/>
              </w:rPr>
              <w:t>Ação estruturante</w:t>
            </w:r>
          </w:p>
        </w:tc>
        <w:tc>
          <w:tcPr>
            <w:tcW w:w="22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5DD756DE" w14:textId="77777777" w:rsidR="00D16019" w:rsidRDefault="00000000">
            <w:pPr>
              <w:spacing w:before="10" w:after="10"/>
              <w:jc w:val="center"/>
            </w:pPr>
            <w:r>
              <w:rPr>
                <w:b/>
                <w:bCs/>
                <w:color w:val="FFFFFF"/>
                <w:sz w:val="19"/>
                <w:szCs w:val="19"/>
              </w:rPr>
              <w:t>Fatores</w:t>
            </w:r>
          </w:p>
        </w:tc>
      </w:tr>
      <w:tr w:rsidR="00D16019" w14:paraId="28A886EC" w14:textId="77777777">
        <w:trPr>
          <w:cantSplit/>
        </w:trPr>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2A4046E8" w14:textId="77777777" w:rsidR="00D16019" w:rsidRDefault="00000000">
            <w:pPr>
              <w:spacing w:before="10" w:after="10"/>
            </w:pPr>
            <w:r>
              <w:rPr>
                <w:b/>
                <w:bCs/>
                <w:color w:val="1A3A5C"/>
                <w:sz w:val="19"/>
                <w:szCs w:val="19"/>
              </w:rPr>
              <w:t>Brigadas populares e preparação comunitária</w:t>
            </w:r>
          </w:p>
        </w:tc>
        <w:tc>
          <w:tcPr>
            <w:tcW w:w="4754"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7EECF198" w14:textId="77777777" w:rsidR="00D16019" w:rsidRDefault="00000000" w:rsidP="009E3CFB">
            <w:pPr>
              <w:spacing w:before="10" w:after="10"/>
              <w:jc w:val="both"/>
            </w:pPr>
            <w:r>
              <w:rPr>
                <w:sz w:val="19"/>
                <w:szCs w:val="19"/>
              </w:rPr>
              <w:t>Inventário comunitário de riscos, rotas e pontos de encontro por região; formação de brigadas articuladas à Defesa Civil e à APS; cadeia de alerta com rádios e grupos de mensagens</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62FD40B7" w14:textId="77777777" w:rsidR="00D16019" w:rsidRDefault="00000000">
            <w:pPr>
              <w:spacing w:before="10" w:after="10"/>
            </w:pPr>
            <w:r>
              <w:rPr>
                <w:sz w:val="19"/>
                <w:szCs w:val="19"/>
              </w:rPr>
              <w:t>E2-F32, E2-F33, E2-F26, E2-F39, E6-F03, E6-F11</w:t>
            </w:r>
          </w:p>
        </w:tc>
      </w:tr>
      <w:tr w:rsidR="00D16019" w14:paraId="783BB098" w14:textId="77777777">
        <w:trPr>
          <w:cantSplit/>
        </w:trPr>
        <w:tc>
          <w:tcPr>
            <w:tcW w:w="24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644CC86D" w14:textId="77777777" w:rsidR="00D16019" w:rsidRDefault="00000000">
            <w:pPr>
              <w:spacing w:before="10" w:after="10"/>
            </w:pPr>
            <w:r>
              <w:rPr>
                <w:b/>
                <w:bCs/>
                <w:color w:val="1A3A5C"/>
                <w:sz w:val="19"/>
                <w:szCs w:val="19"/>
              </w:rPr>
              <w:t>Reconstrução resiliente pós-vendaval</w:t>
            </w:r>
          </w:p>
        </w:tc>
        <w:tc>
          <w:tcPr>
            <w:tcW w:w="4754"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70B1DC61" w14:textId="77777777" w:rsidR="00D16019" w:rsidRDefault="00000000" w:rsidP="009E3CFB">
            <w:pPr>
              <w:spacing w:before="10" w:after="10"/>
              <w:jc w:val="both"/>
            </w:pPr>
            <w:r>
              <w:rPr>
                <w:sz w:val="19"/>
                <w:szCs w:val="19"/>
              </w:rPr>
              <w:t>Critérios de resiliência nas obras emergenciais de escolas e unidades de saúde, manejo e replantio da arborização, acompanhamento social das contratações</w:t>
            </w:r>
          </w:p>
        </w:tc>
        <w:tc>
          <w:tcPr>
            <w:tcW w:w="22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72606CD2" w14:textId="77777777" w:rsidR="00D16019" w:rsidRDefault="00000000">
            <w:pPr>
              <w:spacing w:before="10" w:after="10"/>
            </w:pPr>
            <w:r>
              <w:rPr>
                <w:sz w:val="19"/>
                <w:szCs w:val="19"/>
              </w:rPr>
              <w:t>E4-F10, E4-F07, E4-F25, E6-F08, E6-F09</w:t>
            </w:r>
          </w:p>
        </w:tc>
      </w:tr>
      <w:tr w:rsidR="00D16019" w14:paraId="06585679" w14:textId="77777777">
        <w:trPr>
          <w:cantSplit/>
        </w:trPr>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24F29E3F" w14:textId="77777777" w:rsidR="00D16019" w:rsidRDefault="00000000">
            <w:pPr>
              <w:spacing w:before="10" w:after="10"/>
            </w:pPr>
            <w:r>
              <w:rPr>
                <w:b/>
                <w:bCs/>
                <w:color w:val="1A3A5C"/>
                <w:sz w:val="19"/>
                <w:szCs w:val="19"/>
              </w:rPr>
              <w:lastRenderedPageBreak/>
              <w:t>Saúde integral de populações vulnerabilizadas</w:t>
            </w:r>
          </w:p>
        </w:tc>
        <w:tc>
          <w:tcPr>
            <w:tcW w:w="4754"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0AADA770" w14:textId="77777777" w:rsidR="00D16019" w:rsidRDefault="00000000" w:rsidP="009E3CFB">
            <w:pPr>
              <w:spacing w:before="10" w:after="10"/>
              <w:jc w:val="both"/>
            </w:pPr>
            <w:r>
              <w:rPr>
                <w:sz w:val="19"/>
                <w:szCs w:val="19"/>
              </w:rPr>
              <w:t>Mutirões de documentação, Consultório na Rua ampliado, mediação intercultural na APS, registro territorial de vulnerabilidades</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42FD3147" w14:textId="77777777" w:rsidR="00D16019" w:rsidRDefault="00000000">
            <w:pPr>
              <w:spacing w:before="10" w:after="10"/>
            </w:pPr>
            <w:r>
              <w:rPr>
                <w:sz w:val="19"/>
                <w:szCs w:val="19"/>
              </w:rPr>
              <w:t>E3-F08, E3-F14, E3-F13, E3-F09, E2-F15</w:t>
            </w:r>
          </w:p>
        </w:tc>
      </w:tr>
      <w:tr w:rsidR="00D16019" w14:paraId="40F55742" w14:textId="77777777">
        <w:trPr>
          <w:cantSplit/>
        </w:trPr>
        <w:tc>
          <w:tcPr>
            <w:tcW w:w="24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05FA2618" w14:textId="77777777" w:rsidR="00D16019" w:rsidRDefault="00000000">
            <w:pPr>
              <w:spacing w:before="10" w:after="10"/>
            </w:pPr>
            <w:r>
              <w:rPr>
                <w:b/>
                <w:bCs/>
                <w:color w:val="1A3A5C"/>
                <w:sz w:val="19"/>
                <w:szCs w:val="19"/>
              </w:rPr>
              <w:t>Controle integrado de vetores e peçonhentos</w:t>
            </w:r>
          </w:p>
        </w:tc>
        <w:tc>
          <w:tcPr>
            <w:tcW w:w="4754"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68941ACB" w14:textId="77777777" w:rsidR="00D16019" w:rsidRDefault="00000000" w:rsidP="009E3CFB">
            <w:pPr>
              <w:spacing w:before="10" w:after="10"/>
              <w:jc w:val="both"/>
            </w:pPr>
            <w:r>
              <w:rPr>
                <w:sz w:val="19"/>
                <w:szCs w:val="19"/>
              </w:rPr>
              <w:t>Calendário territorial de mutirões, cadeia de reciclagem com catadores, vacinação e vigilância por microárea</w:t>
            </w:r>
          </w:p>
        </w:tc>
        <w:tc>
          <w:tcPr>
            <w:tcW w:w="22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14D4C0CE" w14:textId="77777777" w:rsidR="00D16019" w:rsidRDefault="00000000">
            <w:pPr>
              <w:spacing w:before="10" w:after="10"/>
            </w:pPr>
            <w:r>
              <w:rPr>
                <w:sz w:val="19"/>
                <w:szCs w:val="19"/>
              </w:rPr>
              <w:t>E6-F05, E1-F27, E1-F11, E2-F07, E2-F35, E2-F14</w:t>
            </w:r>
          </w:p>
        </w:tc>
      </w:tr>
      <w:tr w:rsidR="00D16019" w14:paraId="0432385E" w14:textId="77777777">
        <w:trPr>
          <w:cantSplit/>
        </w:trPr>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1F215033" w14:textId="77777777" w:rsidR="00D16019" w:rsidRDefault="00000000">
            <w:pPr>
              <w:spacing w:before="10" w:after="10"/>
            </w:pPr>
            <w:r>
              <w:rPr>
                <w:b/>
                <w:bCs/>
                <w:color w:val="1A3A5C"/>
                <w:sz w:val="19"/>
                <w:szCs w:val="19"/>
              </w:rPr>
              <w:t>Saneamento e córregos</w:t>
            </w:r>
          </w:p>
        </w:tc>
        <w:tc>
          <w:tcPr>
            <w:tcW w:w="4754"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5C0E8A78" w14:textId="77777777" w:rsidR="00D16019" w:rsidRDefault="00000000" w:rsidP="009E3CFB">
            <w:pPr>
              <w:spacing w:before="10" w:after="10"/>
              <w:jc w:val="both"/>
            </w:pPr>
            <w:r>
              <w:rPr>
                <w:sz w:val="19"/>
                <w:szCs w:val="19"/>
              </w:rPr>
              <w:t>Acompanhamento social das metas da concessão, priorização de esgoto e drenagem nos fundos de vale, restauração de matas ciliares</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34E3048C" w14:textId="77777777" w:rsidR="00D16019" w:rsidRDefault="00000000">
            <w:pPr>
              <w:spacing w:before="10" w:after="10"/>
            </w:pPr>
            <w:r>
              <w:rPr>
                <w:sz w:val="19"/>
                <w:szCs w:val="19"/>
              </w:rPr>
              <w:t>E2-F22, E2-F20, E4-F04, E4-F25, E3-F17</w:t>
            </w:r>
          </w:p>
        </w:tc>
      </w:tr>
      <w:tr w:rsidR="00D16019" w14:paraId="5B8A4764" w14:textId="77777777">
        <w:trPr>
          <w:cantSplit/>
        </w:trPr>
        <w:tc>
          <w:tcPr>
            <w:tcW w:w="24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15A928E5" w14:textId="77777777" w:rsidR="00D16019" w:rsidRDefault="00000000">
            <w:pPr>
              <w:spacing w:before="10" w:after="10"/>
            </w:pPr>
            <w:r>
              <w:rPr>
                <w:b/>
                <w:bCs/>
                <w:color w:val="1A3A5C"/>
                <w:sz w:val="19"/>
                <w:szCs w:val="19"/>
              </w:rPr>
              <w:t>Plano municipal de adaptação climática</w:t>
            </w:r>
          </w:p>
        </w:tc>
        <w:tc>
          <w:tcPr>
            <w:tcW w:w="4754"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15929C41" w14:textId="77777777" w:rsidR="00D16019" w:rsidRDefault="00000000" w:rsidP="009E3CFB">
            <w:pPr>
              <w:spacing w:before="10" w:after="10"/>
              <w:jc w:val="both"/>
            </w:pPr>
            <w:r>
              <w:rPr>
                <w:sz w:val="19"/>
                <w:szCs w:val="19"/>
              </w:rPr>
              <w:t>Elaboração participativa com metas para calor, fumaça, estiagem, vento e enchentes, integrando saúde, drenagem, energia e arborização</w:t>
            </w:r>
          </w:p>
        </w:tc>
        <w:tc>
          <w:tcPr>
            <w:tcW w:w="22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348132E5" w14:textId="77777777" w:rsidR="00D16019" w:rsidRDefault="00000000">
            <w:pPr>
              <w:spacing w:before="10" w:after="10"/>
            </w:pPr>
            <w:r>
              <w:rPr>
                <w:sz w:val="19"/>
                <w:szCs w:val="19"/>
              </w:rPr>
              <w:t>E4-F12, E4-F11, E2-F25, E2-F30, E5-F20</w:t>
            </w:r>
          </w:p>
        </w:tc>
      </w:tr>
      <w:tr w:rsidR="00D16019" w14:paraId="3320D513" w14:textId="77777777">
        <w:trPr>
          <w:cantSplit/>
        </w:trPr>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62E1BD1D" w14:textId="77777777" w:rsidR="00D16019" w:rsidRDefault="00000000">
            <w:pPr>
              <w:spacing w:before="10" w:after="10"/>
            </w:pPr>
            <w:r>
              <w:rPr>
                <w:b/>
                <w:bCs/>
                <w:color w:val="1A3A5C"/>
                <w:sz w:val="19"/>
                <w:szCs w:val="19"/>
              </w:rPr>
              <w:t>Cuidado, renda e alimentação</w:t>
            </w:r>
          </w:p>
        </w:tc>
        <w:tc>
          <w:tcPr>
            <w:tcW w:w="4754"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0920F00F" w14:textId="77777777" w:rsidR="00D16019" w:rsidRDefault="00000000" w:rsidP="009E3CFB">
            <w:pPr>
              <w:spacing w:before="10" w:after="10"/>
              <w:jc w:val="both"/>
            </w:pPr>
            <w:r>
              <w:rPr>
                <w:sz w:val="19"/>
                <w:szCs w:val="19"/>
              </w:rPr>
              <w:t>Vagas em creche por território, apoio a hortas e economia solidária, vigilância alimentar e nutricional pela APS</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4FA61FDA" w14:textId="77777777" w:rsidR="00D16019" w:rsidRDefault="00000000">
            <w:pPr>
              <w:spacing w:before="10" w:after="10"/>
            </w:pPr>
            <w:r>
              <w:rPr>
                <w:sz w:val="19"/>
                <w:szCs w:val="19"/>
              </w:rPr>
              <w:t>E1-F01, E1-F07, E1-F04, E1-F11, E2-F02</w:t>
            </w:r>
          </w:p>
        </w:tc>
      </w:tr>
    </w:tbl>
    <w:p w14:paraId="0D9AFC71" w14:textId="77777777" w:rsidR="00D16019" w:rsidRDefault="00000000">
      <w:pPr>
        <w:pStyle w:val="Ttulo1"/>
        <w:pageBreakBefore/>
        <w:pBdr>
          <w:bottom w:val="single" w:sz="6" w:space="4" w:color="2E6DA4"/>
        </w:pBdr>
        <w:spacing w:after="200"/>
      </w:pPr>
      <w:r>
        <w:lastRenderedPageBreak/>
        <w:t>Notas metodológicas e fontes</w:t>
      </w:r>
    </w:p>
    <w:p w14:paraId="3A3B3B22" w14:textId="77777777" w:rsidR="00D16019" w:rsidRDefault="00000000">
      <w:pPr>
        <w:pStyle w:val="Ttulo2"/>
        <w:keepNext/>
        <w:spacing w:before="240" w:after="100"/>
      </w:pPr>
      <w:r>
        <w:t>Fatores de baixa aplicabilidade territorial</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100"/>
        <w:gridCol w:w="4254"/>
      </w:tblGrid>
      <w:tr w:rsidR="00D16019" w14:paraId="255A7B5E" w14:textId="77777777">
        <w:trPr>
          <w:tblHeader/>
        </w:trPr>
        <w:tc>
          <w:tcPr>
            <w:tcW w:w="30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0D585BF3" w14:textId="77777777" w:rsidR="00D16019" w:rsidRDefault="00000000">
            <w:pPr>
              <w:spacing w:before="10" w:after="10"/>
              <w:jc w:val="center"/>
            </w:pPr>
            <w:r>
              <w:rPr>
                <w:b/>
                <w:bCs/>
                <w:color w:val="FFFFFF"/>
                <w:sz w:val="19"/>
                <w:szCs w:val="19"/>
              </w:rPr>
              <w:t>Fator</w:t>
            </w:r>
          </w:p>
        </w:tc>
        <w:tc>
          <w:tcPr>
            <w:tcW w:w="21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11CC2F87" w14:textId="77777777" w:rsidR="00D16019" w:rsidRDefault="00000000">
            <w:pPr>
              <w:spacing w:before="10" w:after="10"/>
              <w:jc w:val="center"/>
            </w:pPr>
            <w:r>
              <w:rPr>
                <w:b/>
                <w:bCs/>
                <w:color w:val="FFFFFF"/>
                <w:sz w:val="19"/>
                <w:szCs w:val="19"/>
              </w:rPr>
              <w:t>Via adotada</w:t>
            </w:r>
          </w:p>
        </w:tc>
        <w:tc>
          <w:tcPr>
            <w:tcW w:w="4254"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61481500" w14:textId="77777777" w:rsidR="00D16019" w:rsidRDefault="00000000">
            <w:pPr>
              <w:spacing w:before="10" w:after="10"/>
              <w:jc w:val="center"/>
            </w:pPr>
            <w:r>
              <w:rPr>
                <w:b/>
                <w:bCs/>
                <w:color w:val="FFFFFF"/>
                <w:sz w:val="19"/>
                <w:szCs w:val="19"/>
              </w:rPr>
              <w:t>Justificativa</w:t>
            </w:r>
          </w:p>
        </w:tc>
      </w:tr>
      <w:tr w:rsidR="00D16019" w14:paraId="2364FCCF" w14:textId="77777777">
        <w:trPr>
          <w:cantSplit/>
        </w:trPr>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1B3B7AE0" w14:textId="77777777" w:rsidR="00D16019" w:rsidRDefault="00000000">
            <w:pPr>
              <w:spacing w:before="10" w:after="10"/>
            </w:pPr>
            <w:r>
              <w:rPr>
                <w:b/>
                <w:bCs/>
                <w:color w:val="1A3A5C"/>
                <w:sz w:val="19"/>
                <w:szCs w:val="19"/>
              </w:rPr>
              <w:t>E4-F13 Gerenciar e proteger os oceanos, mares e recursos marinhos</w:t>
            </w:r>
          </w:p>
        </w:tc>
        <w:tc>
          <w:tcPr>
            <w:tcW w:w="21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53E59FEB" w14:textId="77777777" w:rsidR="00D16019" w:rsidRDefault="00000000">
            <w:pPr>
              <w:spacing w:before="10" w:after="10"/>
            </w:pPr>
            <w:r>
              <w:rPr>
                <w:sz w:val="19"/>
                <w:szCs w:val="19"/>
              </w:rPr>
              <w:t>Interface indireta</w:t>
            </w:r>
          </w:p>
        </w:tc>
        <w:tc>
          <w:tcPr>
            <w:tcW w:w="4254"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2B34CB38" w14:textId="77777777" w:rsidR="00D16019" w:rsidRDefault="00000000">
            <w:pPr>
              <w:spacing w:before="10" w:after="10"/>
            </w:pPr>
            <w:r>
              <w:rPr>
                <w:sz w:val="19"/>
                <w:szCs w:val="19"/>
              </w:rPr>
              <w:t>Município sem costa; analisado pela contribuição das águas do território à bacia do rio Paraná</w:t>
            </w:r>
          </w:p>
        </w:tc>
      </w:tr>
      <w:tr w:rsidR="00D16019" w14:paraId="2BE0B63A" w14:textId="77777777">
        <w:trPr>
          <w:cantSplit/>
        </w:trPr>
        <w:tc>
          <w:tcPr>
            <w:tcW w:w="30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74436664" w14:textId="77777777" w:rsidR="00D16019" w:rsidRDefault="00000000">
            <w:pPr>
              <w:spacing w:before="10" w:after="10"/>
            </w:pPr>
            <w:r>
              <w:rPr>
                <w:b/>
                <w:bCs/>
                <w:color w:val="1A3A5C"/>
                <w:sz w:val="19"/>
                <w:szCs w:val="19"/>
              </w:rPr>
              <w:t>E4-F15 Pescadores artesanais</w:t>
            </w:r>
          </w:p>
        </w:tc>
        <w:tc>
          <w:tcPr>
            <w:tcW w:w="21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58BBF852" w14:textId="77777777" w:rsidR="00D16019" w:rsidRDefault="00000000">
            <w:pPr>
              <w:spacing w:before="10" w:after="10"/>
            </w:pPr>
            <w:r>
              <w:rPr>
                <w:sz w:val="19"/>
                <w:szCs w:val="19"/>
              </w:rPr>
              <w:t>Interface indireta</w:t>
            </w:r>
          </w:p>
        </w:tc>
        <w:tc>
          <w:tcPr>
            <w:tcW w:w="4254"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3E325481" w14:textId="77777777" w:rsidR="00D16019" w:rsidRDefault="00000000">
            <w:pPr>
              <w:spacing w:before="10" w:after="10"/>
            </w:pPr>
            <w:r>
              <w:rPr>
                <w:sz w:val="19"/>
                <w:szCs w:val="19"/>
              </w:rPr>
              <w:t>Pesca de pequena escala no território; relevância regional no Pantanal</w:t>
            </w:r>
          </w:p>
        </w:tc>
      </w:tr>
      <w:tr w:rsidR="00D16019" w14:paraId="22B429FF" w14:textId="77777777">
        <w:trPr>
          <w:cantSplit/>
        </w:trPr>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66BB8EFB" w14:textId="77777777" w:rsidR="00D16019" w:rsidRDefault="00000000">
            <w:pPr>
              <w:spacing w:before="10" w:after="10"/>
            </w:pPr>
            <w:r>
              <w:rPr>
                <w:b/>
                <w:bCs/>
                <w:color w:val="1A3A5C"/>
                <w:sz w:val="19"/>
                <w:szCs w:val="19"/>
              </w:rPr>
              <w:t>E2-F36 Pontos de deslizamento de terra</w:t>
            </w:r>
          </w:p>
        </w:tc>
        <w:tc>
          <w:tcPr>
            <w:tcW w:w="21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44693110" w14:textId="77777777" w:rsidR="00D16019" w:rsidRDefault="00000000">
            <w:pPr>
              <w:spacing w:before="10" w:after="10"/>
            </w:pPr>
            <w:r>
              <w:rPr>
                <w:sz w:val="19"/>
                <w:szCs w:val="19"/>
              </w:rPr>
              <w:t>Ausência de exposição como achado</w:t>
            </w:r>
          </w:p>
        </w:tc>
        <w:tc>
          <w:tcPr>
            <w:tcW w:w="4254"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128C12A6" w14:textId="77777777" w:rsidR="00D16019" w:rsidRDefault="00000000">
            <w:pPr>
              <w:spacing w:before="10" w:after="10"/>
            </w:pPr>
            <w:r>
              <w:rPr>
                <w:sz w:val="19"/>
                <w:szCs w:val="19"/>
              </w:rPr>
              <w:t>Relevo de planalto suavemente ondulado; interface analisada pelos processos erosivos lineares</w:t>
            </w:r>
          </w:p>
        </w:tc>
      </w:tr>
      <w:tr w:rsidR="00D16019" w14:paraId="02C53821" w14:textId="77777777">
        <w:trPr>
          <w:cantSplit/>
        </w:trPr>
        <w:tc>
          <w:tcPr>
            <w:tcW w:w="30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74BBDE3F" w14:textId="77777777" w:rsidR="00D16019" w:rsidRDefault="00000000">
            <w:pPr>
              <w:spacing w:before="10" w:after="10"/>
            </w:pPr>
            <w:r>
              <w:rPr>
                <w:b/>
                <w:bCs/>
                <w:color w:val="1A3A5C"/>
                <w:sz w:val="19"/>
                <w:szCs w:val="19"/>
              </w:rPr>
              <w:t>E3-F07 Tráfico de pessoas</w:t>
            </w:r>
          </w:p>
        </w:tc>
        <w:tc>
          <w:tcPr>
            <w:tcW w:w="21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664A0315" w14:textId="77777777" w:rsidR="00D16019" w:rsidRDefault="00000000">
            <w:pPr>
              <w:spacing w:before="10" w:after="10"/>
            </w:pPr>
            <w:r w:rsidRPr="00B90C82">
              <w:rPr>
                <w:sz w:val="19"/>
                <w:szCs w:val="19"/>
                <w:highlight w:val="yellow"/>
              </w:rPr>
              <w:t>Lacuna de informação</w:t>
            </w:r>
          </w:p>
        </w:tc>
        <w:tc>
          <w:tcPr>
            <w:tcW w:w="4254"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4065218F" w14:textId="77777777" w:rsidR="00D16019" w:rsidRDefault="00000000">
            <w:pPr>
              <w:spacing w:before="10" w:after="10"/>
            </w:pPr>
            <w:r>
              <w:rPr>
                <w:sz w:val="19"/>
                <w:szCs w:val="19"/>
              </w:rPr>
              <w:t>Ausência de dados municipais sistematizados; risco regional associado à fronteira</w:t>
            </w:r>
          </w:p>
        </w:tc>
      </w:tr>
    </w:tbl>
    <w:p w14:paraId="630700E9" w14:textId="77777777" w:rsidR="00D16019" w:rsidRDefault="00000000">
      <w:pPr>
        <w:pStyle w:val="Ttulo2"/>
        <w:keepNext/>
        <w:spacing w:before="240" w:after="100"/>
      </w:pPr>
      <w:r w:rsidRPr="00B90C82">
        <w:rPr>
          <w:highlight w:val="yellow"/>
        </w:rPr>
        <w:t>Principais lacunas de informação</w:t>
      </w:r>
    </w:p>
    <w:p w14:paraId="1EBAC9F5" w14:textId="57ADE0E0" w:rsidR="00D16019" w:rsidRDefault="00000000">
      <w:pPr>
        <w:spacing w:before="60" w:after="120" w:line="276" w:lineRule="auto"/>
        <w:jc w:val="both"/>
      </w:pPr>
      <w:r w:rsidRPr="00B90C82">
        <w:rPr>
          <w:highlight w:val="yellow"/>
        </w:rPr>
        <w:t>Constituem lacunas por consulta direta às bases: séries municipais do SIM, SINASC e SINAN para mortalidade materna, neonatal e por causas externas e para agravos transmissíveis; estrutura etária, pessoas com deficiência, características do entorno dos domicílios e acesso à internet do Censo 2022 por setor censitário; famílias no CadÚnico e no Bolsa Família por território (VIS Data/MDS); cobertura e uso da terra e focos de calor no município (MapBiomas, PRODES, Programa Queimadas); registros de desastres no S2iD; inventário de barragens no SNISB; indicadores do VIGITEL para a capital; matrículas e indicadores docentes do Censo Escolar por escola; execução orçamentária por função (SIOPS e portal de transparência); e inventário comunitário de organizações, rádios, grupos de mensagens, hortas e pontos de risco, a ser produzido pela cartografia social.</w:t>
      </w:r>
    </w:p>
    <w:p w14:paraId="7EE28847" w14:textId="77777777" w:rsidR="00D16019" w:rsidRDefault="00000000">
      <w:pPr>
        <w:pStyle w:val="Ttulo2"/>
        <w:keepNext/>
        <w:spacing w:before="240" w:after="100"/>
      </w:pPr>
      <w:r>
        <w:t>Fontes utilizadas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54"/>
      </w:tblGrid>
      <w:tr w:rsidR="00D16019" w14:paraId="21C113FE" w14:textId="77777777">
        <w:trPr>
          <w:tblHeader/>
        </w:trPr>
        <w:tc>
          <w:tcPr>
            <w:tcW w:w="900"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5393088C" w14:textId="77777777" w:rsidR="00D16019" w:rsidRDefault="00000000">
            <w:pPr>
              <w:spacing w:before="10" w:after="10"/>
              <w:jc w:val="center"/>
            </w:pPr>
            <w:r>
              <w:rPr>
                <w:b/>
                <w:bCs/>
                <w:color w:val="FFFFFF"/>
                <w:sz w:val="19"/>
                <w:szCs w:val="19"/>
              </w:rPr>
              <w:t>Eixo</w:t>
            </w:r>
          </w:p>
        </w:tc>
        <w:tc>
          <w:tcPr>
            <w:tcW w:w="8454" w:type="dxa"/>
            <w:tcBorders>
              <w:top w:val="single" w:sz="1" w:space="0" w:color="C8D8E8"/>
              <w:left w:val="single" w:sz="1" w:space="0" w:color="C8D8E8"/>
              <w:bottom w:val="single" w:sz="1" w:space="0" w:color="C8D8E8"/>
              <w:right w:val="single" w:sz="1" w:space="0" w:color="C8D8E8"/>
            </w:tcBorders>
            <w:shd w:val="clear" w:color="auto" w:fill="1A3A5C"/>
            <w:tcMar>
              <w:top w:w="70" w:type="dxa"/>
              <w:left w:w="120" w:type="dxa"/>
              <w:bottom w:w="70" w:type="dxa"/>
              <w:right w:w="120" w:type="dxa"/>
            </w:tcMar>
            <w:vAlign w:val="center"/>
          </w:tcPr>
          <w:p w14:paraId="4ABBCD55" w14:textId="77777777" w:rsidR="00D16019" w:rsidRDefault="00000000">
            <w:pPr>
              <w:spacing w:before="10" w:after="10"/>
              <w:jc w:val="center"/>
            </w:pPr>
            <w:r>
              <w:rPr>
                <w:b/>
                <w:bCs/>
                <w:color w:val="FFFFFF"/>
                <w:sz w:val="19"/>
                <w:szCs w:val="19"/>
              </w:rPr>
              <w:t>Fontes, ano de referência e escala</w:t>
            </w:r>
          </w:p>
        </w:tc>
      </w:tr>
      <w:tr w:rsidR="00D16019" w14:paraId="23E025C1" w14:textId="77777777">
        <w:trPr>
          <w:cantSplit/>
        </w:trPr>
        <w:tc>
          <w:tcPr>
            <w:tcW w:w="9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0728B026" w14:textId="77777777" w:rsidR="00D16019" w:rsidRDefault="00000000">
            <w:pPr>
              <w:spacing w:before="10" w:after="10"/>
            </w:pPr>
            <w:r>
              <w:rPr>
                <w:b/>
                <w:bCs/>
                <w:color w:val="1A3A5C"/>
                <w:sz w:val="19"/>
                <w:szCs w:val="19"/>
              </w:rPr>
              <w:t>Todos</w:t>
            </w:r>
          </w:p>
        </w:tc>
        <w:tc>
          <w:tcPr>
            <w:tcW w:w="8454"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3EFA501C" w14:textId="77777777" w:rsidR="00D16019" w:rsidRDefault="00000000">
            <w:pPr>
              <w:spacing w:before="10" w:after="10"/>
            </w:pPr>
            <w:r>
              <w:rPr>
                <w:sz w:val="19"/>
                <w:szCs w:val="19"/>
              </w:rPr>
              <w:t>IBGE, Censo Demográfico 2022 e IBGE Cidades (população, área, densidade, estimativa 2026, PIB per capita 2023, IDHM 2010, mortalidade infantil, receitas e despesas municipais), escala municipal</w:t>
            </w:r>
          </w:p>
        </w:tc>
      </w:tr>
      <w:tr w:rsidR="00D16019" w14:paraId="06A9DA06" w14:textId="77777777">
        <w:trPr>
          <w:cantSplit/>
        </w:trPr>
        <w:tc>
          <w:tcPr>
            <w:tcW w:w="9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69151FF2" w14:textId="77777777" w:rsidR="00D16019" w:rsidRDefault="00000000">
            <w:pPr>
              <w:spacing w:before="10" w:after="10"/>
            </w:pPr>
            <w:r>
              <w:rPr>
                <w:b/>
                <w:bCs/>
                <w:color w:val="1A3A5C"/>
                <w:sz w:val="19"/>
                <w:szCs w:val="19"/>
              </w:rPr>
              <w:t>Eixo 1</w:t>
            </w:r>
          </w:p>
        </w:tc>
        <w:tc>
          <w:tcPr>
            <w:tcW w:w="8454"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6A778803" w14:textId="77777777" w:rsidR="00D16019" w:rsidRDefault="00000000">
            <w:pPr>
              <w:spacing w:before="10" w:after="10"/>
            </w:pPr>
            <w:r>
              <w:rPr>
                <w:sz w:val="19"/>
                <w:szCs w:val="19"/>
              </w:rPr>
              <w:t xml:space="preserve">IBGE, PIB dos Municípios 2021 e 2023; </w:t>
            </w:r>
            <w:proofErr w:type="spellStart"/>
            <w:r>
              <w:rPr>
                <w:sz w:val="19"/>
                <w:szCs w:val="19"/>
              </w:rPr>
              <w:t>Semadesc</w:t>
            </w:r>
            <w:proofErr w:type="spellEnd"/>
            <w:r>
              <w:rPr>
                <w:sz w:val="19"/>
                <w:szCs w:val="19"/>
              </w:rPr>
              <w:t>-MS, PIB municipal 2023; CAGED, janeiro a setembro de 2024 e 2025; RAIS, vínculos e remuneração; Prefeitura de Campo Grande, empresas ativas 2020 a 2023; Instituto Água e Saneamento, resíduos sólidos (base SNIS)</w:t>
            </w:r>
          </w:p>
        </w:tc>
      </w:tr>
      <w:tr w:rsidR="00D16019" w14:paraId="3590C89E" w14:textId="77777777">
        <w:trPr>
          <w:cantSplit/>
        </w:trPr>
        <w:tc>
          <w:tcPr>
            <w:tcW w:w="9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3D1DC01E" w14:textId="77777777" w:rsidR="00D16019" w:rsidRDefault="00000000">
            <w:pPr>
              <w:spacing w:before="10" w:after="10"/>
            </w:pPr>
            <w:r>
              <w:rPr>
                <w:b/>
                <w:bCs/>
                <w:color w:val="1A3A5C"/>
                <w:sz w:val="19"/>
                <w:szCs w:val="19"/>
              </w:rPr>
              <w:t>Eixo 2</w:t>
            </w:r>
          </w:p>
        </w:tc>
        <w:tc>
          <w:tcPr>
            <w:tcW w:w="8454"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3960119F" w14:textId="77777777" w:rsidR="00D16019" w:rsidRDefault="00000000">
            <w:pPr>
              <w:spacing w:before="10" w:after="10"/>
            </w:pPr>
            <w:r>
              <w:rPr>
                <w:sz w:val="19"/>
                <w:szCs w:val="19"/>
              </w:rPr>
              <w:t xml:space="preserve">e-Gestor AB, cobertura e equipes 2017 a 2023; SES-MS, boletins de dengue e chikungunya 2024, Plano Estadual de Saúde 2024-2027, Plano Regional da Macrorregião de Campo Grande 2024, Boletim do Comitê de Mortalidade 2023 e 2025, Informe Técnico de Leishmaniose Visceral 2025; </w:t>
            </w:r>
            <w:proofErr w:type="spellStart"/>
            <w:r>
              <w:rPr>
                <w:sz w:val="19"/>
                <w:szCs w:val="19"/>
              </w:rPr>
              <w:t>Sesau</w:t>
            </w:r>
            <w:proofErr w:type="spellEnd"/>
            <w:r>
              <w:rPr>
                <w:sz w:val="19"/>
                <w:szCs w:val="19"/>
              </w:rPr>
              <w:t xml:space="preserve">, boletins de dengue 2026 e cobertura vacinal 2026; Instituto Trata Brasil, Rankings do Saneamento 2025 e 2026 (base SINISA 2023 e 2024); Instituto Água e Saneamento (base SNIS 2022); CEMADEN, abril de 2025; INMET, setembro de 2026; </w:t>
            </w:r>
            <w:proofErr w:type="spellStart"/>
            <w:r>
              <w:rPr>
                <w:sz w:val="19"/>
                <w:szCs w:val="19"/>
              </w:rPr>
              <w:t>QualiAr</w:t>
            </w:r>
            <w:proofErr w:type="spellEnd"/>
            <w:r>
              <w:rPr>
                <w:sz w:val="19"/>
                <w:szCs w:val="19"/>
              </w:rPr>
              <w:t>/UFMS, 2024; Prefeitura, decreto de situação de emergência de 12 de setembro de 2026</w:t>
            </w:r>
          </w:p>
        </w:tc>
      </w:tr>
      <w:tr w:rsidR="00D16019" w14:paraId="5A2C9FF1" w14:textId="77777777">
        <w:trPr>
          <w:cantSplit/>
        </w:trPr>
        <w:tc>
          <w:tcPr>
            <w:tcW w:w="9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0E6D36A9" w14:textId="77777777" w:rsidR="00D16019" w:rsidRDefault="00000000">
            <w:pPr>
              <w:spacing w:before="10" w:after="10"/>
            </w:pPr>
            <w:r>
              <w:rPr>
                <w:b/>
                <w:bCs/>
                <w:color w:val="1A3A5C"/>
                <w:sz w:val="19"/>
                <w:szCs w:val="19"/>
              </w:rPr>
              <w:t>Eixo 3</w:t>
            </w:r>
          </w:p>
        </w:tc>
        <w:tc>
          <w:tcPr>
            <w:tcW w:w="8454"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0ED69C08" w14:textId="77777777" w:rsidR="00D16019" w:rsidRDefault="00000000">
            <w:pPr>
              <w:spacing w:before="10" w:after="10"/>
            </w:pPr>
            <w:r>
              <w:rPr>
                <w:sz w:val="19"/>
                <w:szCs w:val="19"/>
              </w:rPr>
              <w:t xml:space="preserve">IBGE, Censo 2022 Indígenas e Quilombolas; GT-PSR, Censo da População em Situação de Rua, setembro de 2025; Prefeitura, levantamento da população em situação de rua 2018 e 2025; Lei Municipal nº 7.227/2024; Fernandes e Oliveira, Interações, 2024; Agência Brasil, 2024, com base no Instituto Cidades Sustentáveis; Anuário Brasileiro de Segurança Pública; </w:t>
            </w:r>
            <w:proofErr w:type="spellStart"/>
            <w:r>
              <w:rPr>
                <w:sz w:val="19"/>
                <w:szCs w:val="19"/>
              </w:rPr>
              <w:t>Sejusp</w:t>
            </w:r>
            <w:proofErr w:type="spellEnd"/>
            <w:r>
              <w:rPr>
                <w:sz w:val="19"/>
                <w:szCs w:val="19"/>
              </w:rPr>
              <w:t>-MS, monitor da violência contra a mulher</w:t>
            </w:r>
          </w:p>
        </w:tc>
      </w:tr>
      <w:tr w:rsidR="00D16019" w14:paraId="7F235C5C" w14:textId="77777777">
        <w:trPr>
          <w:cantSplit/>
        </w:trPr>
        <w:tc>
          <w:tcPr>
            <w:tcW w:w="9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7D00D3DD" w14:textId="77777777" w:rsidR="00D16019" w:rsidRDefault="00000000">
            <w:pPr>
              <w:spacing w:before="10" w:after="10"/>
            </w:pPr>
            <w:r>
              <w:rPr>
                <w:b/>
                <w:bCs/>
                <w:color w:val="1A3A5C"/>
                <w:sz w:val="19"/>
                <w:szCs w:val="19"/>
              </w:rPr>
              <w:t>Eixo 4</w:t>
            </w:r>
          </w:p>
        </w:tc>
        <w:tc>
          <w:tcPr>
            <w:tcW w:w="8454"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23CCB408" w14:textId="77777777" w:rsidR="00D16019" w:rsidRDefault="00000000">
            <w:pPr>
              <w:spacing w:before="10" w:after="10"/>
            </w:pPr>
            <w:r>
              <w:rPr>
                <w:sz w:val="19"/>
                <w:szCs w:val="19"/>
              </w:rPr>
              <w:t xml:space="preserve">MapBiomas, Monitor do Fogo, 2024 (escala do bioma Pantanal); ANA, Relatório de Segurança de Barragens 2024-2025; Imasul e Ministério Público de MS, barragem do antigo Clube Atlântico, 2025; Lei Complementar nº 341/2018 (PDDUA); </w:t>
            </w:r>
            <w:proofErr w:type="spellStart"/>
            <w:r>
              <w:rPr>
                <w:sz w:val="19"/>
                <w:szCs w:val="19"/>
              </w:rPr>
              <w:t>Semadesc</w:t>
            </w:r>
            <w:proofErr w:type="spellEnd"/>
            <w:r>
              <w:rPr>
                <w:sz w:val="19"/>
                <w:szCs w:val="19"/>
              </w:rPr>
              <w:t>-MS, Monitor de Secas, abril de 2024</w:t>
            </w:r>
          </w:p>
        </w:tc>
      </w:tr>
      <w:tr w:rsidR="00D16019" w14:paraId="62512FEB" w14:textId="77777777">
        <w:trPr>
          <w:cantSplit/>
        </w:trPr>
        <w:tc>
          <w:tcPr>
            <w:tcW w:w="900"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0A9B443D" w14:textId="77777777" w:rsidR="00D16019" w:rsidRDefault="00000000">
            <w:pPr>
              <w:spacing w:before="10" w:after="10"/>
            </w:pPr>
            <w:r>
              <w:rPr>
                <w:b/>
                <w:bCs/>
                <w:color w:val="1A3A5C"/>
                <w:sz w:val="19"/>
                <w:szCs w:val="19"/>
              </w:rPr>
              <w:t>Eixo 5</w:t>
            </w:r>
          </w:p>
        </w:tc>
        <w:tc>
          <w:tcPr>
            <w:tcW w:w="8454" w:type="dxa"/>
            <w:tcBorders>
              <w:top w:val="single" w:sz="1" w:space="0" w:color="C8D8E8"/>
              <w:left w:val="single" w:sz="1" w:space="0" w:color="C8D8E8"/>
              <w:bottom w:val="single" w:sz="1" w:space="0" w:color="C8D8E8"/>
              <w:right w:val="single" w:sz="1" w:space="0" w:color="C8D8E8"/>
            </w:tcBorders>
            <w:shd w:val="clear" w:color="auto" w:fill="F4F6F8"/>
            <w:tcMar>
              <w:top w:w="70" w:type="dxa"/>
              <w:left w:w="120" w:type="dxa"/>
              <w:bottom w:w="70" w:type="dxa"/>
              <w:right w:w="120" w:type="dxa"/>
            </w:tcMar>
            <w:vAlign w:val="center"/>
          </w:tcPr>
          <w:p w14:paraId="019593BB" w14:textId="77777777" w:rsidR="00D16019" w:rsidRDefault="00000000">
            <w:pPr>
              <w:spacing w:before="10" w:after="10"/>
            </w:pPr>
            <w:r>
              <w:rPr>
                <w:sz w:val="19"/>
                <w:szCs w:val="19"/>
              </w:rPr>
              <w:t>IBGE Cidades, escolarização (referência Censo 2010); Prefeitura com base no INEP, IDEB da rede municipal 2023 e edição seguinte; Ministério da Cultura, pesquisa de índice cultural das capitais, 2025; Energisa e Prefeitura, vendaval de setembro de 2026; Corpo de Bombeiros Militar, chamados de 10 e 11 de setembro de 2026</w:t>
            </w:r>
          </w:p>
        </w:tc>
      </w:tr>
      <w:tr w:rsidR="00D16019" w14:paraId="720C8BD5" w14:textId="77777777">
        <w:trPr>
          <w:cantSplit/>
        </w:trPr>
        <w:tc>
          <w:tcPr>
            <w:tcW w:w="900"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5FA8330C" w14:textId="77777777" w:rsidR="00D16019" w:rsidRDefault="00000000">
            <w:pPr>
              <w:spacing w:before="10" w:after="10"/>
            </w:pPr>
            <w:r>
              <w:rPr>
                <w:b/>
                <w:bCs/>
                <w:color w:val="1A3A5C"/>
                <w:sz w:val="19"/>
                <w:szCs w:val="19"/>
              </w:rPr>
              <w:lastRenderedPageBreak/>
              <w:t>Eixo 6</w:t>
            </w:r>
          </w:p>
        </w:tc>
        <w:tc>
          <w:tcPr>
            <w:tcW w:w="8454" w:type="dxa"/>
            <w:tcBorders>
              <w:top w:val="single" w:sz="1" w:space="0" w:color="C8D8E8"/>
              <w:left w:val="single" w:sz="1" w:space="0" w:color="C8D8E8"/>
              <w:bottom w:val="single" w:sz="1" w:space="0" w:color="C8D8E8"/>
              <w:right w:val="single" w:sz="1" w:space="0" w:color="C8D8E8"/>
            </w:tcBorders>
            <w:shd w:val="clear" w:color="auto" w:fill="FFFFFF"/>
            <w:tcMar>
              <w:top w:w="70" w:type="dxa"/>
              <w:left w:w="120" w:type="dxa"/>
              <w:bottom w:w="70" w:type="dxa"/>
              <w:right w:w="120" w:type="dxa"/>
            </w:tcMar>
            <w:vAlign w:val="center"/>
          </w:tcPr>
          <w:p w14:paraId="52BB2F25" w14:textId="77777777" w:rsidR="00D16019" w:rsidRDefault="00000000">
            <w:pPr>
              <w:spacing w:before="10" w:after="10"/>
            </w:pPr>
            <w:r>
              <w:rPr>
                <w:sz w:val="19"/>
                <w:szCs w:val="19"/>
              </w:rPr>
              <w:t xml:space="preserve">Prefeitura de Campo Grande, Rede de Atenção Psicossocial, 2023; e-Gestor, equipes de Saúde da Família 2017 e 2023; IBGE Cidades, finanças municipais; dados municipais de acidentes </w:t>
            </w:r>
            <w:proofErr w:type="spellStart"/>
            <w:r>
              <w:rPr>
                <w:sz w:val="19"/>
                <w:szCs w:val="19"/>
              </w:rPr>
              <w:t>escorpiônicos</w:t>
            </w:r>
            <w:proofErr w:type="spellEnd"/>
            <w:r>
              <w:rPr>
                <w:sz w:val="19"/>
                <w:szCs w:val="19"/>
              </w:rPr>
              <w:t xml:space="preserve"> 2025 divulgados pela imprensa local</w:t>
            </w:r>
          </w:p>
        </w:tc>
      </w:tr>
    </w:tbl>
    <w:p w14:paraId="665D7212" w14:textId="4498D21C" w:rsidR="00D16019" w:rsidRDefault="00D16019" w:rsidP="009E3CFB">
      <w:pPr>
        <w:spacing w:before="160" w:after="120" w:line="276" w:lineRule="auto"/>
        <w:jc w:val="both"/>
      </w:pPr>
    </w:p>
    <w:sectPr w:rsidR="00D16019">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754BD" w14:textId="77777777" w:rsidR="001261F8" w:rsidRDefault="001261F8">
      <w:r>
        <w:separator/>
      </w:r>
    </w:p>
  </w:endnote>
  <w:endnote w:type="continuationSeparator" w:id="0">
    <w:p w14:paraId="6FE9C289" w14:textId="77777777" w:rsidR="001261F8" w:rsidRDefault="001261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095EB" w14:textId="77777777" w:rsidR="00B90C82" w:rsidRDefault="00B90C8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BA21A" w14:textId="41FC7D77" w:rsidR="00D16019" w:rsidRDefault="00000000">
    <w:pPr>
      <w:pBdr>
        <w:top w:val="single" w:sz="4" w:space="3" w:color="2E6DA4"/>
      </w:pBdr>
      <w:tabs>
        <w:tab w:val="right" w:pos="9354"/>
      </w:tabs>
    </w:pPr>
    <w:r>
      <w:rPr>
        <w:sz w:val="18"/>
        <w:szCs w:val="18"/>
      </w:rPr>
      <w:tab/>
    </w:r>
    <w:r>
      <w:rPr>
        <w:color w:val="718096"/>
        <w:sz w:val="18"/>
        <w:szCs w:val="18"/>
      </w:rPr>
      <w:fldChar w:fldCharType="begin"/>
    </w:r>
    <w:r>
      <w:rPr>
        <w:color w:val="718096"/>
        <w:sz w:val="18"/>
        <w:szCs w:val="18"/>
      </w:rPr>
      <w:instrText>PAGE</w:instrText>
    </w:r>
    <w:r>
      <w:rPr>
        <w:color w:val="718096"/>
        <w:sz w:val="18"/>
        <w:szCs w:val="18"/>
      </w:rPr>
      <w:fldChar w:fldCharType="separate"/>
    </w:r>
    <w:r w:rsidR="006F4933">
      <w:rPr>
        <w:noProof/>
        <w:color w:val="718096"/>
        <w:sz w:val="18"/>
        <w:szCs w:val="18"/>
      </w:rPr>
      <w:t>1</w:t>
    </w:r>
    <w:r>
      <w:rPr>
        <w:color w:val="718096"/>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6D712" w14:textId="77777777" w:rsidR="00B90C82" w:rsidRDefault="00B90C8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1193C" w14:textId="77777777" w:rsidR="001261F8" w:rsidRDefault="001261F8">
      <w:r>
        <w:separator/>
      </w:r>
    </w:p>
  </w:footnote>
  <w:footnote w:type="continuationSeparator" w:id="0">
    <w:p w14:paraId="2DE06276" w14:textId="77777777" w:rsidR="001261F8" w:rsidRDefault="001261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7B2E2" w14:textId="77777777" w:rsidR="00B90C82" w:rsidRDefault="00B90C8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B599A" w14:textId="0FFF1C36" w:rsidR="00D16019" w:rsidRPr="006F4933" w:rsidRDefault="00000000" w:rsidP="006F4933">
    <w:pPr>
      <w:pBdr>
        <w:bottom w:val="single" w:sz="4" w:space="3" w:color="2E6DA4"/>
      </w:pBdr>
      <w:jc w:val="right"/>
      <w:rPr>
        <w:color w:val="718096"/>
        <w:sz w:val="18"/>
        <w:szCs w:val="18"/>
      </w:rPr>
    </w:pPr>
    <w:r>
      <w:rPr>
        <w:color w:val="718096"/>
        <w:sz w:val="18"/>
        <w:szCs w:val="18"/>
      </w:rPr>
      <w:t>PICAPS</w:t>
    </w:r>
    <w:r w:rsidR="006F4933">
      <w:rPr>
        <w:color w:val="718096"/>
        <w:sz w:val="18"/>
        <w:szCs w:val="18"/>
      </w:rPr>
      <w:t xml:space="preserve"> - </w:t>
    </w:r>
    <w:r>
      <w:rPr>
        <w:color w:val="718096"/>
        <w:sz w:val="18"/>
        <w:szCs w:val="18"/>
      </w:rPr>
      <w:t>CoLaboratório CTIS</w:t>
    </w:r>
    <w:r w:rsidR="006F4933">
      <w:rPr>
        <w:color w:val="718096"/>
        <w:sz w:val="18"/>
        <w:szCs w:val="18"/>
      </w:rPr>
      <w:t xml:space="preserve"> -</w:t>
    </w:r>
    <w:r>
      <w:rPr>
        <w:color w:val="718096"/>
        <w:sz w:val="18"/>
        <w:szCs w:val="18"/>
      </w:rPr>
      <w:t xml:space="preserve"> Fiocruz Brasília   |   Diagnóstico Situacional   |   Campo Grande/MS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8EE3F" w14:textId="77777777" w:rsidR="00B90C82" w:rsidRDefault="00B90C82">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EA08D5"/>
    <w:multiLevelType w:val="hybridMultilevel"/>
    <w:tmpl w:val="EBF2547C"/>
    <w:lvl w:ilvl="0" w:tplc="A0B85434" w:tentative="1">
      <w:start w:val="1"/>
      <w:numFmt w:val="bullet"/>
      <w:lvlText w:val="●"/>
      <w:lvlJc w:val="left"/>
      <w:pPr>
        <w:ind w:left="720" w:hanging="360"/>
      </w:pPr>
    </w:lvl>
    <w:lvl w:ilvl="1" w:tplc="C4E2B098" w:tentative="1">
      <w:start w:val="1"/>
      <w:numFmt w:val="bullet"/>
      <w:lvlText w:val="○"/>
      <w:lvlJc w:val="left"/>
      <w:pPr>
        <w:ind w:left="1440" w:hanging="360"/>
      </w:pPr>
    </w:lvl>
    <w:lvl w:ilvl="2" w:tplc="66207138" w:tentative="1">
      <w:start w:val="1"/>
      <w:numFmt w:val="bullet"/>
      <w:lvlText w:val="■"/>
      <w:lvlJc w:val="left"/>
      <w:pPr>
        <w:ind w:left="2160" w:hanging="360"/>
      </w:pPr>
    </w:lvl>
    <w:lvl w:ilvl="3" w:tplc="D5C81600" w:tentative="1">
      <w:start w:val="1"/>
      <w:numFmt w:val="bullet"/>
      <w:lvlText w:val="●"/>
      <w:lvlJc w:val="left"/>
      <w:pPr>
        <w:ind w:left="2880" w:hanging="360"/>
      </w:pPr>
    </w:lvl>
    <w:lvl w:ilvl="4" w:tplc="6AEEC0BA" w:tentative="1">
      <w:start w:val="1"/>
      <w:numFmt w:val="bullet"/>
      <w:lvlText w:val="○"/>
      <w:lvlJc w:val="left"/>
      <w:pPr>
        <w:ind w:left="3600" w:hanging="360"/>
      </w:pPr>
    </w:lvl>
    <w:lvl w:ilvl="5" w:tplc="1F462934" w:tentative="1">
      <w:start w:val="1"/>
      <w:numFmt w:val="bullet"/>
      <w:lvlText w:val="■"/>
      <w:lvlJc w:val="left"/>
      <w:pPr>
        <w:ind w:left="4320" w:hanging="360"/>
      </w:pPr>
    </w:lvl>
    <w:lvl w:ilvl="6" w:tplc="3BFEEEB8" w:tentative="1">
      <w:start w:val="1"/>
      <w:numFmt w:val="bullet"/>
      <w:lvlText w:val="●"/>
      <w:lvlJc w:val="left"/>
      <w:pPr>
        <w:ind w:left="5040" w:hanging="360"/>
      </w:pPr>
    </w:lvl>
    <w:lvl w:ilvl="7" w:tplc="B71C1B34" w:tentative="1">
      <w:start w:val="1"/>
      <w:numFmt w:val="bullet"/>
      <w:lvlText w:val="●"/>
      <w:lvlJc w:val="left"/>
      <w:pPr>
        <w:ind w:left="5760" w:hanging="360"/>
      </w:pPr>
    </w:lvl>
    <w:lvl w:ilvl="8" w:tplc="FBCA1BCC" w:tentative="1">
      <w:start w:val="1"/>
      <w:numFmt w:val="bullet"/>
      <w:lvlText w:val="●"/>
      <w:lvlJc w:val="left"/>
      <w:pPr>
        <w:ind w:left="6480" w:hanging="360"/>
      </w:pPr>
    </w:lvl>
  </w:abstractNum>
  <w:num w:numId="1" w16cid:durableId="6546015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6019"/>
    <w:rsid w:val="001261F8"/>
    <w:rsid w:val="003552C1"/>
    <w:rsid w:val="004C6DDB"/>
    <w:rsid w:val="006F4933"/>
    <w:rsid w:val="009E3CFB"/>
    <w:rsid w:val="00AD30C9"/>
    <w:rsid w:val="00B90C82"/>
    <w:rsid w:val="00C610F8"/>
    <w:rsid w:val="00CF4E14"/>
    <w:rsid w:val="00D1601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D96BD1"/>
  <w15:docId w15:val="{76104FF6-2BB7-4289-8755-73291A465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222222"/>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b/>
      <w:bCs/>
      <w:color w:val="1A3A5C"/>
      <w:sz w:val="30"/>
      <w:szCs w:val="30"/>
    </w:rPr>
  </w:style>
  <w:style w:type="paragraph" w:styleId="Ttulo2">
    <w:name w:val="heading 2"/>
    <w:basedOn w:val="Normal"/>
    <w:next w:val="Normal"/>
    <w:uiPriority w:val="9"/>
    <w:unhideWhenUsed/>
    <w:qFormat/>
    <w:pPr>
      <w:outlineLvl w:val="1"/>
    </w:pPr>
    <w:rPr>
      <w:b/>
      <w:bCs/>
      <w:color w:val="2E6DA4"/>
      <w:sz w:val="26"/>
      <w:szCs w:val="26"/>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orte1">
    <w:name w:val="Forte1"/>
    <w:basedOn w:val="Normal"/>
    <w:next w:val="Normal"/>
    <w:qFormat/>
    <w:rPr>
      <w:b/>
      <w:bCs/>
    </w:rPr>
  </w:style>
  <w:style w:type="paragraph" w:styleId="PargrafodaLista">
    <w:name w:val="List Paragraph"/>
    <w:basedOn w:val="Normal"/>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basedOn w:val="Normal"/>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basedOn w:val="Normal"/>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6F4933"/>
    <w:pPr>
      <w:tabs>
        <w:tab w:val="center" w:pos="4252"/>
        <w:tab w:val="right" w:pos="8504"/>
      </w:tabs>
    </w:pPr>
  </w:style>
  <w:style w:type="character" w:customStyle="1" w:styleId="CabealhoChar">
    <w:name w:val="Cabeçalho Char"/>
    <w:basedOn w:val="Fontepargpadro"/>
    <w:link w:val="Cabealho"/>
    <w:uiPriority w:val="99"/>
    <w:rsid w:val="006F4933"/>
  </w:style>
  <w:style w:type="paragraph" w:styleId="Rodap">
    <w:name w:val="footer"/>
    <w:basedOn w:val="Normal"/>
    <w:link w:val="RodapChar"/>
    <w:uiPriority w:val="99"/>
    <w:unhideWhenUsed/>
    <w:rsid w:val="006F4933"/>
    <w:pPr>
      <w:tabs>
        <w:tab w:val="center" w:pos="4252"/>
        <w:tab w:val="right" w:pos="8504"/>
      </w:tabs>
    </w:pPr>
  </w:style>
  <w:style w:type="character" w:customStyle="1" w:styleId="RodapChar">
    <w:name w:val="Rodapé Char"/>
    <w:basedOn w:val="Fontepargpadro"/>
    <w:link w:val="Rodap"/>
    <w:uiPriority w:val="99"/>
    <w:rsid w:val="006F49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5">
    <wetp:webextensionref xmlns:r="http://schemas.openxmlformats.org/officeDocument/2006/relationships" r:id="rId1"/>
  </wetp:taskpane>
  <wetp:taskpane dockstate="right" visibility="0" width="525" row="6">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6908AE5F-C913-40B3-9ABF-3DD5AB7D1265}">
  <we:reference id="WA200010725" version="1.0.0.1" store="Omex" storeType="OMEX"/>
  <we:alternateReferences>
    <we:reference id="WA200010725" version="1.0.0.1" store="WA200010725" storeType="OMEX"/>
  </we:alternateReferences>
  <we:properties>
    <we:property name="claude.fileId" value="&quot;d1ede30a-17f3-4723-b642-1590db51d871&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DC8CA568-F7F3-48CB-8185-5D43A539E479}">
  <we:reference id="WA200010453" version="1.0.0.1" store="Omex" storeType="OMEX"/>
  <we:alternateReferences>
    <we:reference id="WA200010453" version="1.0.0.1" store="WA200010453" storeType="OMEX"/>
  </we:alternateReferences>
  <we:properties>
    <we:property name="claude.fileId" value="&quot;0efe5765-0a37-4238-bbd8-69fa9ae55702&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24</TotalTime>
  <Pages>54</Pages>
  <Words>27343</Words>
  <Characters>152033</Characters>
  <Application>Microsoft Office Word</Application>
  <DocSecurity>0</DocSecurity>
  <Lines>2452</Lines>
  <Paragraphs>1055</Paragraphs>
  <ScaleCrop>false</ScaleCrop>
  <Company/>
  <LinksUpToDate>false</LinksUpToDate>
  <CharactersWithSpaces>178321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Fernanda Machiner</cp:lastModifiedBy>
  <cp:revision>7</cp:revision>
  <dcterms:created xsi:type="dcterms:W3CDTF">2026-10-20T03:14:00Z</dcterms:created>
  <dcterms:modified xsi:type="dcterms:W3CDTF">2026-10-20T04:00:00Z</dcterms:modified>
</cp:coreProperties>
</file>