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Dataset We Need: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EU27 aviation fuel demand (baseline 2024/2025 ≈ 38–39 Mt)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CO₂ emission factor for jet fuel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SAF lifecycle reduction rate (e.g., –70% to –80%)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Aviation traffic/fuel demand growth assumptions (Eurocontrol long-term outlook)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https://www.eurocontrol.int/sites/default/files/2024-12/eurocontrol-aviation-long-term-outlook-flights-co2-forecast-2024-2050.pdf?utm_source=chatgpt.com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SAF MARKET</w:t>
      </w:r>
    </w:p>
    <w:p w:rsidR="00000000" w:rsidDel="00000000" w:rsidP="00000000" w:rsidRDefault="00000000" w:rsidRPr="00000000" w14:paraId="0000000E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https://www.easa.europa.eu/en/domains/environment/eaer/sustainable-aviation-fuels/saf-market?utm_source=chatgpt.com#saf-price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2024 Aviation Fuels Reference Prices for ReFuelEU Aviation</w:t>
      </w:r>
    </w:p>
    <w:p w:rsidR="00000000" w:rsidDel="00000000" w:rsidP="00000000" w:rsidRDefault="00000000" w:rsidRPr="00000000" w14:paraId="00000011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https://www.easa.europa.eu/en/document-library/general-publications/2024-aviation-fuels-reference-prices-refueleu-aviation?utm_source=chatgpt.com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eurocontrol.int/sites/default/files/2024-12/eurocontrol-aviation-long-term-outlook-flights-co2-forecast-2024-2050.pdf?utm_source=chatgpt.com" TargetMode="External"/><Relationship Id="rId7" Type="http://schemas.openxmlformats.org/officeDocument/2006/relationships/hyperlink" Target="https://www.easa.europa.eu/en/domains/environment/eaer/sustainable-aviation-fuels/saf-market?utm_source=chatgpt.com#saf-price" TargetMode="External"/><Relationship Id="rId8" Type="http://schemas.openxmlformats.org/officeDocument/2006/relationships/hyperlink" Target="https://www.easa.europa.eu/en/document-library/general-publications/2024-aviation-fuels-reference-prices-refueleu-aviation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